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EDUCAÇÃO MORAL PARA A HUMANIDADE NA PROMOÇÃO DE </w:t>
      </w: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IGUALDADE DE GÊNERO</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Edna Rosângela Borro</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Resumo: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Visou-se de compreender a relação entre a lei da Natureza baseada na educação moral e a lei do Homem com a função de proteger a dignidade da pessoa humana, das ações constrangedoras e reprováveis e as reações do cotidiano oriundas do Homem, seja homem ou mulher, em diversas situações quanto ao sexo, raça, cor, cultura, religião e posição social, conhecendo as causas e os objetivos sem levar em conta a que resultado chegar, ou melhor, ocultar-se para a agressividade da humanidade.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referência à lei da Natureza, na visão Kardecista, Deus fez o homem para viver em sociedade, deu-lhe a palavra e todas outras faculdades necessárias à vida de relação. Pela união social, eles se completam uns pelos outros para assegurar seu bem-estar e progredir – progresso moral e intelectual. São feitos para viver em sociedade e não isolados.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em relação à lei do progresso, o estado natural é a infância da humanidade e o ponto de partida de seu desenvolvimento intelectual e moral. O estado natural é transitório e o homem liberta-se pelo progresso e pela civilização. A lei natural, ao contrário, rege a humanidade inteira, e o homem se aperfeiçoa à medida que compreende melhor e pratica melhor essa lei. À medida que a civilização se aperfeiçoa, faz cessar alguns dos males que engendrou – egoísmo, cupidez e orgulho, e esses males desaparecerão com o progresso moral. Onde os hábitos sejam mais intelectuais e morais que materiais; onde a inteligência possa se desenvolver com mais liberdade; onde haja mais bondade, boa-fé, benevolência e generosidade recíprocas; onde os preconceitos de casta e de nascimento estejam menos enraizados, porque esses preconceitos são incompatíveis com o verdadeiro amor ao próximo; onde as leis não consagrem nenhum privilégio e sejam as mesmas para o último, como para o primeiro; onde a justiça se exerça com menos parcialidade; onde o fraco encontre sempre apoio contra o forte; onde a vida do homem, suas crenças e suas opiniões sejam melhor respeitadas; onde haja menos infelizes e, enfim, onde todos os homens de boa vontade estejam sempre seguros de não lhes faltar o necessário.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Tratando-se da lei do Homem, a Constituição Federal de 1988, a dignidade da pessoa humana é um valor espiritual e moral inerente a pessoa, que se manifesta singularmente na autodeterminação consciente e responsável da própria vida e que traz consigo a pretensão ao respeito por parte das demais pessoas, constituindo-se em um mínimo invulnerável que todo estatuto jurídico deve assegurar, de modo que apenas excepcionalmente possam ser feitas limitações ao exercício dos direitos fundamentais, mas sempre sem menosprezar a necessária estima que merecem todas as pessoas enquanto seres humanos.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o princípio fundamental consagrado pela Constituição Federal da dignidade da pessoa humana apresenta-se em uma dupla concepção: Primeiramente, prevê um direito individual protetivo, seja em relação ao próprio Estado, seja em relação aos demais indivíduos. Em segundo lugar, estabelece verdadeiro dever fundamental de tratamento igualitário dos próprios semelhantes. Esse dever configura-se pela exigência de o indivíduo respeitar a dignidade de seu semelhante tal qual a Constituição Federal exige que lhe respeitem a própria. A concepção dessa noção de dever fundamental resume-se a três princípios do Direito Romano: </w:t>
      </w:r>
      <w:r>
        <w:rPr>
          <w:rFonts w:ascii="Times New Roman" w:hAnsi="Times New Roman" w:cs="Times New Roman" w:eastAsia="Times New Roman"/>
          <w:i/>
          <w:color w:val="auto"/>
          <w:spacing w:val="0"/>
          <w:position w:val="0"/>
          <w:sz w:val="24"/>
          <w:shd w:fill="auto" w:val="clear"/>
        </w:rPr>
        <w:t xml:space="preserve">honestere vivere</w:t>
      </w:r>
      <w:r>
        <w:rPr>
          <w:rFonts w:ascii="Times New Roman" w:hAnsi="Times New Roman" w:cs="Times New Roman" w:eastAsia="Times New Roman"/>
          <w:color w:val="auto"/>
          <w:spacing w:val="0"/>
          <w:position w:val="0"/>
          <w:sz w:val="24"/>
          <w:shd w:fill="auto" w:val="clear"/>
        </w:rPr>
        <w:t xml:space="preserve"> (viver honestamente), </w:t>
      </w:r>
      <w:r>
        <w:rPr>
          <w:rFonts w:ascii="Times New Roman" w:hAnsi="Times New Roman" w:cs="Times New Roman" w:eastAsia="Times New Roman"/>
          <w:i/>
          <w:color w:val="auto"/>
          <w:spacing w:val="0"/>
          <w:position w:val="0"/>
          <w:sz w:val="24"/>
          <w:shd w:fill="auto" w:val="clear"/>
        </w:rPr>
        <w:t xml:space="preserve">alterum non laedere</w:t>
      </w:r>
      <w:r>
        <w:rPr>
          <w:rFonts w:ascii="Times New Roman" w:hAnsi="Times New Roman" w:cs="Times New Roman" w:eastAsia="Times New Roman"/>
          <w:color w:val="auto"/>
          <w:spacing w:val="0"/>
          <w:position w:val="0"/>
          <w:sz w:val="24"/>
          <w:shd w:fill="auto" w:val="clear"/>
        </w:rPr>
        <w:t xml:space="preserve"> (não prejudique ninguém) e </w:t>
      </w:r>
      <w:r>
        <w:rPr>
          <w:rFonts w:ascii="Times New Roman" w:hAnsi="Times New Roman" w:cs="Times New Roman" w:eastAsia="Times New Roman"/>
          <w:i/>
          <w:color w:val="auto"/>
          <w:spacing w:val="0"/>
          <w:position w:val="0"/>
          <w:sz w:val="24"/>
          <w:shd w:fill="auto" w:val="clear"/>
        </w:rPr>
        <w:t xml:space="preserve">suum cuique tribuere</w:t>
      </w:r>
      <w:r>
        <w:rPr>
          <w:rFonts w:ascii="Times New Roman" w:hAnsi="Times New Roman" w:cs="Times New Roman" w:eastAsia="Times New Roman"/>
          <w:color w:val="auto"/>
          <w:spacing w:val="0"/>
          <w:position w:val="0"/>
          <w:sz w:val="24"/>
          <w:shd w:fill="auto" w:val="clear"/>
        </w:rPr>
        <w:t xml:space="preserve"> (dê a cada um o que lhe é devido).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Continuando, a Constituição Federal de 1988 adotou o princípio da igualdade de direitos, prevendo a igualdade de aptidão, uma igualdade de possibilidades virtuais, ou seja, todos os cidadãos têm o direito de tratamento idêntico pela lei, em consonância com os critérios albergados pelo ordenamento jurídico. Dessa forma, o que é vedado são as diferenciações arbitrárias, as discriminações absurdas. No artigo 5° em toda sua extensão, apresenta subsídios na proteção dos direitos do homem, como, por exemplo, direito à vida, liberdade de pensamento, liberdade religiosa, livre exercício de profissão, liberdade de informação, liberdade de locomoção, combate ao racismo.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pôr um termo a esse debate, conclui-se que há falta de reflexão e entendimento nas leis citadas – homens e mulheres são iguais. Essa ausência de atenção leva a atitude discriminatória do cotidiano de uma sociedade. É preciso atentar com mais rigor da importância da existência espiritual, sem ela não teria razão do surgimento da vida humana, entender que a humanidade não surgiu do nada e não está isolada. Referindo-se a igualdade de direitos do homem e da mulher, Deus deu a ambos a inteligência do bem – da justiça, do amor e de caridade; e do mal – egoísmo, cupidez e orgulho; e a faculdade de progredir.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a lei da Natureza é essencial nas relações cotidianas de uma sociedade, o Homem deve dispor de grande soma de conhecimento sobre o livre arbítrio: grau de sua experiência e da sua vontade, uns se aperfeiçoam mais rapidamente e isso lhes dá aptidões diversas. Adotar esse consagrado ensinamento como a mais rica fonte de justiça. As ações e reações constrangedoras e reprováveis promovida pelo Homem na sociedade, suficiente para compreender a ausência de conhecimento à lei da Natureza e sua real interpretação, provoca para si a responsabilidade de seus atos sem necessidade.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preciso dizer que somente a educação moral acompanhada de vontade, de respeito e de companheirismo pode banir da sociedade todo e qualquer tipo de violência: a força física, as atitudes rudes, as palavras mal colocadas, as disputas pelo poder, pela posição social.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Enfim, na prática a lei da Natureza é dominante e eficaz – da justiça, e a lei do Homem fica no abstrato.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Palavras-chave: Natureza, Homem, igualdade, dignidade, moral.</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Agente Administrativo – exercendo a função de secretária</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Bacharel em Secretariado Executivo</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UNISAL – Centro Universitário Salesiano de São Paulo – Campus São José/Campinas/SP</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E-mail: ednaborro@yahoo.com.br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1. Introdução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presente trabalho tem como objetivo estudar e pesquisar sobre a igualdade de gênero e a discriminação. Para isso foi realizada uma ampla revisão bibliográfica, visando obter informações e conhecimentos sobre a humanidade, onde há promoções de diferenças quanto ao sexo, raça, cor, cultura, religião e posição social.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Entender essas diferenças, a causa, seus efeitos, do objetivo, necessita-se passar por diretrizes que nos auxiliarão na compreensão do propósito, entender que a humanidade não surgiu do nada e não está isolada.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especial, uma reflexão sobre o Homem, seja homem ou mulher, mas o ser humano com direitos e deveres, imparcialidade, entendimento. Sem necessidade de indagações específicas, como, por exemplo, as mesmas condições de vida, compartilhar ambiente corporativo, os desafios da mulher na sociedade.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atingir os objetivos, a autora considerou os conhecimentos adquiridos no desempenho de suas funções na área jurídica, na doutrina Kardecista, e na observação das atitudes humanas do cotidiano, o que facilitou a culminação deste artigo sobre Construindo a Igualdade de Gênero. Pode-se dizer que a autora aventurou-se em questão religiosa com o objetivo de entender a relação entre a Natureza e a humanidade, uma vez que os frutos da segunda é conseqüência da primeira.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A lei da Natureza – visão Kardecista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o ensinamento dado pelos Espíritos superiores com a ajuda de diversos médiuns, Deus fez o homem para viver em sociedade. Deus não deu inutilmente ao homem a palavra e todas as outras faculdades necessárias à vida de relação. Os homens procuram a sociedade por instinto, e que devem concorrer para o progresso, ajudando-se mutuamente.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nenhum homem tem as faculdades completas. Pela união social, eles se completam uns pelos outros para assegurar seu bem-estar e progredir – progresso moral e intelectual. Por isso, tendo necessidade uns dos outros, são feitos para viver em sociedade e não isolados.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 lei do progresso, o estado natural é a infância da humanidade e o ponto de partida de seu desenvolvimento intelectual e moral. O homem, sendo perfectível (suscetível de perfeição ou de aperfeiçoamento), e carregando em si o germe de seu aperfeiçoamento, não está destinado a viver perpetuamente na infância. O estado natural é transitório e o homem liberta-se pelo progresso e pela civilização. A lei natural, ao contrário, rege a humanidade inteira, e o homem se aperfeiçoa à medida que compreende melhor e pratica melhor essa lei.</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Continuando, à medida que a civilização se aperfeiçoa, faz cessar alguns dos males que engendrou – egoísmo, cupidez e orgulho, e esses males desaparecerão com o progresso moral. Onde os hábitos sejam mais intelectuais e morais que materiais; onde a inteligência possa se desenvolver com mais liberdade; onde haja mais bondade, boa-fé, benevolência e generosidade recíprocas; onde os preconceitos de casta (gênero) e de nascimento estejam menos enraizados, porque esses preconceitos são incompatíveis com o verdadeiro amor ao próximo; onde as leis não consagrem nenhum privilégio e sejam as mesmas para o último, como para o primeiro; onde a justiça se exerça com menos parcialidade; onde o fraco encontre sempre apoio contra o forte; onde a vida do homem, suas crenças e suas opiniões sejam melhor respeitadas; onde haja menos infelizes e, enfim, onde todos os homens de boa vontade estejam sempre seguros de não lhes faltar o necessário.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se tratando da legislação humana, a civilização criou, para o homem, novas necessidades, e essas necessidades estão relacionadas com a posição social em que se colocou. Há que se regrar os direitos e os deveres dessa posição pelas leis humanas. Mas sob a influência de suas paixões, frequentemente, eles criam direitos e deveres imaginários que condenam a lei natural e que os povos apagam de seus códigos, à medida que progridem. A lei natural é imutável e a mesma para todos; a lei humana é variável e progressiva. Só ela pôde consagrar, na infância das sociedades, o direito do mais forte.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referência à lei de igualdade, todos os homens serão submetidos às mesmas leis da Natureza. Todos nascem com a mesma fraqueza, estão sujeitos às mesmas dores e o corpo do rico se destrói como o do pobre. Portanto, Deus não deu, a nenhum homem, superioridade natural, nem pelo nascimento, nem pela morte. Diante dele, todos são iguais.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Deus criou todos os Espíritos iguais, mas cada um deles, tem maior ou menor vivência e, por conseguinte, maior ou menor experiência. A diferença está no grau da sua experiência e da sua vontade, que é o livre arbítrio: uns se aperfeiçoam mais rapidamente e isso lhes dá aptidões diversas. A variedade das aptidões é necessária, a fim de que cada um possa concorrer aos objetivos da Providência no limite do desenvolvimento de suas forças físicas e intelectuais. É assim que, cada um, tem um papel útil.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a diversidade das aptidões do homem não resulta da natureza íntima de sua criação, mas do grau de aperfeiçoamento ao qual chegaram os Espíritos nele encarnados. Deus, portanto, não criou desigualdades de faculdades, mas permitiu que os diferentes graus de desenvolvimento estivessem em contato, a fim de que os mais adiantados pudessem ajudar o progresso dos mais atrasados e, também, cumprissem a lei da caridade que os deve unir.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À questão a desigualdade das condições sociais é uma obra do homem e não de Deus. Não é tudo dizer ao homem que ele deve trabalhar, é preciso ainda que aquele que espera sua existência do seu labor encontre em que se ocupar, e é o que nem sempre ocorre. Quando a suspensão do trabalho se generaliza, toma as proporções de um flagelo como a miséria.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ciência econômica procura o remédio no equilíbrio entre a produção e o consumo; mas esse equilíbrio, supondo-se que seja possível, terá sempre intermitências e, durante esses intervalos, o trabalhador não deve viver menos. Há um elemento que, comumente, não entra na balança e sem o qual a ciência econômica não é mais que uma teoria: a educação. Não a educação intelectual, mas a educação moral, e não, ainda, a educação moral pelos livros, mas aquela que consiste na arte de formar os caracteres, a que dá os hábitos: porque a educação é o conjunto de hábitos adquiridos.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Prosseguindo, quando se pensa na massa de indivíduos jogados cada dia na torrente (rapidez e violência) da população, sem princípios, sem freios e entregues aos seus próprios instintos, deve-se espantar as conseqüências desastrosas que resultam? Quando essa arte for conhecida, cumprida e praticada, o homem ocasionará no mundo hábitos de ordem e de previdência para si mesmo e os seus, de respeito por tudo o que é respeitável, hábitos que lhe permitirão atravessar, menos penosamente, os maus dias inevitáveis. A desordem e a imprevidência (ausência de previsão; descuido) são duas chagas que só uma educação bem entendida pode curar. Esse é o ponto de partida, o elemento real do bem-estar, a garantia da segurança de todos.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à desigualdade das riquezas, a posição elevada neste mundo e a autoridade sobre seus semelhantes são provas tão grandes e tão difíceis quanto a miséria, porque, quanto mais se é rico e poderoso, mais se tem obrigações a cumprir e maiores são os meios para se fazer o bem e o mal. Deus experimenta o pobre pela resignação (submeter-se sem revolta a), e o rico pelo uso que faz de seus bens e do seu poder. A riqueza e o poder fazem nascer as paixões, que nos ligam à matéria e nos afastam da perfeição espiritual.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Referindo-se a igualdade de direitos do homem e da mulher, Deus deu a ambos a inteligência do bem e do mal, e a faculdade de progredir.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inferioridade moral da mulher em certos países origina-se do império injusto e cruel que o homem tomou sobre ela. É um resultado das instituições sociais e do abuso da força sobre a fraqueza. Entre os homens pouco avançados, do ponto de vista moral, a força faz o direito.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mulher é fisicamente mais fraca do que o homem para lhe assinalar funções particulares. O homem é para os trabalhos rudes, por ser o mais forte; a mulher para os trabalhos suaves, e ambos para se entreajudarem nas provas de uma vida plena de amargura. Deus conformou a organização de cada ser às funções que deve cumprir. Se deu à mulher uma força física menor, dotou-a, ao mesmo tempo, de maior sensibilidade, relacionada com a delicadeza das funções maternais e a fraqueza dos seres confiados aos seus cuidados. Ainda, as funções para as quais a mulher está destinada pela Natureza têm uma importância tão grande quanto às do homem, e maiores; é ela quem lhe dá as primeiras noções da vida.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Continuando, os homens sendo iguais diante da lei de Deus, devem sê-lo, igualmente, diante da lei dos homens. É o primeiro princípio de justiça: Não façais aos outros o que não quereríeis que se vos fizessem. Segundo isso, uma legislação, para ser perfeitamente justa, deve consagrar a igualdade dos direitos entre o homem e a mulher? De direitos, sim; de funções, não. É preciso que cada um esteja colocado no seu lugar. Que o homem se ocupe do exterior e a mulher do interior, cada um segundo sua aptidão.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a lei humana, para ser eqüitativa (justa), deve consagrar a igualdade dos direitos do homem e da mulher, pois todo privilégio concedido a um, ou a outro, é contrário à justiça. A emancipação da mulher segue o progresso da civilização, sua subjugação (domínio) caminha com a barbárie. Os sexos, aliás, não existem senão pela organização física, visto que os Espíritos podem tomar um e outro, não havendo diferença entre eles, sob esse aspecto, e, por conseguinte, devem gozar dos mesmos direitos.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resumo, o verdadeiro homem de bem é aquele que pratica a lei de justiça, de amor, e de caridade na sua maior pureza. Se interroga sua consciência sobre os atos realizados, se pergunta se não violou essa lei, se não fez o mal, se fez todo o bem que podia, se ninguém tem nada a se lamentar dele, enfim, se fez a outrem tudo aquilo que queria que outros lhe fizessem. Ele é bom, humano e benevolente para com todos, porque vê irmãos em todos os homens, sem exceção de raças nem de crenças.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Deus lhe deu o poder e a riqueza, olha essas coisas como um depósito, do qual deve fazer uso para o bem, sem se envaidecer, porque sabe que Deus, que os deu, pode retirá-los.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 ordem social colocou homens sob sua dependência, trata-os com bondade e benevolência, porque são seus iguais diante de Deus. Usa de sua autoridade para elevar sua moral e não para os esmagar por seu orgulho. É indulgente (disposição para perdoar) para com as fraquezas alheias, porque sabe que ele mesmo, tem necessidade de indulgência (perdão), e se lembra destas palavras do Cristo: que aquele que está sem pecado lhe atire a primeira pedra. Respeita nos seus semelhantes todos os seus direitos decorrentes das leis da Natureza, como gostaria que respeitassem os seus.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08" w:hanging="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A lei do Homem – Constituição Federal de 1988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Moraes (2007), a dignidade da pessoa humana é um valor espiritual e moral inerente a pessoa, que se manifesta singularmente (inusitado – atitude) na autodeterminação consciente e responsável da própria vida e que traz consigo a pretensão ao respeito por parte das demais pessoas, constituindo-se em um mínimo invulnerável que todo estatuto jurídico deve assegurar, de modo que apenas excepcionalmente possam ser feitas limitações ao exercício dos direitos fundamentais, mas sempre sem menosprezar a necessária estima que merecem todas as pessoas enquanto seres humanos.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Ainda, o princípio fundamental consagrado pela Constituição Federal da dignidade da pessoa humana apresenta-se em uma dupla concepção: Primeiramente, prevê um direito individual protetivo, seja em relação ao próprio Estado, seja em relação aos demais indivíduos. Em segundo lugar, estabelece verdadeiro dever fundamental de tratamento igualitário dos próprios semelhantes.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Prosseguindo, esse dever configura-se pela exigência de o indivíduo respeitar a dignidade de seu semelhante tal qual a Constituição Federal exige que lhe respeitem a própria. A concepção dessa noção de dever fundamental resume-se a três princípios do Direito Romano: </w:t>
      </w:r>
      <w:r>
        <w:rPr>
          <w:rFonts w:ascii="Times New Roman" w:hAnsi="Times New Roman" w:cs="Times New Roman" w:eastAsia="Times New Roman"/>
          <w:i/>
          <w:color w:val="auto"/>
          <w:spacing w:val="0"/>
          <w:position w:val="0"/>
          <w:sz w:val="24"/>
          <w:shd w:fill="auto" w:val="clear"/>
        </w:rPr>
        <w:t xml:space="preserve">honestere vivere</w:t>
      </w:r>
      <w:r>
        <w:rPr>
          <w:rFonts w:ascii="Times New Roman" w:hAnsi="Times New Roman" w:cs="Times New Roman" w:eastAsia="Times New Roman"/>
          <w:color w:val="auto"/>
          <w:spacing w:val="0"/>
          <w:position w:val="0"/>
          <w:sz w:val="24"/>
          <w:shd w:fill="auto" w:val="clear"/>
        </w:rPr>
        <w:t xml:space="preserve"> (viver honestamente), </w:t>
      </w:r>
      <w:r>
        <w:rPr>
          <w:rFonts w:ascii="Times New Roman" w:hAnsi="Times New Roman" w:cs="Times New Roman" w:eastAsia="Times New Roman"/>
          <w:i/>
          <w:color w:val="auto"/>
          <w:spacing w:val="0"/>
          <w:position w:val="0"/>
          <w:sz w:val="24"/>
          <w:shd w:fill="auto" w:val="clear"/>
        </w:rPr>
        <w:t xml:space="preserve">alterum non laedere</w:t>
      </w:r>
      <w:r>
        <w:rPr>
          <w:rFonts w:ascii="Times New Roman" w:hAnsi="Times New Roman" w:cs="Times New Roman" w:eastAsia="Times New Roman"/>
          <w:color w:val="auto"/>
          <w:spacing w:val="0"/>
          <w:position w:val="0"/>
          <w:sz w:val="24"/>
          <w:shd w:fill="auto" w:val="clear"/>
        </w:rPr>
        <w:t xml:space="preserve"> (não prejudique ninguém) e </w:t>
      </w:r>
      <w:r>
        <w:rPr>
          <w:rFonts w:ascii="Times New Roman" w:hAnsi="Times New Roman" w:cs="Times New Roman" w:eastAsia="Times New Roman"/>
          <w:i/>
          <w:color w:val="auto"/>
          <w:spacing w:val="0"/>
          <w:position w:val="0"/>
          <w:sz w:val="24"/>
          <w:shd w:fill="auto" w:val="clear"/>
        </w:rPr>
        <w:t xml:space="preserve">suum cuique tribuere</w:t>
      </w:r>
      <w:r>
        <w:rPr>
          <w:rFonts w:ascii="Times New Roman" w:hAnsi="Times New Roman" w:cs="Times New Roman" w:eastAsia="Times New Roman"/>
          <w:color w:val="auto"/>
          <w:spacing w:val="0"/>
          <w:position w:val="0"/>
          <w:sz w:val="24"/>
          <w:shd w:fill="auto" w:val="clear"/>
        </w:rPr>
        <w:t xml:space="preserve"> (dê a cada um o que lhe é devido).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Moraes (2007) ressalta que a Constituição Federal de 1988 adotou o princípio da igualdade de direitos, prevendo a igualdade de aptidão, uma igualdade de possibilidades virtuais, ou seja, todos os cidadãos têm o direito de tratamento idêntico pela lei, em consonância com os critérios albergados pelo ordenamento jurídico. Dessa forma, o que é vedado são as diferenciações arbitrárias, as discriminações absurdas.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Seguindo nessa linha, é importante apontar a tríplice finalidade limitadora do princípio da igualdade: o legislador ou do próprio executivo, no exercício de função constitucional de edição de leis, atos normativos e medidas provisórias, não poderá afastar-se do princípio da igualdade que criem diferenciações abusivas, arbitrárias, sem qualquer finalidade lícita.  O intérprete, basicamente, a autoridade pública, na obrigatoriedade de aplicar a lei e os atos normativos de maneira igualitária, sem estabelecimento de diferenciações em razão do sexo, religião, convicções filosóficas ou política, raça, classe social. Finalmente, o particular não poderá pautar-se por condutas discriminatórias, preconceituosas ou racistas, sob pena de responsabilidade civil e penal, nos termos da legislação em vigor.   </w:t>
      </w:r>
    </w:p>
    <w:p>
      <w:pPr>
        <w:spacing w:before="0" w:after="0" w:line="360"/>
        <w:ind w:right="0" w:left="0" w:firstLine="70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Afirma o art. 5º, I, da Constituição Federal, que homens e mulheres são iguais em direitos e obrigações, nos termos desta Constituição. A correta interpretação desse dispositivo torna inaceitável a utilização do </w:t>
      </w:r>
      <w:r>
        <w:rPr>
          <w:rFonts w:ascii="Times New Roman" w:hAnsi="Times New Roman" w:cs="Times New Roman" w:eastAsia="Times New Roman"/>
          <w:i/>
          <w:color w:val="auto"/>
          <w:spacing w:val="0"/>
          <w:position w:val="0"/>
          <w:sz w:val="24"/>
          <w:shd w:fill="auto" w:val="clear"/>
        </w:rPr>
        <w:t xml:space="preserve">discrimen</w:t>
      </w:r>
      <w:r>
        <w:rPr>
          <w:rFonts w:ascii="Times New Roman" w:hAnsi="Times New Roman" w:cs="Times New Roman" w:eastAsia="Times New Roman"/>
          <w:color w:val="auto"/>
          <w:spacing w:val="0"/>
          <w:position w:val="0"/>
          <w:sz w:val="24"/>
          <w:shd w:fill="auto" w:val="clear"/>
        </w:rPr>
        <w:t xml:space="preserve"> sexo, sempre que o mesmo seja eleito com o propósito de desnivelar materialmente o homem da mulher; aceitando-o, porém, quando a finalidade pretendida for atenuar os desníveis. </w:t>
      </w:r>
    </w:p>
    <w:p>
      <w:pPr>
        <w:spacing w:before="0" w:after="0" w:line="360"/>
        <w:ind w:right="0" w:left="0"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a classificação adotada pelo legislador constituinte estabeleceu cinco espécies ao gênero direitos e garantias fundamentais: direitos individuais e coletivos – correspondem aos direitos diretamente ligados ao conceito de pessoa humana e de sua própria personalidade, como, por exemplo, vida, dignidade, liberdade; direitos sociais – caracterizam-se como verdadeiras liberdades positivas, de observância obrigatória em um Estado Social de Direito, tendo por finalidade a melhoria das condições de vida aos hipossuficientes (aqueles que sobrevivem com o mínimo de condições financeiras e os miseráveis), visando à concretização da igualdade social; </w:t>
      </w:r>
    </w:p>
    <w:p>
      <w:pPr>
        <w:spacing w:before="0" w:after="0" w:line="360"/>
        <w:ind w:right="0" w:left="0"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direitos de nacionalidade – nacionalidade é o vínculo jurídico político que liga um individuo a certo e determinado Estado, fazendo desse indivíduo um componente do povo, da dimensão pessoal deste Estado, capacitando-o a exigir sua proteção e sujeitando-o ao cumprimento de deveres impostos; direitos políticos – conjunto de regras que disciplina as formas de atuação da soberania popular. São direitos públicos subjetivos que investem o indivíduo no </w:t>
      </w:r>
      <w:r>
        <w:rPr>
          <w:rFonts w:ascii="Times New Roman" w:hAnsi="Times New Roman" w:cs="Times New Roman" w:eastAsia="Times New Roman"/>
          <w:i/>
          <w:color w:val="auto"/>
          <w:spacing w:val="0"/>
          <w:position w:val="0"/>
          <w:sz w:val="24"/>
          <w:shd w:fill="auto" w:val="clear"/>
        </w:rPr>
        <w:t xml:space="preserve">status activae civitatis</w:t>
      </w:r>
      <w:r>
        <w:rPr>
          <w:rFonts w:ascii="Times New Roman" w:hAnsi="Times New Roman" w:cs="Times New Roman" w:eastAsia="Times New Roman"/>
          <w:color w:val="auto"/>
          <w:spacing w:val="0"/>
          <w:position w:val="0"/>
          <w:sz w:val="24"/>
          <w:shd w:fill="auto" w:val="clear"/>
        </w:rPr>
        <w:t xml:space="preserve">, permitindo-lhe o exercício concreto da liberdade de participação nos negócios políticos do Estado, de maneira a conferir os atributos da cidadania; direitos relacionados à existência, organização e participação em partidos políticos – a Constituição Federal regulamentou os partidos políticos como instrumentos necessários e importantes para preservação do Estado Democrático de Direito, assegurando-lhes autonomia e plena liberdade de atuação, para concretizar o sistema representativo. </w:t>
      </w:r>
    </w:p>
    <w:p>
      <w:pPr>
        <w:spacing w:before="0" w:after="0" w:line="360"/>
        <w:ind w:right="0" w:left="0"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 Constituição de 1988, artigo 5º em toda sua extensão, apresenta subsídios na proteção dos direitos do homem, como, por exemplo, direito à vida, liberdade de pensamento, liberdade religiosa, livre exercício de profissão, liberdade de informação, liberdade de locomoção, combate ao racismo.   </w:t>
      </w:r>
    </w:p>
    <w:p>
      <w:pPr>
        <w:spacing w:before="0" w:after="0" w:line="360"/>
        <w:ind w:right="0" w:left="0"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Moraes (2007) salienta, (</w:t>
      </w:r>
      <w:r>
        <w:rPr>
          <w:rFonts w:ascii="Times New Roman" w:hAnsi="Times New Roman" w:cs="Times New Roman" w:eastAsia="Times New Roman"/>
          <w:i/>
          <w:color w:val="auto"/>
          <w:spacing w:val="0"/>
          <w:position w:val="0"/>
          <w:sz w:val="24"/>
          <w:shd w:fill="auto" w:val="clear"/>
        </w:rPr>
        <w:t xml:space="preserve">apud</w:t>
      </w:r>
      <w:r>
        <w:rPr>
          <w:rFonts w:ascii="Times New Roman" w:hAnsi="Times New Roman" w:cs="Times New Roman" w:eastAsia="Times New Roman"/>
          <w:color w:val="auto"/>
          <w:spacing w:val="0"/>
          <w:position w:val="0"/>
          <w:sz w:val="24"/>
          <w:shd w:fill="auto" w:val="clear"/>
        </w:rPr>
        <w:t xml:space="preserve"> Pimenta Bueno) analisando a Constituição do Império, apresentava uma divisão tripartida dos direitos fundamentais em relação às pessoas: direitos individuais ou naturais, direitos civis e direitos políticos, para concluir afirmando que: “os primeiros são filhos da natureza, pertencem ao homem porque é homem, porque é um ente racional e moral, são propriedades suas e não criaturas da lei positiva, são atributos, dádivas do Criador. Os segundos ou civis compreendem duas partes, uma que se compõe dos mesmos direitos individuais reconhecidos e garantidos pela lei civil, outra que resulta puramente das instituições e disposições cíveis de cada nacionalidade. Os terceiros ou políticos são filhos unicamente das leis ou constituições políticas, são criações das conveniências e condições destas, e não faculdades naturais.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Conclusão</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 intenção era chegar a uma análise da realidade sobre a promoção da igualdade de gênero e a discriminação, conhecendo as legislações pertinentes da Natureza e do Homem, conclui-se que as ações e reações constrangedoras e reprováveis promovida pelo Homem na sociedade, suficiente para compreender a ausência de conhecimento à lei da Natureza e sua real interpretação, provocando para si a responsabilidade de seus atos sem necessidade. Há relação nas leis citadas, homens e mulheres são iguais.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fim de compreender melhor o problema, suponhamos que a Natureza seja uma pirâmide. No ápice encontra-se Deus; nas faces laterais estão a justiça, o amor e a caridade; próximo à base o Homem. Deus dá ao Homem a vida e o livre arbítrio. O Homem por sua vez, seja pela curiosidade ou pela ausência de inteligência, tende a modificar, ou melhor, não cumprir os princípios dessa pirâmide. Ele, com suas escavações tende a infiltrar suas idéias e ações, como resultado o desequilíbrio dos indivíduos na sociedade.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a Constituição de 1988 com a função de proteger a dignidade da pessoa humana, age como se fosse agulha e linha costurando essas aberturas, impedindo o Homem na realização de ação discriminatória.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preciso dizer que somente a educação moral acompanhada de vontade, de respeito e de companheirismo pode banir da sociedade todo e qualquer tipo de violência: a força física, as atitudes rudes, as palavras mal colocadas, as disputas pelo poder, pela posição social.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Enfim, na prática a lei da Natureza é dominante e eficaz – da justiça, e a lei do Homem fica no abstrato.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REFERÊNCIAS BIBLIOGRÁFICAS</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KARDEC, Allan. </w:t>
      </w:r>
      <w:r>
        <w:rPr>
          <w:rFonts w:ascii="Times New Roman" w:hAnsi="Times New Roman" w:cs="Times New Roman" w:eastAsia="Times New Roman"/>
          <w:i/>
          <w:color w:val="auto"/>
          <w:spacing w:val="0"/>
          <w:position w:val="0"/>
          <w:sz w:val="24"/>
          <w:shd w:fill="auto" w:val="clear"/>
        </w:rPr>
        <w:t xml:space="preserve">Necessidade da Vida Social.</w:t>
      </w:r>
      <w:r>
        <w:rPr>
          <w:rFonts w:ascii="Times New Roman" w:hAnsi="Times New Roman" w:cs="Times New Roman" w:eastAsia="Times New Roman"/>
          <w:color w:val="auto"/>
          <w:spacing w:val="0"/>
          <w:position w:val="0"/>
          <w:sz w:val="24"/>
          <w:shd w:fill="auto" w:val="clear"/>
        </w:rPr>
        <w:t xml:space="preserve"> In: __</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Lei de Sociedade.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Idem. </w:t>
      </w:r>
      <w:r>
        <w:rPr>
          <w:rFonts w:ascii="Times New Roman" w:hAnsi="Times New Roman" w:cs="Times New Roman" w:eastAsia="Times New Roman"/>
          <w:i/>
          <w:color w:val="auto"/>
          <w:spacing w:val="0"/>
          <w:position w:val="0"/>
          <w:sz w:val="24"/>
          <w:shd w:fill="auto" w:val="clear"/>
        </w:rPr>
        <w:t xml:space="preserve">Estado Natural.</w:t>
      </w:r>
      <w:r>
        <w:rPr>
          <w:rFonts w:ascii="Times New Roman" w:hAnsi="Times New Roman" w:cs="Times New Roman" w:eastAsia="Times New Roman"/>
          <w:color w:val="auto"/>
          <w:spacing w:val="0"/>
          <w:position w:val="0"/>
          <w:sz w:val="24"/>
          <w:shd w:fill="auto" w:val="clear"/>
        </w:rPr>
        <w:t xml:space="preserve"> In: __ Lei do Progresso.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Civilização.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Progresso da Legislação humana.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w:t>
      </w:r>
      <w:r>
        <w:rPr>
          <w:rFonts w:ascii="Times New Roman" w:hAnsi="Times New Roman" w:cs="Times New Roman" w:eastAsia="Times New Roman"/>
          <w:i/>
          <w:color w:val="auto"/>
          <w:spacing w:val="0"/>
          <w:position w:val="0"/>
          <w:sz w:val="24"/>
          <w:shd w:fill="auto" w:val="clear"/>
        </w:rPr>
        <w:t xml:space="preserve">Igualdade Natural.</w:t>
      </w:r>
      <w:r>
        <w:rPr>
          <w:rFonts w:ascii="Times New Roman" w:hAnsi="Times New Roman" w:cs="Times New Roman" w:eastAsia="Times New Roman"/>
          <w:color w:val="auto"/>
          <w:spacing w:val="0"/>
          <w:position w:val="0"/>
          <w:sz w:val="24"/>
          <w:shd w:fill="auto" w:val="clear"/>
        </w:rPr>
        <w:t xml:space="preserve"> In: __ Lei de Igualdade.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w:t>
      </w:r>
      <w:r>
        <w:rPr>
          <w:rFonts w:ascii="Times New Roman" w:hAnsi="Times New Roman" w:cs="Times New Roman" w:eastAsia="Times New Roman"/>
          <w:i/>
          <w:color w:val="auto"/>
          <w:spacing w:val="0"/>
          <w:position w:val="0"/>
          <w:sz w:val="24"/>
          <w:shd w:fill="auto" w:val="clear"/>
        </w:rPr>
        <w:t xml:space="preserve">Desigualdade de Aptidões.</w:t>
      </w:r>
      <w:r>
        <w:rPr>
          <w:rFonts w:ascii="Times New Roman" w:hAnsi="Times New Roman" w:cs="Times New Roman" w:eastAsia="Times New Roman"/>
          <w:color w:val="auto"/>
          <w:spacing w:val="0"/>
          <w:position w:val="0"/>
          <w:sz w:val="24"/>
          <w:shd w:fill="auto" w:val="clear"/>
        </w:rPr>
        <w:t xml:space="preserve"> In: __ Lei de Igualdade.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w:t>
      </w:r>
      <w:r>
        <w:rPr>
          <w:rFonts w:ascii="Times New Roman" w:hAnsi="Times New Roman" w:cs="Times New Roman" w:eastAsia="Times New Roman"/>
          <w:i/>
          <w:color w:val="auto"/>
          <w:spacing w:val="0"/>
          <w:position w:val="0"/>
          <w:sz w:val="24"/>
          <w:shd w:fill="auto" w:val="clear"/>
        </w:rPr>
        <w:t xml:space="preserve">Desigualdades Sociais.</w:t>
      </w:r>
      <w:r>
        <w:rPr>
          <w:rFonts w:ascii="Times New Roman" w:hAnsi="Times New Roman" w:cs="Times New Roman" w:eastAsia="Times New Roman"/>
          <w:color w:val="auto"/>
          <w:spacing w:val="0"/>
          <w:position w:val="0"/>
          <w:sz w:val="24"/>
          <w:shd w:fill="auto" w:val="clear"/>
        </w:rPr>
        <w:t xml:space="preserve"> In: __ Lei de Igualdade.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Limite do trabalho. Repouso.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Provas da Riqueza e da Miséria.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Igualdade de Direitos do Homem e da Mulher.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Caracteres do Homem de Bem. O Livro dos Espíritos, 116ª edição,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MORAES, Alexandre de. Princípio da Dignidade da Pessoa Humana. Constituição do Brasil Interpretada e Legislação Constitucional, Editora Atlas, 7ª edição,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Idem. Princípio da Igualdade. Constituição do Brasil Interpretada e Legislação Constitucional, Editora Atlas, 7ª edição,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Ibidem. Classificação dos Direitos Fundamentais na Constituição de 1988. Constituição do Brasil Interpretada e Legislação Constitucional, Editora Atlas, 7ª edição,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OLHAR DO ESTRANGEIRO NA LITERATURA BRASILEIRA – UMA LEITURA DO CONTO “MISS EDITH E SEU TIO” DE LIMA BARRETO - PROBLEMA NACIONALISTA? </w:t>
      </w:r>
    </w:p>
    <w:p>
      <w:pPr>
        <w:spacing w:before="100" w:after="1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Cristiano Mello de Oliveira</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RESUMO: </w:t>
      </w:r>
      <w:r>
        <w:rPr>
          <w:rFonts w:ascii="Times New Roman" w:hAnsi="Times New Roman" w:cs="Times New Roman" w:eastAsia="Times New Roman"/>
          <w:color w:val="auto"/>
          <w:spacing w:val="0"/>
          <w:position w:val="0"/>
          <w:sz w:val="22"/>
          <w:shd w:fill="auto" w:val="clear"/>
        </w:rPr>
        <w:t xml:space="preserve">Este estudo centra-se em analisar o aspecto da colonização inglesa no Brasil e suas repercussões positivas e negativas nos nossos costumes e cultura. Iremos investigar e avaliar qual seria o motivo principal para o tratamento superior concedido a esses estrangeiros.  Para isso esmiuçaremos o conto “Miss Edith e seu Tio” do escritor Lima Barreto, através dos principais efeitos alegóricos e implícitos que privilegiaram nosso tratamento em relação aos ingleses. Ao examinar essas assertivas discursivas teóricas e literárias seremos possivelmente capazes de uma prolífica consciência da valorização da nossa nação. A relevância que pretendemos atingir é da projeção desse estudo para a formulação de novas reflexões possivelmente fecundas no campo literário e na formação de uma consciência nacional.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Palavras-Chave</w:t>
      </w:r>
      <w:r>
        <w:rPr>
          <w:rFonts w:ascii="Times New Roman" w:hAnsi="Times New Roman" w:cs="Times New Roman" w:eastAsia="Times New Roman"/>
          <w:color w:val="auto"/>
          <w:spacing w:val="0"/>
          <w:position w:val="0"/>
          <w:sz w:val="22"/>
          <w:shd w:fill="auto" w:val="clear"/>
        </w:rPr>
        <w:t xml:space="preserve">: Ingleses,</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colonização, tratamento superior, Lima Barreto. </w:t>
      </w:r>
    </w:p>
    <w:p>
      <w:pPr>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Calibri" w:hAnsi="Calibri" w:cs="Calibri" w:eastAsia="Calibri"/>
          <w:b/>
          <w:color w:val="auto"/>
          <w:spacing w:val="0"/>
          <w:position w:val="0"/>
          <w:sz w:val="22"/>
          <w:shd w:fill="auto" w:val="clear"/>
        </w:rPr>
        <w:t xml:space="preserve">ABSTRACT:</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auto"/>
          <w:spacing w:val="0"/>
          <w:position w:val="0"/>
          <w:sz w:val="20"/>
          <w:shd w:fill="FFFFFF" w:val="clear"/>
        </w:rPr>
        <w:t xml:space="preserve">This study focuses on analyzing the aspect of British colonization in Brazil and its positive and negative influences in our customs and culture. We will investigate and evaluate what would be the main reason for treatment than those granted to foreigners. To do this thoroughly analyzing the story "Miss Edith and her Uncle" writer Lee Baker, through the main parade and implicit effects that enhanced our treatment with the British. In examining these claims theoretical and literary discourse will be able to a prolific about the valuation of our nation. The importance that we want to achieve is the projection of this study for the formulation of new thinking possibly fruitful in the literary field and the formation of a national consciousness.</w:t>
      </w:r>
    </w:p>
    <w:p>
      <w:pPr>
        <w:spacing w:before="100" w:after="10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KEY WORDS: </w:t>
      </w:r>
      <w:r>
        <w:rPr>
          <w:rFonts w:ascii="Times New Roman" w:hAnsi="Times New Roman" w:cs="Times New Roman" w:eastAsia="Times New Roman"/>
          <w:color w:val="000000"/>
          <w:spacing w:val="0"/>
          <w:position w:val="0"/>
          <w:sz w:val="22"/>
          <w:shd w:fill="EBEFF9" w:val="clear"/>
        </w:rPr>
        <w:t xml:space="preserve">British, colonization, treatment education, Lima Barreto</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ALGUNS PRESSUPOSTOS</w:t>
      </w:r>
    </w:p>
    <w:p>
      <w:pPr>
        <w:spacing w:before="100" w:after="100" w:line="240"/>
        <w:ind w:right="0" w:left="288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Dizem que D. João VI quando chegou à Bahia em 1808 foi logo mandando iluminar a cidade: era </w:t>
      </w:r>
      <w:r>
        <w:rPr>
          <w:rFonts w:ascii="Times New Roman" w:hAnsi="Times New Roman" w:cs="Times New Roman" w:eastAsia="Times New Roman"/>
          <w:b/>
          <w:color w:val="auto"/>
          <w:spacing w:val="0"/>
          <w:position w:val="0"/>
          <w:sz w:val="20"/>
          <w:shd w:fill="auto" w:val="clear"/>
        </w:rPr>
        <w:t xml:space="preserve">“para o inglês ver”.</w:t>
      </w:r>
      <w:r>
        <w:rPr>
          <w:rFonts w:ascii="Times New Roman" w:hAnsi="Times New Roman" w:cs="Times New Roman" w:eastAsia="Times New Roman"/>
          <w:color w:val="auto"/>
          <w:spacing w:val="0"/>
          <w:position w:val="0"/>
          <w:sz w:val="20"/>
          <w:shd w:fill="auto" w:val="clear"/>
        </w:rPr>
        <w:t xml:space="preserve"> </w:t>
        <w:tab/>
      </w:r>
    </w:p>
    <w:p>
      <w:pPr>
        <w:spacing w:before="0" w:after="0" w:line="240"/>
        <w:ind w:right="0" w:left="0" w:firstLine="708"/>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 expressão destacada na epígrafe visa a lembrar a cerimônia feita por nossas autoridades, tendo em vista a chegada de uma visita “distinta” e “requintada”, e remonta uma questão peculiar respeitosa ao tratamento privilegiado ofertado ao homem estrangeiro. O olhar cristalizado do cidadão brasileiro para o homem vindo de fora foi sempre sinônimo de admiração e consagração. Tamanho privilégio dado a esses estrangeiros continua sendo a forma de cordialidade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e ao mesmo tempo subalternidade aos interesses alheios. Estendemos de tapete vermelho para nossas visitas caminharem, porém escondemos por baixo as sujeiras daquilo que causa má impressão. É como se vivêssemos somente por uma aparência temporária. Isto é: podemos andar com um traje bonito e elegante, porém as peças debaixo podem ficar rasgadas e gastas.  Guiada pelo mote sugerido por Gilberto Freyre, iremos iniciar o nosso ensaio e será esse o nosso fio condutor para tal perspectiva.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708"/>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Para tanto, focalizamos aqui algumas indagações pertinentes que irão permear a nossa evolução ensaística ao longo desse trabalho: por que agimos diferentemente estabelecendo privilégios no trato com estrangeiros que visitam nosso país? Por que acreditamos que somos incapazes de melhorar o cenário do Brasil no exterior? Até quando iremos manter a </w:t>
      </w:r>
      <w:r>
        <w:rPr>
          <w:rFonts w:ascii="Times New Roman" w:hAnsi="Times New Roman" w:cs="Times New Roman" w:eastAsia="Times New Roman"/>
          <w:i/>
          <w:color w:val="auto"/>
          <w:spacing w:val="0"/>
          <w:position w:val="0"/>
          <w:sz w:val="22"/>
          <w:shd w:fill="auto" w:val="clear"/>
        </w:rPr>
        <w:t xml:space="preserve">práxis </w:t>
      </w:r>
      <w:r>
        <w:rPr>
          <w:rFonts w:ascii="Times New Roman" w:hAnsi="Times New Roman" w:cs="Times New Roman" w:eastAsia="Times New Roman"/>
          <w:color w:val="auto"/>
          <w:spacing w:val="0"/>
          <w:position w:val="0"/>
          <w:sz w:val="22"/>
          <w:shd w:fill="auto" w:val="clear"/>
        </w:rPr>
        <w:t xml:space="preserve">de uma postura alienada aos centros capitalistas e ponderarmos tais situações? Por qual motivo outorgamos tal raciocínio e esse tipo de comportamento? Quais foram às razões ideológicas e filosóficas que fizeram tantos escritores da nossa literatura abordar tal tema? Como nossa matriz histórica-sociológica tem se modificado ao longo do tempo? Como se formula o escopo do conto “Miss Edith e seu Tio” e o que sua leitura possui de emblemática a esses fatores já questionados? O argumento abaixo fortalece ainda mais o enfatizar o questionamento para tema proposto nesse trabalho. Antonio Candido apresenta assim: </w:t>
      </w:r>
    </w:p>
    <w:p>
      <w:pPr>
        <w:spacing w:before="100" w:after="1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Por outro lado, se aceitarmos a realidade na minúcia completa das suas discordâncias e singularidades, sem querer mutilar a impressão vigorosa que deixa, </w:t>
      </w:r>
      <w:r>
        <w:rPr>
          <w:rFonts w:ascii="Times New Roman" w:hAnsi="Times New Roman" w:cs="Times New Roman" w:eastAsia="Times New Roman"/>
          <w:b/>
          <w:color w:val="auto"/>
          <w:spacing w:val="0"/>
          <w:position w:val="0"/>
          <w:sz w:val="20"/>
          <w:shd w:fill="auto" w:val="clear"/>
        </w:rPr>
        <w:t xml:space="preserve">temos de renunciar à ordem, indispensável em toda investigação intelectual.</w:t>
      </w:r>
      <w:r>
        <w:rPr>
          <w:rFonts w:ascii="Times New Roman" w:hAnsi="Times New Roman" w:cs="Times New Roman" w:eastAsia="Times New Roman"/>
          <w:color w:val="auto"/>
          <w:spacing w:val="0"/>
          <w:position w:val="0"/>
          <w:sz w:val="20"/>
          <w:shd w:fill="auto" w:val="clear"/>
        </w:rPr>
        <w:t xml:space="preserve"> (CANDIDO, 1981, p. 30) </w:t>
      </w:r>
      <w:r>
        <w:rPr>
          <w:rFonts w:ascii="Times New Roman" w:hAnsi="Times New Roman" w:cs="Times New Roman" w:eastAsia="Times New Roman"/>
          <w:b/>
          <w:color w:val="auto"/>
          <w:spacing w:val="0"/>
          <w:position w:val="0"/>
          <w:sz w:val="20"/>
          <w:shd w:fill="auto" w:val="clear"/>
        </w:rPr>
        <w:t xml:space="preserve">Grifo nossos</w:t>
      </w:r>
      <w:r>
        <w:rPr>
          <w:rFonts w:ascii="Times New Roman" w:hAnsi="Times New Roman" w:cs="Times New Roman" w:eastAsia="Times New Roman"/>
          <w:color w:val="auto"/>
          <w:spacing w:val="0"/>
          <w:position w:val="0"/>
          <w:sz w:val="24"/>
          <w:shd w:fill="auto" w:val="clear"/>
        </w:rPr>
        <w:tab/>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Renunciar aquilo que já está pronto seria desconstruir a particularidade feita sobre tal assunto e construí-la novamente.</w:t>
      </w:r>
      <w:r>
        <w:rPr>
          <w:rFonts w:ascii="Times New Roman" w:hAnsi="Times New Roman" w:cs="Times New Roman" w:eastAsia="Times New Roman"/>
          <w:color w:val="auto"/>
          <w:spacing w:val="0"/>
          <w:position w:val="0"/>
          <w:sz w:val="24"/>
          <w:shd w:fill="auto" w:val="clear"/>
        </w:rPr>
        <w:t xml:space="preserve"> Tal assertiva possui algo muito peculiar ao que desejamos realizar aqui nesse trabalho. </w:t>
      </w:r>
      <w:r>
        <w:rPr>
          <w:rFonts w:ascii="Times New Roman" w:hAnsi="Times New Roman" w:cs="Times New Roman" w:eastAsia="Times New Roman"/>
          <w:color w:val="auto"/>
          <w:spacing w:val="0"/>
          <w:position w:val="0"/>
          <w:sz w:val="22"/>
          <w:shd w:fill="auto" w:val="clear"/>
        </w:rPr>
        <w:t xml:space="preserve">E mais ainda poderíamos aqui citar por um outro viés o que diz Walter Benjamin no seu clássico ensaio sobra a obra de Nikolai Leskov: “O historiador é obrigado a explicar de uma outra maneira os episódios com que lida, e não pode absolutamente contentar-se em representá-los como modelos da história do mundo”( BENJAMIN, p. 209).</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2"/>
          <w:shd w:fill="auto" w:val="clear"/>
        </w:rPr>
        <w:t xml:space="preserve">Ou seja, devemos sim questionar os modelos britânicos implantados na nação brasileira.</w:t>
      </w:r>
      <w:r>
        <w:rPr>
          <w:rFonts w:ascii="Times New Roman" w:hAnsi="Times New Roman" w:cs="Times New Roman" w:eastAsia="Times New Roman"/>
          <w:color w:val="auto"/>
          <w:spacing w:val="0"/>
          <w:position w:val="0"/>
          <w:sz w:val="24"/>
          <w:shd w:fill="auto" w:val="clear"/>
        </w:rPr>
        <w:t xml:space="preserve"> Tanto pensando como Candido, tanto como Benjamin. </w:t>
      </w:r>
      <w:r>
        <w:rPr>
          <w:rFonts w:ascii="Times New Roman" w:hAnsi="Times New Roman" w:cs="Times New Roman" w:eastAsia="Times New Roman"/>
          <w:color w:val="auto"/>
          <w:spacing w:val="0"/>
          <w:position w:val="0"/>
          <w:sz w:val="22"/>
          <w:shd w:fill="auto" w:val="clear"/>
        </w:rPr>
        <w:t xml:space="preserve">Adiante veremos melhor o alcance desse argumento.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2"/>
          <w:shd w:fill="auto" w:val="clear"/>
        </w:rPr>
        <w:t xml:space="preserve">Assim o povo brasileiro foi educado, a reservar devoção à figura do estrangeiro, como alguém superior e melhor aos seus modelos, valorizando sempre a cultura exterior como mais rica e vantajosa. Podemos observar como o crítico literário Brito Broca ilustra essa situação: “O chique era mesmo ignorar o Brasil e delirar por Paris, numa atitude afetada e nem sempre inteligente.” ( BROCA, 2004,  p. 143)  Pensamos que o crítico corrobora para esse tipo de situação? É óbvio que aqui se faz uma crítica cruel à  nação brasileira. Intelecto soberano e distinto desse povo, era o olhar do intelectual brasileiro para o europeu, aqui particularmente a figura do homem britânico.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Uma outra frase a ser lembrada dentro desse contexto de maneira análoga é a do crítico Nelson Werneck</w:t>
      </w:r>
      <w:r>
        <w:rPr>
          <w:rFonts w:ascii="Times New Roman" w:hAnsi="Times New Roman" w:cs="Times New Roman" w:eastAsia="Times New Roman"/>
          <w:color w:val="auto"/>
          <w:spacing w:val="0"/>
          <w:position w:val="0"/>
          <w:sz w:val="22"/>
          <w:shd w:fill="auto" w:val="clear"/>
        </w:rPr>
        <w:t xml:space="preserve"> “A atitude comum da pessoa culta, no princípio do século, é de admiração pela Europa, mas de desprezo pelos Estados Unidos.” (WERNECK, 1998, p. 295). É visível a nossa idéia de que nosso país, enquanto nação, esteve sempre voltado para fora, com os pensamentos em desarmonia com a realidade social, em virtude do povo haver sido totalmente afastado das decisões nacionais. É como se pudéssemos aceitar subordinadamente</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que nossa humildade econômica é sinônima desse passado avarento, sem glamour verdadeiro, em que rejeitados e trabalhadores braçais uniram-se a contragosto,</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evocando nossas raízes</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implicando numa sociedade ignorante e injusta</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historiador Caio Prado Junior na sua obra </w:t>
      </w:r>
      <w:r>
        <w:rPr>
          <w:rFonts w:ascii="Times New Roman" w:hAnsi="Times New Roman" w:cs="Times New Roman" w:eastAsia="Times New Roman"/>
          <w:i/>
          <w:color w:val="auto"/>
          <w:spacing w:val="0"/>
          <w:position w:val="0"/>
          <w:sz w:val="22"/>
          <w:shd w:fill="auto" w:val="clear"/>
        </w:rPr>
        <w:t xml:space="preserve">Formação do Brasil Contemporâneo</w:t>
      </w:r>
      <w:r>
        <w:rPr>
          <w:rFonts w:ascii="Times New Roman" w:hAnsi="Times New Roman" w:cs="Times New Roman" w:eastAsia="Times New Roman"/>
          <w:color w:val="auto"/>
          <w:spacing w:val="0"/>
          <w:position w:val="0"/>
          <w:sz w:val="22"/>
          <w:shd w:fill="auto" w:val="clear"/>
        </w:rPr>
        <w:t xml:space="preserve">, já abordava que não iremos ser uma nação independente apenas pelo Grito do Ipiranga, enquanto não corrigimos as deformações que sistematizaram o nosso legado colonial.  Em suma: pode-se definir através desses postulados que, de fato, tais acontecimentos estão embutidos no próprio psicologismo da escravidão e da colonização. E assim, praticamente fomos educados a quase sempre desvalorizar os serviços brutos em relação aos intelectuais e consagra-los praticamente nas mãos dos estrangeiros que chegavam ao Brasil. Edward Said projeta uma leitura questionadora para os efeitos coloniais por intermédio dos romances e das grandes obras que repercutiram o nosso contexto cultural, vejamos os detalhes:</w:t>
        <w:tab/>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Ler essas grandes obras do período imperial em retrospecto e numa heterofonia com outras histórias e tradições em contraponto, lê-las à luz dá descolonização, não significa minimizar sua grande força estética nem tratá-las de modo reducionista como propaganda imperialista. Todavia, </w:t>
      </w:r>
      <w:r>
        <w:rPr>
          <w:rFonts w:ascii="Times New Roman" w:hAnsi="Times New Roman" w:cs="Times New Roman" w:eastAsia="Times New Roman"/>
          <w:b/>
          <w:color w:val="auto"/>
          <w:spacing w:val="0"/>
          <w:position w:val="0"/>
          <w:sz w:val="20"/>
          <w:shd w:fill="auto" w:val="clear"/>
        </w:rPr>
        <w:t xml:space="preserve">erro muito mais grave é lê-las desvinculado de suas ligações com os fatos políticos que lhes deram espaço e forma.</w:t>
      </w:r>
      <w:r>
        <w:rPr>
          <w:rFonts w:ascii="Times New Roman" w:hAnsi="Times New Roman" w:cs="Times New Roman" w:eastAsia="Times New Roman"/>
          <w:color w:val="auto"/>
          <w:spacing w:val="0"/>
          <w:position w:val="0"/>
          <w:sz w:val="20"/>
          <w:shd w:fill="auto" w:val="clear"/>
        </w:rPr>
        <w:t xml:space="preserve"> ( SAID, 1993, p. 212)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 volta à epígrafe-título, percebemos que: se arrumar a casa era necessário na época de D. João VI, quanto mais à pensão de propriedade de Madame Barbosa, personagem de Lima Barreto, onde acomodaria os novos hóspedes estrangeiros, principalmente, pois acima de tudo agradá-los seria responsabilidade credora da proprietária.  A expressão “para o inglês ver” também se tornara comum e fora praticada na sociedade brasileira, a partir daquela época. Essa expressão se clarificará à medida que iremos avançando nesse respectivo trabalho, mas, por hora, desejamos apenas sublinhar e entrelaçar aspectos introdutórios. </w:t>
      </w:r>
      <w:r>
        <w:rPr>
          <w:rFonts w:ascii="Times New Roman" w:hAnsi="Times New Roman" w:cs="Times New Roman" w:eastAsia="Times New Roman"/>
          <w:color w:val="000000"/>
          <w:spacing w:val="0"/>
          <w:position w:val="0"/>
          <w:sz w:val="22"/>
          <w:shd w:fill="FFFF00" w:val="clear"/>
        </w:rPr>
        <w:t xml:space="preserve">Durante tal empreitada iremos realizar</w:t>
      </w:r>
      <w:r>
        <w:rPr>
          <w:rFonts w:ascii="Times New Roman" w:hAnsi="Times New Roman" w:cs="Times New Roman" w:eastAsia="Times New Roman"/>
          <w:color w:val="auto"/>
          <w:spacing w:val="0"/>
          <w:position w:val="0"/>
          <w:sz w:val="22"/>
          <w:shd w:fill="auto" w:val="clear"/>
        </w:rPr>
        <w:t xml:space="preserve"> um esboço histórico das correlações inglesas na nossa nação e após isso abordarmos o conto “Miss Edith e seu Tio” do escritor Lima Barreto, investigando os modelos de narrativa que ilustravam tal perspectiva social. Esta escolha não é gratuita: Lima empreendeu nesse conto uma espécie de desmascaramento sobre o nosso perfil submisso em relação aos interesses ingleses.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Ao optar pela junção entre ficção e história, o escritor carioca, recupera idéias sobre a História do Brasil, especificamente do caso dos grandes empréstimos que nosso célebre Barão de Mauá contraiu nos fins do século XIX. Os banqueiros ingleses Rothschilds emprestaram uma quantidade significativa de dinheiro para financiar boa parte das obras nacionais. Justifica o estudioso Marins: “A habilidade de Lima Barreto em trabalhar com dados históricos é admirável. Em poucas linhas ele situa o leitor em uma realidade histórica rica que se esconde por trás de toda a atmosfera de mistificação que envolve o conto.” (MARINS, 2004, p. 226). Todavia, o escritor carioca conseguiu empreender tal mescla, utilizando o pano de fundo histórico como cenário persuasivo realístico para aclimatar sua tessitura romanesca.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escritor Lima Barreto era contra qualquer cultura de privilégios a todos os tipos de pessoas. Inclusive, cabe aqui relatar, a existência, da sua parte, desde o começo de sua carreira uma perseguição aos doutores: “Para a massa total dos brasileiros, o doutor [estrangeiro] é mais inteligente do que outro qualquer, e só ele é inteligente; é sábio [...]” (BARRETO, p. 329). É notável, verificarmos ao longo de seus trabalhos certa aversão para aquilo que chegava do exterior, assim como a cultura letrada, baseada nos moldes da universidade. Na visão de Lima o nosso poderia tentar reduzir ao longo do texto ‘nosso’ Brasil, ou seja, deveria ser uma nação justa sob vários desses aspectos, e, para [Lima] continuar exercendo o seu ofício com destreza precisaria fazer da sua arte literária, uma espécie de militância e denúncia social sobre os variados problemas que observava nas elites cariocas.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É necessário frisar que, lidamos, no desenrolar desse trabalho, com alguns anacronismos, que sempre existem em qualquer ação temporal, lugar ou texto, para falar-se sobre tal perspectiva contemporânea. Ou seja, acontecimentos e obras que podem se situar em datas e períodos diferenciados.  Repetindo: enveredaremos percursos variados que abordam teorias distintas sobre a questão das correlações do estrangeiro britânico na história e literatura nacional para melhor enriquecer o próprio trabalho. É diante das retrospectivas e prospectivas que se ligarão tais assuntos. A relevância do respectivo trabalho busca contribuir para o aprofundamento das questões culturais e fortalecer a crítica literária sobre o escritor carioca Lima Barreto.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tab/>
        <w:t xml:space="preserve"> Ressalvamos que, no dialogar com tais correntes teóricas e ideológicas, não será  intenção e objetivo de legitimar nenhum discurso e sim refletirmos e levantarmos hipóteses necessárias, postulando consequentemente à compreensão de tais questões. A leitura do conto “Miss Edith e seu tio”, no entanto, não pode ser feita de forma ingênua, é necessário desmembrar os processos de denúncia social, sem outorgarmos um caráter negativo. Para isso esboçaremos as diferentes perspectivas teóricas de alguns estudiosos sobre o assunto.  Movimento que tentaremos investigar a seguir. </w:t>
      </w:r>
    </w:p>
    <w:p>
      <w:pPr>
        <w:spacing w:before="100" w:after="100" w:line="36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 ESTRANGEIRO VISTO DE OUTRA FORMA </w:t>
      </w:r>
    </w:p>
    <w:p>
      <w:pPr>
        <w:spacing w:before="100" w:after="10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É por isso que o Brasil não vai para adiante. O brasileiro é o maior inimigo de sua pátria.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18"/>
          <w:shd w:fill="auto" w:val="clear"/>
        </w:rPr>
        <w:tab/>
      </w:r>
      <w:r>
        <w:rPr>
          <w:rFonts w:ascii="Times New Roman" w:hAnsi="Times New Roman" w:cs="Times New Roman" w:eastAsia="Times New Roman"/>
          <w:color w:val="auto"/>
          <w:spacing w:val="0"/>
          <w:position w:val="0"/>
          <w:sz w:val="22"/>
          <w:shd w:fill="auto" w:val="clear"/>
        </w:rPr>
        <w:t xml:space="preserve">O estrangeiro esteve sempre na imagem da cultura brasileira; certamente porque somos uma cultura perto de várias misturas sem deixar esquecer da história do Brasil - colônia. No contexto colonial da nossa nação já conseguíamos flagrar tais episódios. Gilberto Freyre investigou isso profundamente em várias de suas obras. Sendo assim, o próprio perfil do homem forasteiro foi visto através de outras lentes e óticas. Ou seja, da visão do historiador, do romancista, do crítico literário e de outros que cumpriam o mesmo papel: representar e assistir. Tal imaginário pode ser identificado em vários momentos e em diferentes produções artísticas nacionais e internacionais. Podemos para fins de análise discorrer sobre apenas três produções: cinematográfica, literária e musical.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Se buscássemos primeiramente as técnicas cinematográficas empregadas contemporaneamente no contexto da nação brasileira solucionaríamos uma excelente reprodução de como os estrangeiros são vistos e vangloriados pelo nosso povo. Nesse sentido, podemos verificar o grau de respeito e submissão ao homem estrangeiro. Tal exemplo desse diálogo seria o filme “Turistas”, que fora estreado e rodado em nosso território nacional. O filme chegara a ser proibido pela própria Empresa Brasileira de Turismo, porém como as coisas não costumam vigorar por muito tempo em nosso país, logo foi liberado para apresentação pública. Ensaiando o desenrolar do próprio filme, a estória narra à aventura de um grupo de jovens estrangeiros, que ao chegarem ao Brasil são roubados e caem na mão de um médico, traficante de órgãos, e líder negativo de uma quadrilha especializada nesse assunto.  De um modo geral, o desenvolvimento do filme apresenta algumas formas de respeito e tentativa de agrado aos estrangeiros por parte dos brasileiros. Junto a isso, a crítica cinematográfica fez enormes acusações à falta de consideração ao nosso país, pelo roteiro ter sido prejudicial a nossa reputação enquanto nação. </w:t>
      </w:r>
      <w:r>
        <w:rPr>
          <w:rFonts w:ascii="Times New Roman" w:hAnsi="Times New Roman" w:cs="Times New Roman" w:eastAsia="Times New Roman"/>
          <w:i/>
          <w:color w:val="auto"/>
          <w:spacing w:val="0"/>
          <w:position w:val="0"/>
          <w:sz w:val="22"/>
          <w:shd w:fill="auto" w:val="clear"/>
        </w:rPr>
        <w:t xml:space="preserve">Grosso modo</w:t>
      </w:r>
      <w:r>
        <w:rPr>
          <w:rFonts w:ascii="Times New Roman" w:hAnsi="Times New Roman" w:cs="Times New Roman" w:eastAsia="Times New Roman"/>
          <w:color w:val="auto"/>
          <w:spacing w:val="0"/>
          <w:position w:val="0"/>
          <w:sz w:val="22"/>
          <w:shd w:fill="auto" w:val="clear"/>
        </w:rPr>
        <w:t xml:space="preserve">, o filme demonstra a oposição do tratamento refinado dado aos estrangeiros e a desconsideração atribuída às nossas regras morais e éticas, consequentemente alguns imprevistos hostis acabam ocorrendo em relação aos estrangeiros durante a evolução dos variados episódios.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r>
      <w:r>
        <w:rPr>
          <w:rFonts w:ascii="Times New Roman" w:hAnsi="Times New Roman" w:cs="Times New Roman" w:eastAsia="Times New Roman"/>
          <w:color w:val="auto"/>
          <w:spacing w:val="0"/>
          <w:position w:val="0"/>
          <w:sz w:val="22"/>
          <w:shd w:fill="auto" w:val="clear"/>
        </w:rPr>
        <w:t xml:space="preserve">Buscando pela análise literária, pode-se notar um outro viés análogo, no conto “Miss Dollar” de </w:t>
      </w:r>
      <w:r>
        <w:rPr>
          <w:rFonts w:ascii="Times New Roman" w:hAnsi="Times New Roman" w:cs="Times New Roman" w:eastAsia="Times New Roman"/>
          <w:i/>
          <w:color w:val="auto"/>
          <w:spacing w:val="0"/>
          <w:position w:val="0"/>
          <w:sz w:val="22"/>
          <w:shd w:fill="auto" w:val="clear"/>
        </w:rPr>
        <w:t xml:space="preserve">Contos Fluminenses</w:t>
      </w:r>
      <w:r>
        <w:rPr>
          <w:rFonts w:ascii="Times New Roman" w:hAnsi="Times New Roman" w:cs="Times New Roman" w:eastAsia="Times New Roman"/>
          <w:color w:val="auto"/>
          <w:spacing w:val="0"/>
          <w:position w:val="0"/>
          <w:sz w:val="22"/>
          <w:shd w:fill="auto" w:val="clear"/>
        </w:rPr>
        <w:t xml:space="preserve">, do escritor Machado de Assis.  O narrador machadiano articula muito bem sua estória, deixa-nos entrever e mantendo o leitor preso até o final do conto, com isso facilitaria um grande e emocionante desfecho. Percebe-se que o narrador faz uma espécie de cerimônia particular para saudar o estilo da própria cachorrinha. Vejamos no trecho: “Para esse, a Miss Dollar verdadeiramente digna de ser contada em algumas páginas, seria uma </w:t>
      </w:r>
      <w:r>
        <w:rPr>
          <w:rFonts w:ascii="Times New Roman" w:hAnsi="Times New Roman" w:cs="Times New Roman" w:eastAsia="Times New Roman"/>
          <w:b/>
          <w:color w:val="auto"/>
          <w:spacing w:val="0"/>
          <w:position w:val="0"/>
          <w:sz w:val="22"/>
          <w:shd w:fill="auto" w:val="clear"/>
        </w:rPr>
        <w:t xml:space="preserve">boa inglesa</w:t>
      </w:r>
      <w:r>
        <w:rPr>
          <w:rFonts w:ascii="Times New Roman" w:hAnsi="Times New Roman" w:cs="Times New Roman" w:eastAsia="Times New Roman"/>
          <w:color w:val="auto"/>
          <w:spacing w:val="0"/>
          <w:position w:val="0"/>
          <w:sz w:val="22"/>
          <w:shd w:fill="auto" w:val="clear"/>
        </w:rPr>
        <w:t xml:space="preserve"> de cinqüenta anos, dotada com algumas mil libras esterlinas, e que, aportando ao Brasil em procura de assunto para escrever um romance, realizasse um romance verdadeiro, casando com o leitor aludido.” (ASSIS, 1975, p. 54). Vejamos o termo “ boa inglesa”, o narrador acaba evocando como garantia de um futuro próspero, ou seja,  um bom partido para quem casasse. O efeito análogo serve para ilustrar ainda mais a valorização da cultura estrangeira, especificamente inglesa no seio da nossa nação.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Novamente, por uma outra </w:t>
      </w:r>
      <w:r>
        <w:rPr>
          <w:rFonts w:ascii="Times New Roman" w:hAnsi="Times New Roman" w:cs="Times New Roman" w:eastAsia="Times New Roman"/>
          <w:color w:val="000000"/>
          <w:spacing w:val="0"/>
          <w:position w:val="0"/>
          <w:sz w:val="22"/>
          <w:shd w:fill="auto" w:val="clear"/>
        </w:rPr>
        <w:t xml:space="preserve">ótica,</w:t>
      </w:r>
      <w:r>
        <w:rPr>
          <w:rFonts w:ascii="Times New Roman" w:hAnsi="Times New Roman" w:cs="Times New Roman" w:eastAsia="Times New Roman"/>
          <w:color w:val="auto"/>
          <w:spacing w:val="0"/>
          <w:position w:val="0"/>
          <w:sz w:val="22"/>
          <w:shd w:fill="auto" w:val="clear"/>
        </w:rPr>
        <w:t xml:space="preserve"> agora selecionamos o musical, tentaremos mostrar o efeito da canção que fora publicada na Gazeta de Notícias da cidade do Rio de Janeiro. O efeito brilhante intertextual da letra dessa música, provavelmente ensaiada no contexto finessecular dos oitocentos. A letra dialoga intensivamente com o efeito colonizador predatório instaurado no Rio de Janeiro no ano de 1877.   </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Coisas que cá trouxeram</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outros remotos lugares,</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Tão facilmente se deram</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 a terra e com os ares,</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Que foram logo mui nossas</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Como é nosso o Corcovado,</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Como são nossas as roças,</w:t>
        <w:tab/>
        <w:tab/>
        <w:tab/>
        <w:tab/>
        <w:tab/>
        <w:tab/>
        <w:tab/>
        <w:tab/>
        <w:t xml:space="preserve">      Como é nosso o bom bocado,</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Dizem até que, não tendo</w:t>
      </w:r>
    </w:p>
    <w:p>
      <w:pPr>
        <w:keepLines w:val="true"/>
        <w:spacing w:before="100" w:after="10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Firme a personalidade,</w:t>
      </w:r>
    </w:p>
    <w:p>
      <w:pPr>
        <w:keepLines w:val="true"/>
        <w:spacing w:before="100" w:after="10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Vamos tudo recebendo</w:t>
      </w:r>
    </w:p>
    <w:p>
      <w:pPr>
        <w:keepLines w:val="true"/>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Alto e malo na verdade. </w:t>
        <w:tab/>
        <w:t xml:space="preserve"> 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Percebemos nitidamente na canção exposta acima, a expressão: “Vamos tudo recebendo”, e verificamos que não existe nenhum tipo de crivo ou critério pelo povo brasileiro para aceitar aquilo que chega de fora. Sendo assim, não havendo discernimento de seleção fica difícil encontrar parâmetros que definam melhor o sentimento do cidadão brasileiro pela indústria nacional, assim como valorização daquilo que o povo brasileiro produz, seja no âmbito cultural ou artístico. Ainda na canção exposta, observamos que não existe nenhum tipo de balizamento ideológico que envolva tradições e valores nacionais pela cultura interna, pois o povo vai apenas dando valor aquilo que é externo.  Até o monumento do Corcovado, símbolo maior da cidade do Rio de Janeiro e do país, fora planejado e construído por engenheiros franceses.  Diante de tal perspectiva, resta a indagação bastante pertinente: até quando continuaremos aceitando tudo que chega de fora?  Certamente a resposta bifurca-se por vários caminhos desencontrados. Na tentativa de formular uma hipótese cabível para isso, </w:t>
      </w:r>
      <w:r>
        <w:rPr>
          <w:rFonts w:ascii="Times New Roman" w:hAnsi="Times New Roman" w:cs="Times New Roman" w:eastAsia="Times New Roman"/>
          <w:b/>
          <w:color w:val="auto"/>
          <w:spacing w:val="0"/>
          <w:position w:val="0"/>
          <w:sz w:val="22"/>
          <w:shd w:fill="auto" w:val="clear"/>
        </w:rPr>
        <w:t xml:space="preserve">vejamos se conseguimos explorar isso no decorrer do nosso ensaio.</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Esse tratamento diferenciado entre brasileiros e estrangeiros também pode ser muito bem detalhado nesse relato longo e refinado, ao qual se identifica o privilégio concebido ao inglês que chegasse a terras brasileiras. Percebemos o fino trato ao estrangeiro e a eterna desconfiança em relação ao nosso povo pelo estrangeiro. Mediocridade e mesquinharia perpassam nessa reflexão e a experiência do imigrante que enxerga no ar, as indiferenças entre o comportamento social e o alheio.   A indagação que permanece no final da citação também não é nada gratuita, pois tenta verificar e questionar o verdadeiro engodo que a alfândega brasileira representa para situações corriqueiras com os imigrantes recém chegados. Podemos verificar os detalhes no trecho:</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Assim sendo, tais indivíduos eram chamados e deixavam as filas, mesmo quando tinha nos seus empregos e ocupações uma posição menos importante que a de muitas pessoas que continuavam nas filas. Observei, continuaria ele, </w:t>
      </w:r>
      <w:r>
        <w:rPr>
          <w:rFonts w:ascii="Times New Roman" w:hAnsi="Times New Roman" w:cs="Times New Roman" w:eastAsia="Times New Roman"/>
          <w:b/>
          <w:color w:val="auto"/>
          <w:spacing w:val="0"/>
          <w:position w:val="0"/>
          <w:sz w:val="20"/>
          <w:shd w:fill="auto" w:val="clear"/>
        </w:rPr>
        <w:t xml:space="preserve">que ser estrangeiro dava direito imediato a um melhor tratamento do que ser um nativo.</w:t>
      </w:r>
      <w:r>
        <w:rPr>
          <w:rFonts w:ascii="Times New Roman" w:hAnsi="Times New Roman" w:cs="Times New Roman" w:eastAsia="Times New Roman"/>
          <w:color w:val="auto"/>
          <w:spacing w:val="0"/>
          <w:position w:val="0"/>
          <w:sz w:val="20"/>
          <w:shd w:fill="auto" w:val="clear"/>
        </w:rPr>
        <w:t xml:space="preserve"> De fato, evitando maiores delongas junto ao funcionário que manipulava um moderníssimo computador cujo banco de dados fica à disposição da polícia. ‘Curioso’, concluiria novamente o nosso imaginário e perplexo Aléxis de Tocqueville, ‘que num país tão pobre de recursos os bancos de dados ultramodernos tenham sido implantados primeiro para o controle policial dos cidadãos do país e até hoje a pesquisa científica vegete em busca de verbas para essas máquinas. Será que o liberalismo brasileiro tem uma bela teoria de igualdade, mas na prática tudo é diferente?’ ( DAMATTA, 1979, p. 74)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b/>
          <w: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Ora, o divisor das águas, representado pela alfândega brasileira, acaba cedendo notável tratamento diferenciado ofertado em caráter de respeito e uma nítida submissão para com os estrangeiros. Cabem aqui três indagações que completam a problemática no final da citação acima: qual seria o tipo de controle e grau de acuidade realizado pela nossa imigração? Até quando se pode tolerar esse tipo de situação discrepante em nossa nação? Será que nos países europeus o tratamento também funciona dessa maneira?  Possivelmente a resposta perde-se nos montantes de papéis burocráticos e no sistema fálico do direito internacional. Resta ficar com a famosa frase praticada nos últimos anos pelos parlamentares em Brasília: “No Brasil tudo acaba em pizza...”, e nos contentar-se sobre tal realidade.  Volvemos agora o nosso olhar para descrever os estudos teóricos realizados entre a relação do povo brasileiro ao povo inglês. </w:t>
      </w:r>
    </w:p>
    <w:p>
      <w:pPr>
        <w:spacing w:before="100" w:after="100" w:line="36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OLHAR DO EUROPEU EM TERRAS BRASILICAS</w:t>
      </w:r>
    </w:p>
    <w:p>
      <w:pPr>
        <w:spacing w:before="100" w:after="10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Os romancistas ingleses, mais do que outros, cultivaram o romance de </w:t>
      </w:r>
      <w:r>
        <w:rPr>
          <w:rFonts w:ascii="Times New Roman" w:hAnsi="Times New Roman" w:cs="Times New Roman" w:eastAsia="Times New Roman"/>
          <w:i/>
          <w:color w:val="auto"/>
          <w:spacing w:val="0"/>
          <w:position w:val="0"/>
          <w:sz w:val="20"/>
          <w:shd w:fill="auto" w:val="clear"/>
        </w:rPr>
        <w:t xml:space="preserve">high life</w:t>
      </w:r>
      <w:r>
        <w:rPr>
          <w:rFonts w:ascii="Times New Roman" w:hAnsi="Times New Roman" w:cs="Times New Roman" w:eastAsia="Times New Roman"/>
          <w:color w:val="auto"/>
          <w:spacing w:val="0"/>
          <w:position w:val="0"/>
          <w:sz w:val="20"/>
          <w:shd w:fill="auto" w:val="clear"/>
        </w:rPr>
        <w:t xml:space="preserve"> [...]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Inúmeros estudiosos interpretaram a questão da relação do europeu com outros povos. O resultado desse eurocentrismo foi a amplitude de diversas reflexões e questões que discutiram tal temática. No entanto, nesse ensaio desejamos ser breve, tomando apenas e privilegiando relatos dos historiadores e sociólogos: Sérgio Buarque de Holanda, Rui Barbosa, Joaquim Nabuco, Edward Said, Stuart Hall, Roberto DaMatta e Gilberto Freyre. Iremos ancorar os diálogos nessas linhas mestras para refletir sobre tal perspectiva.  Posteriormente, é após o decorrer desse diálogo teórico histórico que iremos contracenar com o nosso objeto de estudo: o conto “Miss Edith e seu Tio”, do escritor carioca Lima Barreto. Buscam-se breves evidências no conto que melhor ilustram a nossa problemática.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Na visão de Freyre (1977), a educação brasileira estava pautada e moldada no contexto europeu. Esse diálogo colonial iria prezar sempre pelo contato com as crianças pela valorização da vestimenta à européia. Ou seja, buscando sempre uma aparência externa naquilo que usavam, voltando esse figurino para imitar os modelos europeus. Talvez seja esse o principal motivo que essa glorificação do vestuário vindo de fora tenha condicionado o brasileiro a sentir-se melhor perante os outros. Aliás, os modelos de vestimenta usados pelos brasileiros quase sempre possuíram o espelho em Paris e na Inglaterra. Nesse sentido,  Gilberto Freyre alerta que isso gerou um contraste muito grande, pois de fato essa influência passaria a artificializar nossas vidas, cessar os nossos valores e tradições, de esconder nossas vontades e gosto por aquilo natural e puro.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Não obstante, contracenamos também com a chegada dos serviços básicos e fundamentais que iriam erguer a nossa nação. Partindo desse amplo e polêmico pressuposto, verificamos que vários modelos de inovações tomaram da nação brasileira a partir da metade do século XIX.  Essas matrizes serviram para nortear aquilo que também seria produzido na indústria nacional nos anos posteriores. Após a implantação desses artefatos é que o aspecto evolutivo foi-se modificando ao longo dos anos. Isto é: primeiro os serviços primários que serviriam de impulso propulsor e, depois, os secundários para complementá-los.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Um Brasil onde as primeiras fundições modernas, o primeiro cabo submarino, as primeiras estradas de ferro, os primeiros telégrafos, os primeiros bondes, as primeiras moendas de engenho moderno de açúcar, a primeira iluminação a gás, os primeiros barcos a vapor, as primeiras redes de esgotos </w:t>
      </w:r>
      <w:r>
        <w:rPr>
          <w:rFonts w:ascii="Times New Roman" w:hAnsi="Times New Roman" w:cs="Times New Roman" w:eastAsia="Times New Roman"/>
          <w:b/>
          <w:color w:val="auto"/>
          <w:spacing w:val="0"/>
          <w:position w:val="0"/>
          <w:sz w:val="20"/>
          <w:shd w:fill="auto" w:val="clear"/>
        </w:rPr>
        <w:t xml:space="preserve">foram, quase todas, obras de inglês</w:t>
      </w:r>
      <w:r>
        <w:rPr>
          <w:rFonts w:ascii="Times New Roman" w:hAnsi="Times New Roman" w:cs="Times New Roman" w:eastAsia="Times New Roman"/>
          <w:color w:val="auto"/>
          <w:spacing w:val="0"/>
          <w:position w:val="0"/>
          <w:sz w:val="20"/>
          <w:shd w:fill="auto" w:val="clear"/>
        </w:rPr>
        <w:t xml:space="preserve">.  (FREYRE, 1977, p. 27)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A preponderância inglesa era acima de tudo inegável em vários aspectos incrementados na nossa nação. Desde os serviços básicos, passando pelos transportes e inovando através das primeiras máquinas industriais que revolucionaram o nosso conceito de chão de fábrica. Até mesmo a própria energia elétrica que chegava ao Rio de Janeiro, evolucionando novas maneiras de inventar o nosso cotidiano.  Por outro viés discursivo e oratório, o grande orador Rui Barbosa descreve retoricamente muito bem o poder bélico grandioso da Inglaterra. O orador utiliza através da sua representação verbal o máximo da persuasão retórica que visa a colocar em um pedestal toda a nação britânica. Observamos a forte carga semântica lexical aplicada a tal enobrecimento desse império distinto. É possível notar nessa passagem, a extrema urgência da nação inglesa, em afirmar-se como desenvolvida e soberana, até que se possa provar o contrário.  Tal preocupação fazia-se necessária para continuar perpetuando o seu aspecto dominador e reinante.</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Há uns poucos dias que o poço, o ancoradouro do Rio de Janeiro, nos oferece extraordinário panorama. Ao correr dos bondes pelas ruas de onde se descortina o mar, todos os olhos estendem-se para ele. A superfície do elemento azul, cinco pavilhões estrangeiros afirmam diversamente o tamanho das nacionalidades, que representam. Ali se ostenta, de extremo a extremo, a escala inteira do poder naval, desde a </w:t>
      </w:r>
      <w:r>
        <w:rPr>
          <w:rFonts w:ascii="Times New Roman" w:hAnsi="Times New Roman" w:cs="Times New Roman" w:eastAsia="Times New Roman"/>
          <w:b/>
          <w:color w:val="auto"/>
          <w:spacing w:val="0"/>
          <w:position w:val="0"/>
          <w:sz w:val="20"/>
          <w:shd w:fill="auto" w:val="clear"/>
        </w:rPr>
        <w:t xml:space="preserve">grandeza crescente da Grã-Bretanha</w:t>
      </w:r>
      <w:r>
        <w:rPr>
          <w:rFonts w:ascii="Times New Roman" w:hAnsi="Times New Roman" w:cs="Times New Roman" w:eastAsia="Times New Roman"/>
          <w:color w:val="auto"/>
          <w:spacing w:val="0"/>
          <w:position w:val="0"/>
          <w:sz w:val="20"/>
          <w:shd w:fill="auto" w:val="clear"/>
        </w:rPr>
        <w:t xml:space="preserve">, a mãe dos mares, a semeadora de povos [...] ( BARBOSA, 1984, p. 95) </w:t>
      </w:r>
      <w:r>
        <w:rPr>
          <w:rFonts w:ascii="Times New Roman" w:hAnsi="Times New Roman" w:cs="Times New Roman" w:eastAsia="Times New Roman"/>
          <w:b/>
          <w:color w:val="auto"/>
          <w:spacing w:val="0"/>
          <w:position w:val="0"/>
          <w:sz w:val="20"/>
          <w:shd w:fill="auto" w:val="clear"/>
        </w:rPr>
        <w:t xml:space="preserve">Grifo nossos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Verificamos a expressão “grandeza crescente da Grã-Bretanha” evoca a imaginar o potencial histórico evolutivo que sobremaneira prescreverá várias atitudes nacionalistas e militares. Aliás, o poder bélico britânico precisava ser evidenciado, para expressar o seu sentimento de grandeza e orgulho perante as outras nações.  O poder bélico era evocado de maneira histórica através das diversas conquistas relatadas nas grandes enciclopédias. Noutras palavras, foi um longo processo duradouro de combate e batalhas, onde permaneceu somente o mais forte. Somando-se ao contexto da cultura nacional britânica ofertado por Rui Barbosa, pressentimos, com efeito, a luxúria apresentada nesse trecho eloqüente em forma de batalhas e conquistas descritas pelo sociólogo jamaicano Stuart Hall: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maioria das nações consiste de culturas separadas que só foram unificadas por um longo processo de conquista violenta – isto é, pela supressão forçada da diferença cultural. “ </w:t>
      </w:r>
      <w:r>
        <w:rPr>
          <w:rFonts w:ascii="Times New Roman" w:hAnsi="Times New Roman" w:cs="Times New Roman" w:eastAsia="Times New Roman"/>
          <w:b/>
          <w:color w:val="auto"/>
          <w:spacing w:val="0"/>
          <w:position w:val="0"/>
          <w:sz w:val="20"/>
          <w:shd w:fill="auto" w:val="clear"/>
        </w:rPr>
        <w:t xml:space="preserve">O povo britânico” é constituído por uma série desse tipo de conquistas – céltica, romana, saxônica, viking e normanda. </w:t>
      </w:r>
      <w:r>
        <w:rPr>
          <w:rFonts w:ascii="Times New Roman" w:hAnsi="Times New Roman" w:cs="Times New Roman" w:eastAsia="Times New Roman"/>
          <w:color w:val="auto"/>
          <w:spacing w:val="0"/>
          <w:position w:val="0"/>
          <w:sz w:val="20"/>
          <w:shd w:fill="auto" w:val="clear"/>
        </w:rPr>
        <w:t xml:space="preserve">Ao longo de toda a Europa, essa estória se repete </w:t>
      </w:r>
      <w:r>
        <w:rPr>
          <w:rFonts w:ascii="Times New Roman" w:hAnsi="Times New Roman" w:cs="Times New Roman" w:eastAsia="Times New Roman"/>
          <w:i/>
          <w:color w:val="auto"/>
          <w:spacing w:val="0"/>
          <w:position w:val="0"/>
          <w:sz w:val="20"/>
          <w:shd w:fill="auto" w:val="clear"/>
        </w:rPr>
        <w:t xml:space="preserve">ad nauseam</w:t>
      </w:r>
      <w:r>
        <w:rPr>
          <w:rFonts w:ascii="Times New Roman" w:hAnsi="Times New Roman" w:cs="Times New Roman" w:eastAsia="Times New Roman"/>
          <w:color w:val="auto"/>
          <w:spacing w:val="0"/>
          <w:position w:val="0"/>
          <w:sz w:val="20"/>
          <w:shd w:fill="auto" w:val="clear"/>
        </w:rPr>
        <w:t xml:space="preserve">. Cada conquista subjugou povos conquistados e suas culturas, costumes, línguas e tradições, e tentou impor uma hegemonia cultural mais unificada. ( HALL, 2005, p. 60)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É possível verificar claramente no trecho supracitado uma demarcação territorial de batalha e glória. Ambas são unificadas pela conquista histórica que ia suprimindo e transformando tudo em uma única potência. As batalhas envolvem variadas ramificações de gerações civilizatórias que lutam por um mesmo ideal de conquista. Diante desse contexto,  encontramos novamente uma descrição grandiosa, agora comparando com efeito preponderante a “hegemonia” inglesa com seus países vizinhos, todos formadores do denominado Reino Unido. A região do sul da Inglaterra é destacada perante as outras partes da nação, colocando em prática o aspecto hegemônico das outras regiões geográficas e as outras nações que estão ao seu redor.  Aqui se observa que não existe uma preocupação imediata ou em longo prazo de compartilhar a solidariedade em relação às nações vizinhas, assim como qualquer tipo de caráter fraterno e substancial da própria cultura. Ou seja, são </w:t>
      </w:r>
      <w:r>
        <w:rPr>
          <w:rFonts w:ascii="Times New Roman" w:hAnsi="Times New Roman" w:cs="Times New Roman" w:eastAsia="Times New Roman"/>
          <w:i/>
          <w:color w:val="auto"/>
          <w:spacing w:val="0"/>
          <w:position w:val="0"/>
          <w:sz w:val="22"/>
          <w:shd w:fill="auto" w:val="clear"/>
        </w:rPr>
        <w:t xml:space="preserve">vizinhos amigáveis</w:t>
      </w:r>
      <w:r>
        <w:rPr>
          <w:rFonts w:ascii="Times New Roman" w:hAnsi="Times New Roman" w:cs="Times New Roman" w:eastAsia="Times New Roman"/>
          <w:color w:val="auto"/>
          <w:spacing w:val="0"/>
          <w:position w:val="0"/>
          <w:sz w:val="22"/>
          <w:shd w:fill="auto" w:val="clear"/>
        </w:rPr>
        <w:t xml:space="preserve"> apenas no papel e não na prática: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Assim, a cultura “britânica” não consiste de uma parceria igual entre as culturas componentes do Reino Unido, </w:t>
      </w:r>
      <w:r>
        <w:rPr>
          <w:rFonts w:ascii="Times New Roman" w:hAnsi="Times New Roman" w:cs="Times New Roman" w:eastAsia="Times New Roman"/>
          <w:b/>
          <w:color w:val="auto"/>
          <w:spacing w:val="0"/>
          <w:position w:val="0"/>
          <w:sz w:val="20"/>
          <w:shd w:fill="auto" w:val="clear"/>
        </w:rPr>
        <w:t xml:space="preserve">mas da hegemonia efetiva da cultura “inglesa”, localizada no sul, que se representa a si própria como à cultura britânica essencial,</w:t>
      </w:r>
      <w:r>
        <w:rPr>
          <w:rFonts w:ascii="Times New Roman" w:hAnsi="Times New Roman" w:cs="Times New Roman" w:eastAsia="Times New Roman"/>
          <w:color w:val="auto"/>
          <w:spacing w:val="0"/>
          <w:position w:val="0"/>
          <w:sz w:val="20"/>
          <w:shd w:fill="auto" w:val="clear"/>
        </w:rPr>
        <w:t xml:space="preserve"> por cima das culturas escocesas, galesas e irlandesas e, na verdade, por cima de outras culturas regionais.  ( HALL, 2005,  p. 60) </w:t>
      </w:r>
      <w:r>
        <w:rPr>
          <w:rFonts w:ascii="Times New Roman" w:hAnsi="Times New Roman" w:cs="Times New Roman" w:eastAsia="Times New Roman"/>
          <w:b/>
          <w:color w:val="auto"/>
          <w:spacing w:val="0"/>
          <w:position w:val="0"/>
          <w:sz w:val="20"/>
          <w:shd w:fill="auto" w:val="clear"/>
        </w:rPr>
        <w:t xml:space="preserve">Grifo nossos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As vizinhanças entre as nações podiam estar insatisfeitas, no entanto, quando o assunto é mercado consumidor, logicamente passa a existir notável interesse econômico ou financeiro entre alguns países. Mesmo que fosse fora do contexto europeu, os interesses precisavam ser remediados e angariados. Agora, tal preocupação econômica está diante de um país muito afastado do próprio Reino Unido. É daí, que notamos as correlações inglesas que fizeram parte do nosso cotidiano. Sendo variadas e que buscavam sempre novas fileiras de adeptos para seu consumo, tendo em vista os produtos importados que chegavam até os portos nacionais para atender os consumidores. Cabe ressalvar que a cultura inglesa também mesclou e fundiu com os elementos de brasilidade. Gilberto Freyre relata tal correlação:</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0"/>
          <w:shd w:fill="auto" w:val="clear"/>
        </w:rPr>
        <w:t xml:space="preserve">A influência do mister pode-se atribuir, com efeito, além da introdução, no Brasil, ou da generalização, entre nós, do fato branco, do chá, do pão de trigo, da cerveja e depois do whisky, do gin e do rum, do beef, ou bife com batatas, do rosbife, da costeleta de carneiro, do pijama de dormir, do gorro de viagem, do revólver, do rifle esportivo, do macadame, do water-closet, do “jogo de bola” (tennis) e de outros esportes, da residência em subúrbio, da sela inglesa, do piano inglês (superado pelo alemão) [....]  ( FREYRE, 1977 p. 30)</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Os hábitos e costumes do cotidiano brasileiro foram sendo condicionados à moda inglesa. Será que esse efeito produziu algum tipo de subalternidade e rejeição a produção nacional? Nota-se nesse contraponto polêmico e consumista, sendo questionado nitidamente na obra </w:t>
      </w:r>
      <w:r>
        <w:rPr>
          <w:rFonts w:ascii="Times New Roman" w:hAnsi="Times New Roman" w:cs="Times New Roman" w:eastAsia="Times New Roman"/>
          <w:i/>
          <w:color w:val="auto"/>
          <w:spacing w:val="0"/>
          <w:position w:val="0"/>
          <w:sz w:val="22"/>
          <w:shd w:fill="auto" w:val="clear"/>
        </w:rPr>
        <w:t xml:space="preserve">Triste Fim de Policarpo Quaresma.</w:t>
      </w:r>
      <w:r>
        <w:rPr>
          <w:rFonts w:ascii="Times New Roman" w:hAnsi="Times New Roman" w:cs="Times New Roman" w:eastAsia="Times New Roman"/>
          <w:color w:val="auto"/>
          <w:spacing w:val="0"/>
          <w:position w:val="0"/>
          <w:sz w:val="22"/>
          <w:shd w:fill="auto" w:val="clear"/>
        </w:rPr>
        <w:t xml:space="preserve"> A defesa do mercado nacionalista é evocada com firmeza e força mostrando uma forma de orgulho e razão para com a nossa indústria.  O aspecto da valorização dos produtos externos não terá vez na mentalidade do nacionalista Policarpo Quaresma. Durante uma visita a um jantar servido na casa do burocrático Major Quaresma, o personagem Ricardo Coração dos Outros concorda forçosamente com a valorização dos produtos nacionais descritas por Major Quaresma.  Verificamos o diálogo de Quaresma em tom de desabafo para com o amigo Ricardo: </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—Mas é um erro... Não protegem as indústrias nacionais... Comigo não há disso: de tudo que há nacional, eu não uso estrangeiro. Visto-me com pano nacional, calço botas nacionais e assim por diante. (BARRETO, 2004, p. 08 )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Ambas as citações supracitadas acabam discutindo e investigando a cultura britânica inserida no nosso país. Percebemos que foi grande e notável a quantidade de produtos que entraram na nossa nação. Consequentemente, com a entrada de novos artigos, os rótulos e as propagandas contribuíam ainda mais para a propagação de novas expressões e vocábulos que ganhavam força maior na oralidade do povo. Não obstante, o número de vernáculos que surgiram com a vinda do povo inglês ao Brasil foi grandioso, assim a língua portuguesa incorporou essas palavras, ao qual foram surgindo verbos, locuções e novas palavras. Os detalhes sobressaem melhor com toda propriedade do historiador Gilberto Freyre: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ab/>
        <w:t xml:space="preserve"> E com esses anglicismos todos, anglicizou-se também a língua, na qual naturalizam-se verbos como chutar, driblar, blefar, boicotar, macadamizar, boxear, esbofetear, brecar, liderar, lanchar, além das palavras já mencionadas e de várias outras: handicap, esporte (sport), match, futebol (foot-ball), gol ( goal), golquipa (goalkeeper), beque (back), sportman, refe(referee), time ( team), off-side,  craque (crack), turfe (turf), truque (truck), estoque (stock), pudim (pudding), uísque ( whisky), recorde (record), [...] ( FREYRE,  p. 31  1977) </w:t>
        <w:tab/>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Partindo do âmbito das novas palavras ou neologismos para a área educacional, o país sentiu a necessidade de incrementar a língua inglesa nos currículos escolares, tendo em vista a expansão do livre comércio, a revolução industrial na Inglaterra, e o contexto limiar do surto da industrialização do século XIX no Brasil. Observarmos que nesta mesma época um rol de escolas estarão sendo criadas e gerenciadas por ingleses. De fato, isso iria contribuir ainda mais para a expansão da língua inglesa como forma cultural imperiosa de ditar as regras.  E foi assim que os britânicos foram aumentando suas habilidades administrativas e pedagógicas, como é o caso do diretor do Liceu narrado na crônica “O Estrela” de autoria do escritor Lima Barreto:  “O liceu fora dirigido por Mr William Cunditt, </w:t>
      </w:r>
      <w:r>
        <w:rPr>
          <w:rFonts w:ascii="Times New Roman" w:hAnsi="Times New Roman" w:cs="Times New Roman" w:eastAsia="Times New Roman"/>
          <w:b/>
          <w:color w:val="auto"/>
          <w:spacing w:val="0"/>
          <w:position w:val="0"/>
          <w:sz w:val="22"/>
          <w:shd w:fill="auto" w:val="clear"/>
        </w:rPr>
        <w:t xml:space="preserve">um hábil educador inglês</w:t>
      </w:r>
      <w:r>
        <w:rPr>
          <w:rFonts w:ascii="Times New Roman" w:hAnsi="Times New Roman" w:cs="Times New Roman" w:eastAsia="Times New Roman"/>
          <w:color w:val="auto"/>
          <w:spacing w:val="0"/>
          <w:position w:val="0"/>
          <w:sz w:val="22"/>
          <w:shd w:fill="auto" w:val="clear"/>
        </w:rPr>
        <w:t xml:space="preserve"> e conhecedor dessa especialidade de ensinar meninos como todos os ingleses [...]” (BARRETO, p. 319).  </w:t>
      </w:r>
      <w:r>
        <w:rPr>
          <w:rFonts w:ascii="Times New Roman" w:hAnsi="Times New Roman" w:cs="Times New Roman" w:eastAsia="Times New Roman"/>
          <w:i/>
          <w:color w:val="000000"/>
          <w:spacing w:val="0"/>
          <w:position w:val="0"/>
          <w:sz w:val="22"/>
          <w:shd w:fill="auto" w:val="clear"/>
        </w:rPr>
        <w:t xml:space="preserve">Grifos nosso</w:t>
      </w:r>
      <w:r>
        <w:rPr>
          <w:rFonts w:ascii="Times New Roman" w:hAnsi="Times New Roman" w:cs="Times New Roman" w:eastAsia="Times New Roman"/>
          <w:color w:val="auto"/>
          <w:spacing w:val="0"/>
          <w:position w:val="0"/>
          <w:sz w:val="22"/>
          <w:shd w:fill="auto" w:val="clear"/>
        </w:rPr>
        <w:t xml:space="preserve"> Ambas, as habilidades descrevem ainda mais o grau de preponderância dos ingleses quando tinham que lecionar para seus conterrâneos.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Além da importância da língua inglesa para o avanço da nação, era notável o interesse de diversos grupos de negócios que perpetuaram tal contexto. Muitos investidores também permaneciam no Brasil para fecharem acordos e negócios. Nessa mesma época a língua inglesa era considerada elemento imprenscidivel para a formação econômica e cultural da nossa nação.  Os resultados eram nítidos para toda a sociedade brasileira. Alguns estrangeiros, os chamados </w:t>
      </w:r>
      <w:r>
        <w:rPr>
          <w:rFonts w:ascii="Times New Roman" w:hAnsi="Times New Roman" w:cs="Times New Roman" w:eastAsia="Times New Roman"/>
          <w:i/>
          <w:color w:val="auto"/>
          <w:spacing w:val="0"/>
          <w:position w:val="0"/>
          <w:sz w:val="22"/>
          <w:shd w:fill="auto" w:val="clear"/>
        </w:rPr>
        <w:t xml:space="preserve">business man,</w:t>
      </w:r>
      <w:r>
        <w:rPr>
          <w:rFonts w:ascii="Times New Roman" w:hAnsi="Times New Roman" w:cs="Times New Roman" w:eastAsia="Times New Roman"/>
          <w:color w:val="auto"/>
          <w:spacing w:val="0"/>
          <w:position w:val="0"/>
          <w:sz w:val="22"/>
          <w:shd w:fill="auto" w:val="clear"/>
        </w:rPr>
        <w:t xml:space="preserve"> já admirados por tanta exuberância e beleza largavam tudo e permaneciam no Brasil.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Aproveitavam para juntar o útil ao agradável, diante de sombra e água fresca. Nessa mesma época é considerável dizer que os empréstimos de dinheiro realizados pela nossa nação foram amplos e variados. Indubitavelmente, isso fica nítido nas possíveis benfeitorias realizadas no contexto </w:t>
      </w:r>
      <w:r>
        <w:rPr>
          <w:rFonts w:ascii="Times New Roman" w:hAnsi="Times New Roman" w:cs="Times New Roman" w:eastAsia="Times New Roman"/>
          <w:i/>
          <w:color w:val="auto"/>
          <w:spacing w:val="0"/>
          <w:position w:val="0"/>
          <w:sz w:val="22"/>
          <w:shd w:fill="auto" w:val="clear"/>
        </w:rPr>
        <w:t xml:space="preserve">fin de siecle, </w:t>
      </w:r>
      <w:r>
        <w:rPr>
          <w:rFonts w:ascii="Times New Roman" w:hAnsi="Times New Roman" w:cs="Times New Roman" w:eastAsia="Times New Roman"/>
          <w:color w:val="auto"/>
          <w:spacing w:val="0"/>
          <w:position w:val="0"/>
          <w:sz w:val="22"/>
          <w:shd w:fill="auto" w:val="clear"/>
        </w:rPr>
        <w:t xml:space="preserve">que chegara para inovar com os postes de eletricidade, a reforma dos portos, ferrovias e bondes elétricos, empreendidas naquela época pelo nosso maior empresário brasileiro: o Barão de Mauá. Os detalhes ficam nítidos na citação abaixo: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Decididamente, a língua inglesa ia conquistando o próprio reduto brasileiro da latina</w:t>
      </w:r>
      <w:r>
        <w:rPr>
          <w:rFonts w:ascii="Times New Roman" w:hAnsi="Times New Roman" w:cs="Times New Roman" w:eastAsia="Times New Roman"/>
          <w:color w:val="auto"/>
          <w:spacing w:val="0"/>
          <w:position w:val="0"/>
          <w:sz w:val="20"/>
          <w:shd w:fill="auto" w:val="clear"/>
        </w:rPr>
        <w:t xml:space="preserve">: a Minas Gerais dos princípios do século XIX, famosa por seus padres e desembargadores latinistas. Essa conquista foi um dos resultados da abertura dos portos, do estabelecimento de ingleses no Brasil como homens de negócios, da importação de livros ingleses, outrora proibidos pela inquisição ou pelos padres menos liberais. ( FREYRE, 1977, p 37)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Conquista que também favorecia o plano de negócios e o comércio entre Brasil e Inglaterra.  Foi assim que diversos intelectuais permaneciam admirados com tanta maestria e força com os ingleses.  Acreditando incontestavelmente que sempre os cidadãos brasileiros seriam servos dessa cultura quase imposta aos nossos comportamentos sociais. Aliás, servos da intelectualidade externa, sempre fomos, pois o ano de 1822 não representou grandes mudanças culturais no nosso país, o romantismo literário tentou provar isso repentinamente com resquícios de fracasso e desistência. A erudição sempre estava baseada nos moldes portugueses e ingleses, que posteriormente ia condicionar e adaptar os  ideais nacionais aos moldes dos </w:t>
      </w:r>
      <w:r>
        <w:rPr>
          <w:rFonts w:ascii="Times New Roman" w:hAnsi="Times New Roman" w:cs="Times New Roman" w:eastAsia="Times New Roman"/>
          <w:i/>
          <w:color w:val="auto"/>
          <w:spacing w:val="0"/>
          <w:position w:val="0"/>
          <w:sz w:val="22"/>
          <w:shd w:fill="auto" w:val="clear"/>
        </w:rPr>
        <w:t xml:space="preserve">yankees</w:t>
      </w:r>
      <w:r>
        <w:rPr>
          <w:rFonts w:ascii="Times New Roman" w:hAnsi="Times New Roman" w:cs="Times New Roman" w:eastAsia="Times New Roman"/>
          <w:color w:val="auto"/>
          <w:spacing w:val="0"/>
          <w:position w:val="0"/>
          <w:sz w:val="22"/>
          <w:shd w:fill="auto" w:val="clear"/>
        </w:rPr>
        <w:t xml:space="preserve"> para efeito de modelamento soberano e padrão.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A independência não representou imediata emancipação intelectual e nem esta foi alcançada de vez, como se supõe, cem anos depois, com o modernismo. Num país cuja cultura passou de marionete de Paris a boneco de Hollywood, ela sequer foi alcançada; sem independência política, a questão sequer poderia ser colocada. O isolamento nacional é incompatível com a globalização e é feito em nome de valores limitados, restritivos, que endossam o existente como o melhor dos mundos; a globalização, por sua vez, é uma forma de dominação, castrando diferenças. (KOTHE, 2000, p. 106)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Atravessando historicamente o contexto da nossa eterna dependência cultural e intelectual situada desde a própria independência até a contemporaneidade</w:t>
      </w:r>
      <w:r>
        <w:rPr>
          <w:rFonts w:ascii="Times New Roman" w:hAnsi="Times New Roman" w:cs="Times New Roman" w:eastAsia="Times New Roman"/>
          <w:b/>
          <w:color w:val="auto"/>
          <w:spacing w:val="0"/>
          <w:position w:val="0"/>
          <w:sz w:val="22"/>
          <w:shd w:fill="auto" w:val="clear"/>
        </w:rPr>
        <w:t xml:space="preserve">. Ao</w:t>
      </w:r>
      <w:r>
        <w:rPr>
          <w:rFonts w:ascii="Times New Roman" w:hAnsi="Times New Roman" w:cs="Times New Roman" w:eastAsia="Times New Roman"/>
          <w:color w:val="auto"/>
          <w:spacing w:val="0"/>
          <w:position w:val="0"/>
          <w:sz w:val="22"/>
          <w:shd w:fill="auto" w:val="clear"/>
        </w:rPr>
        <w:t xml:space="preserve"> refletir sobre alguns aspectos e realizar uma comparação ideológica aos padrões tradicionais já estabelecidos e verificar porque ainda os brasileiros são considerados atrasados e dependentes da ordem externa européia ou norte-americana. As virtudes nacionalistas são atingidas gradualmente sempre a buscar o ambiente harmônico para atingir tal contexto. É buscando entender esse passado histórico que podemos também montar e modificar para melhor o atual presente. E, em relação a isso não tivemos um passado histórico e cultural muito semelhante aos ingleses. Para justificar tal compreensão, faz-se possível documentar através das palavras de Joaquim Nabuco na sua obra </w:t>
      </w:r>
      <w:r>
        <w:rPr>
          <w:rFonts w:ascii="Times New Roman" w:hAnsi="Times New Roman" w:cs="Times New Roman" w:eastAsia="Times New Roman"/>
          <w:i/>
          <w:color w:val="auto"/>
          <w:spacing w:val="0"/>
          <w:position w:val="0"/>
          <w:sz w:val="22"/>
          <w:shd w:fill="auto" w:val="clear"/>
        </w:rPr>
        <w:t xml:space="preserve">Minha Formação</w:t>
      </w:r>
      <w:r>
        <w:rPr>
          <w:rFonts w:ascii="Times New Roman" w:hAnsi="Times New Roman" w:cs="Times New Roman" w:eastAsia="Times New Roman"/>
          <w:color w:val="auto"/>
          <w:spacing w:val="0"/>
          <w:position w:val="0"/>
          <w:sz w:val="22"/>
          <w:shd w:fill="auto" w:val="clear"/>
        </w:rPr>
        <w:t xml:space="preserve">, e sua admiração sobre a política inglesa, sua disciplina e ordem:</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Politicamente, o espírito inglês pode decompor-se em espírito de tradição, em espírito de realidade, em espírito de ganho, em espírito de força e generosidade, em espírito de progresso e melhoramento, em espírito de ideal: supremacia anglo-saxônica e supremacia cristã no mundo. ( NABUCO, 1976, p 74 )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A quantidade de adjetivos que Nabuco utiliza para elogiar a nação britânica ultrapassa muitos sentimentos. Pinçamos apenas três:  “generosidade”, “progresso”, “ideal”, necessários para uma profunda compreensão e julgamento de prosperidade nacionalista. Cabe aqui uma indagação: quais foram os fundamentos necessários para a formação desses variados espíritos progressistas?   Os fundamentos são caudalosos e necessários e são através deles que podemos compreender os esforços dedicados a cumprir todo um ritual de valores e tradições que são perpassadas de família para família. As demais indagações aparecem naturalmente, tentando responder as nossas inquietudes: a tradição era mantida de que forma? Será que os ingleses foram generosos em relação à cultura brasileira? Vejamos outro trecho que tenta responder e se aproximar com tais indagações aqui formuladas.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tradição, como base do temperamento nacional, produz no inglês a faculdade de admirar a massa histórica de uma instituição, como arquiteto admira a grandeza e o detalhe de uma catedral gótica. Para o inglês, se a liberdade é o grande atributo do homem, se ele a sente como o desenvolvimento da personalidade, a ordem é a verdadeira arquitetura social. ( NABUCO, 1976, p. 74)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Tal espírito dirigido pela ordem e progresso colabora para o alcance da harmonia das instituições, com a teoria de apoio e a prática voltada para o crescimento da nação. Notamos nas linhas supracitadas várias formas de comparação eruditas dos fundamentos britânicos com as atribuições tradicionais que sempre perpetuaram tal perspectiva. As raízes nacionais precisavam ser preservadas e cultivadas ao longo dos séculos. E com certeza foi assim que influenciaram vários outros autores e escritores em distintas nações. Diante desse segmento, que uma série de literatos nobres e clássicos ingleses irá realizar a tentativa de eternizar tais características imprescindíveis para a evolução de suas tradições.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Os ingleses adoram-lhe a lição, e, adaptando a forma às qualidades peculiares do caráter britânico, elevaram-na às mais nobres expressões. É na língua inglesa que se encontram os mais perfeitos exemplares e cultores, numa larga família de artistas: Cowley, Thomas Browne, Burton, Adison, Steele, Hazlitt, Leight Hunt, Charles Lamb, De Quincey, Carlyle, Coleridge, Maucalay, Pater, Ruskin, Chesterton, além do primeiro deles, Francis Bacon.  (COUTINHO, 1976, p. 118)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Indubitavelmente, a resistência dos intelectuais britânicos foi bastante notável pela série de nomes e representações nobres que são mencionados. Os nomes seguem à risca uma ampla familiaridade poética e literária tradicional baseada nos moldes dos países que perpetuam sua glória e sua soberania. Remontam assim, o eixo erudito da matriz que irá posteriormente servir para novas modelações ficcionais em outros países, inclusive o nosso Brasil. Toma-se como exemplo a literatura inglesa utópica de um Francis Bacon, na sua obra </w:t>
      </w:r>
      <w:r>
        <w:rPr>
          <w:rFonts w:ascii="Times New Roman" w:hAnsi="Times New Roman" w:cs="Times New Roman" w:eastAsia="Times New Roman"/>
          <w:i/>
          <w:color w:val="auto"/>
          <w:spacing w:val="0"/>
          <w:position w:val="0"/>
          <w:sz w:val="22"/>
          <w:shd w:fill="auto" w:val="clear"/>
        </w:rPr>
        <w:t xml:space="preserve">Nova Atlândida</w:t>
      </w:r>
      <w:r>
        <w:rPr>
          <w:rFonts w:ascii="Times New Roman" w:hAnsi="Times New Roman" w:cs="Times New Roman" w:eastAsia="Times New Roman"/>
          <w:color w:val="auto"/>
          <w:spacing w:val="0"/>
          <w:position w:val="0"/>
          <w:sz w:val="22"/>
          <w:shd w:fill="auto" w:val="clear"/>
        </w:rPr>
        <w:t xml:space="preserve">, que remonta todo um processo de valorização da coletividade sustentável. Tal obra influenciou outros padrões literários surgidos em nosso país que retratavam a mesma questão.  Para reforçar a grande resistência cultural inglesa, dentro do chamado “imperialismo ocidental”, resolvemos dialogar com toda pertinência a passagem que o estudioso Edward W. Said, coloca em detalhes: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suma, o poder britânico era durável e continuamente reforçado. Na esfera cultural relacionada a ele, e amiúde próxima dele, </w:t>
      </w:r>
      <w:r>
        <w:rPr>
          <w:rFonts w:ascii="Times New Roman" w:hAnsi="Times New Roman" w:cs="Times New Roman" w:eastAsia="Times New Roman"/>
          <w:b/>
          <w:color w:val="auto"/>
          <w:spacing w:val="0"/>
          <w:position w:val="0"/>
          <w:sz w:val="20"/>
          <w:shd w:fill="auto" w:val="clear"/>
        </w:rPr>
        <w:t xml:space="preserve">esse poder era elaborado e enunciado no romance</w:t>
      </w:r>
      <w:r>
        <w:rPr>
          <w:rFonts w:ascii="Times New Roman" w:hAnsi="Times New Roman" w:cs="Times New Roman" w:eastAsia="Times New Roman"/>
          <w:color w:val="auto"/>
          <w:spacing w:val="0"/>
          <w:position w:val="0"/>
          <w:sz w:val="20"/>
          <w:shd w:fill="auto" w:val="clear"/>
        </w:rPr>
        <w:t xml:space="preserve">, cuja presença central constante não encontra equivalente em nenhuma outra parte do mundo. (SAID, 1993,  p. 112)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Todavia, a arte romanesca da nação inglesa deveria ser o eixo propagador e divulgador de sua cultura e tradições. Foi daí que muitos escritores utilizaram o discurso romanesco com uma ótica militante e expansivo de sua cultura. É através dessa modalidade que Edward Said acredita e deposita sua teoria intelectual e fé contemplativa, todavia, como poder centralizador romanesco que amplia seus horizontes culturais à medida que rompe suas fronteiras de leitores e público.  O teórico salienta também a importância de uma compreensão mais crítica sobre o fundamento de tais instituições que pregavam essa eternidade soberana. Said acredita que um profundo entendimento e análise dessas entidades sejam prolíficos para a compreensão de tal problemática existente entre os países desenvolvidos e os subdesenvolvidos. Suas considerações possivelmente servem como incentivo para alguns pesquisadores a investigarem tal assunto.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É muito importante, porém, avaliar como foram construídas tais entidades, e entender com quanto vagar a idéia de uma cultura inglesa desobstruída, por exemplo, adquiriu sua autoridade e poder de se impor através dos oceanos. É uma tarefa descomunal para qualquer pessoa, mas toda uma nova geração de intelectuais e estudiosos do Terceiro Mundo está empenhada justamente nessa empreitada.  (SAID, 1993, p. 90)</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Atravessando a questão das entidades e formação das instituições para uma nova formação revolucionaria.</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Admitindo assim que a tecnologia nacional que hoje  veio diretamente das antigas invenções criadas e incrementadas no cotidiano pelos ingleses pode ser um tanto desfavorável a indústria interna. </w:t>
      </w:r>
      <w:r>
        <w:rPr>
          <w:rFonts w:ascii="Times New Roman" w:hAnsi="Times New Roman" w:cs="Times New Roman" w:eastAsia="Times New Roman"/>
          <w:color w:val="000000"/>
          <w:spacing w:val="0"/>
          <w:position w:val="0"/>
          <w:sz w:val="22"/>
          <w:u w:val="single"/>
          <w:shd w:fill="auto" w:val="clear"/>
        </w:rPr>
        <w:t xml:space="preserve">Aliás, o já conseqüente prejuízo industrial que a nação brasileira estava sofrendo, foi capaz de desmistificar toda uma áurea de celebração daquilo que poderíamos ser capazes de realizarmos com competência.</w:t>
      </w:r>
      <w:r>
        <w:rPr>
          <w:rFonts w:ascii="Times New Roman" w:hAnsi="Times New Roman" w:cs="Times New Roman" w:eastAsia="Times New Roman"/>
          <w:color w:val="auto"/>
          <w:spacing w:val="0"/>
          <w:position w:val="0"/>
          <w:sz w:val="22"/>
          <w:shd w:fill="auto" w:val="clear"/>
        </w:rPr>
        <w:t xml:space="preserve"> A capacidade de mão de obra e criatividade do brasileiro também poderia ter construído muito desses instrumentos e meios de produção.  Comprovamos isso novamente nas palavras de Gilberto Freyre:</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É quase impossível ao brasileiro ouvir falar em máquina, em motor, em ferramenta, em estrada de ferro, em rebocador, em draga, em cabo submarino, em telégrafo, em artigos de aço e de ferro, em brinquedo mecânico, em cadeira de mola, em louça doméstica, em bicicleta, em patim, em aparelho sanitário, em navio de guerra, em vapor, em lancha, em fogão a gás ou a carvão, sem pensar em ingleses. </w:t>
      </w:r>
      <w:r>
        <w:rPr>
          <w:rFonts w:ascii="Times New Roman" w:hAnsi="Times New Roman" w:cs="Times New Roman" w:eastAsia="Times New Roman"/>
          <w:b/>
          <w:color w:val="auto"/>
          <w:spacing w:val="0"/>
          <w:position w:val="0"/>
          <w:sz w:val="20"/>
          <w:shd w:fill="auto" w:val="clear"/>
        </w:rPr>
        <w:t xml:space="preserve">Os ingleses estão ligados como nenhum  outro povo aos começos de modernização das condições materiais de vida do brasileiro:</w:t>
      </w:r>
      <w:r>
        <w:rPr>
          <w:rFonts w:ascii="Times New Roman" w:hAnsi="Times New Roman" w:cs="Times New Roman" w:eastAsia="Times New Roman"/>
          <w:color w:val="auto"/>
          <w:spacing w:val="0"/>
          <w:position w:val="0"/>
          <w:sz w:val="20"/>
          <w:shd w:fill="auto" w:val="clear"/>
        </w:rPr>
        <w:t xml:space="preserve"> das condições de produção, habitação, transporte, recreação, comunicação, iluminação, alimentação e repouso entre nós.  (FREYRE, 1977, p. 59)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Apreendemos através dessa citação supracitada uma quantidade de artefatos grandiosos que revolucionaram pioneiramente a nossa concepção de país dependente. Os variados inventos modificaram a maneira de encarar diversas transformações do cotidiano. As utilidades domésticas e industriais cresceram de tal maneira, que atualmente refleti-se sobre as heranças que os ingleses deixaram para a nação brasileira.  Desde o simples fogão a gás, passando pelo aparelho sanitário, chegando ao ferro à vapor. Fora isso, podemos verificar que o povo brasileiro foi apenas aprimorando e remodelando aquilo que chegava através dos britânicos. Realizando assim um efeito de plágio estrutural nessas novas modelações, colocando uma nova roupagem para deixar ao estilo do povo brasileiro. É através desta recomendação persuasiva, que se tenta remontar toda uma nova estrutura de sentimentos que se explicita, como parte de uma nova evolução. E agora passamos a examinar os aspectos preponderantes no conto “Miss Edith e seu Tio”, nos parágrafos que seguem.  Recapitulando: é a partir dessa etapa que a nossa epígrafe inicial do artigo volta a fazer efeito.  </w:t>
        <w:tab/>
        <w:t xml:space="preserve">   </w:t>
      </w:r>
      <w:r>
        <w:rPr>
          <w:rFonts w:ascii="Times New Roman" w:hAnsi="Times New Roman" w:cs="Times New Roman" w:eastAsia="Times New Roman"/>
          <w:b/>
          <w:color w:val="auto"/>
          <w:spacing w:val="0"/>
          <w:position w:val="0"/>
          <w:sz w:val="22"/>
          <w:shd w:fill="auto" w:val="clear"/>
        </w:rPr>
        <w:tab/>
      </w:r>
    </w:p>
    <w:p>
      <w:pPr>
        <w:spacing w:before="100" w:after="100" w:line="360"/>
        <w:ind w:right="0" w:left="0" w:firstLine="0"/>
        <w:jc w:val="both"/>
        <w:rPr>
          <w:rFonts w:ascii="Times New Roman" w:hAnsi="Times New Roman" w:cs="Times New Roman" w:eastAsia="Times New Roman"/>
          <w:b/>
          <w:color w:val="auto"/>
          <w:spacing w:val="0"/>
          <w:position w:val="0"/>
          <w:sz w:val="22"/>
          <w:shd w:fill="auto" w:val="clear"/>
        </w:rPr>
      </w:pPr>
    </w:p>
    <w:p>
      <w:pPr>
        <w:spacing w:before="100" w:after="100" w:line="36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 ASPECTO “PREPONDERANTE” - DO CONTO “MISS EDITH E SEU TIO”</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O conto “Miss Edith e seu Tio” escrito no ano de 1914 representa os variados aspectos e os distintos significados para os amantes da literatura barretiana. É notável dizer que Lima evoca nesse conto a nostalgia dos efeitos da nossa colonização e da celebração ao tratamento especial ofertado aos ingleses. Primeiramente, o conto fora publicado como apêndice ao final da primeira edição do romance </w:t>
      </w:r>
      <w:r>
        <w:rPr>
          <w:rFonts w:ascii="Times New Roman" w:hAnsi="Times New Roman" w:cs="Times New Roman" w:eastAsia="Times New Roman"/>
          <w:i/>
          <w:color w:val="auto"/>
          <w:spacing w:val="0"/>
          <w:position w:val="0"/>
          <w:sz w:val="22"/>
          <w:shd w:fill="auto" w:val="clear"/>
        </w:rPr>
        <w:t xml:space="preserve">Triste Fim de Policarpo Quaresma</w:t>
      </w:r>
      <w:r>
        <w:rPr>
          <w:rFonts w:ascii="Times New Roman" w:hAnsi="Times New Roman" w:cs="Times New Roman" w:eastAsia="Times New Roman"/>
          <w:color w:val="auto"/>
          <w:spacing w:val="0"/>
          <w:position w:val="0"/>
          <w:sz w:val="22"/>
          <w:shd w:fill="auto" w:val="clear"/>
        </w:rPr>
        <w:t xml:space="preserve">, no ano de 1915. O conto posteriormente fora selecionado e republicado por Francisco de Assis Barbosa na edição denominada </w:t>
      </w:r>
      <w:r>
        <w:rPr>
          <w:rFonts w:ascii="Times New Roman" w:hAnsi="Times New Roman" w:cs="Times New Roman" w:eastAsia="Times New Roman"/>
          <w:i/>
          <w:color w:val="auto"/>
          <w:spacing w:val="0"/>
          <w:position w:val="0"/>
          <w:sz w:val="22"/>
          <w:shd w:fill="auto" w:val="clear"/>
        </w:rPr>
        <w:t xml:space="preserve">Feiras e Mafuás</w:t>
      </w:r>
      <w:r>
        <w:rPr>
          <w:rFonts w:ascii="Times New Roman" w:hAnsi="Times New Roman" w:cs="Times New Roman" w:eastAsia="Times New Roman"/>
          <w:color w:val="auto"/>
          <w:spacing w:val="0"/>
          <w:position w:val="0"/>
          <w:sz w:val="22"/>
          <w:shd w:fill="auto" w:val="clear"/>
        </w:rPr>
        <w:t xml:space="preserve"> no ano de 1953. Possivelmente, o leitor mais atento a esse conto irá verificar o desabafo militante do escritor Lima Barreto em relação ao grau de submissão e respeito dos brasileiros em relação aos ingleses.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conto “Miss Edith e seu Tio” mescla brevemente elementos que hipoteticamente o próprio escritor Lima Barreto tenha vivenciado ou fez alusão para algum episódio de sua vida.  A ficção-vida que consegue alcançar pela ordem narrativa – a vivacidade dos diálogos consegue deixar qualquer leitor surpreso. A todo o momento gera imagens pictóricas vibrantes, que acabam tonificando o efeito real. A distinção hierárquica dos diálogos estabelecidos entre as personagens também contribui bastante para o clima de oposição entre brasileiros e britânicos.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crítica literária referente a esse conto quase não existe, já que se trata também de um conto breve, porém com bastantes efeitos alegóricos, demasiados efeitos de interpretação social e histórico. </w:t>
      </w:r>
      <w:r>
        <w:rPr>
          <w:rFonts w:ascii="Times New Roman" w:hAnsi="Times New Roman" w:cs="Times New Roman" w:eastAsia="Times New Roman"/>
          <w:b/>
          <w:color w:val="auto"/>
          <w:spacing w:val="0"/>
          <w:position w:val="0"/>
          <w:sz w:val="22"/>
          <w:shd w:fill="auto" w:val="clear"/>
        </w:rPr>
        <w:t xml:space="preserve">Aqui buscaremos centrar nossa atenção</w:t>
      </w:r>
      <w:r>
        <w:rPr>
          <w:rFonts w:ascii="Times New Roman" w:hAnsi="Times New Roman" w:cs="Times New Roman" w:eastAsia="Times New Roman"/>
          <w:color w:val="auto"/>
          <w:spacing w:val="0"/>
          <w:position w:val="0"/>
          <w:sz w:val="22"/>
          <w:shd w:fill="auto" w:val="clear"/>
        </w:rPr>
        <w:t xml:space="preserve"> ao tema do próprio ensaio, ou seja, realizar recortes textuais específicos de análise sociológica entre a visível cordialidade subalterna e apreço do brasileiro para os ingleses.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FFFF00" w:val="clear"/>
        </w:rPr>
        <w:t xml:space="preserve">Consequentemente para formar juízo, especificamente explorar o real objeto de análise</w:t>
      </w:r>
      <w:r>
        <w:rPr>
          <w:rFonts w:ascii="Times New Roman" w:hAnsi="Times New Roman" w:cs="Times New Roman" w:eastAsia="Times New Roman"/>
          <w:color w:val="auto"/>
          <w:spacing w:val="0"/>
          <w:position w:val="0"/>
          <w:sz w:val="22"/>
          <w:shd w:fill="auto" w:val="clear"/>
        </w:rPr>
        <w:t xml:space="preserve">, é preciso mencionar pelo menos três pontos importantes no desenvolvimento do conto, que se articulam como vasos comunicantes:</w:t>
      </w:r>
      <w:r>
        <w:rPr>
          <w:rFonts w:ascii="Times New Roman" w:hAnsi="Times New Roman" w:cs="Times New Roman" w:eastAsia="Times New Roman"/>
          <w:b/>
          <w:color w:val="auto"/>
          <w:spacing w:val="0"/>
          <w:position w:val="0"/>
          <w:sz w:val="22"/>
          <w:shd w:fill="auto" w:val="clear"/>
        </w:rPr>
        <w:t xml:space="preserve"> a) </w:t>
      </w:r>
      <w:r>
        <w:rPr>
          <w:rFonts w:ascii="Times New Roman" w:hAnsi="Times New Roman" w:cs="Times New Roman" w:eastAsia="Times New Roman"/>
          <w:color w:val="auto"/>
          <w:spacing w:val="0"/>
          <w:position w:val="0"/>
          <w:sz w:val="22"/>
          <w:shd w:fill="auto" w:val="clear"/>
        </w:rPr>
        <w:t xml:space="preserve">O preâmbulo do conto é aberto com uma narrativa discricionária a respeito da casa. Caracterização do espaço da casa atinge a personificação dos móveis e dos ambientes internos da casa.  A antecipação da discrição da casa também coincidiu com a figura da própria dona (Madame Barbosa) “</w:t>
      </w:r>
      <w:r>
        <w:rPr>
          <w:rFonts w:ascii="Times New Roman" w:hAnsi="Times New Roman" w:cs="Times New Roman" w:eastAsia="Times New Roman"/>
          <w:color w:val="auto"/>
          <w:spacing w:val="0"/>
          <w:position w:val="0"/>
          <w:sz w:val="24"/>
          <w:shd w:fill="auto" w:val="clear"/>
        </w:rPr>
        <w:t xml:space="preserve">Dirigia a pensão Mme. Barbosa, uma respeitável viúva de seus cinqüenta anos [...]” (p.  )</w:t>
      </w:r>
      <w:r>
        <w:rPr>
          <w:rFonts w:ascii="Times New Roman" w:hAnsi="Times New Roman" w:cs="Times New Roman" w:eastAsia="Times New Roman"/>
          <w:color w:val="auto"/>
          <w:spacing w:val="0"/>
          <w:position w:val="0"/>
          <w:sz w:val="22"/>
          <w:shd w:fill="auto" w:val="clear"/>
        </w:rPr>
        <w:t xml:space="preserve"> que irá aparecer posteriormente na descrição do próprio conto o narrador barretiano aqui parece querer horizontalizar ao máximo a esfera da própria pensão. Nesta parte também é descrito o jogo de interesses casamenteiros da solteirona Dona Irene, filha de Madame Barbosa. Nesta parte também é apresentado à cozinheira Angélica, e seu passado histórico junto ao espaço conquistado na Pensão Boa Vista;</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b) Esta parte é direcionada para a recepção dos ilustres hóspedes estrangeiros, a escolha do quarto, a apresentação da pensão e certo diálogo caótico caracterizado pela falta de conhecimento do idioma de ambas as partes. É descrito também alguns comentários a respeito da inusitada chegada dos estrangeiros perante a estada de outros hóspedes; c) Esta parte é dedicada as congratulações dos ilustres hóspedes perante os funcionários de Madame Barbosa. É feito todo um ritmo de cerimonial para o agrado dos estrangeiros britânicos. As intrigas e os conflitos partindo por intermédio dos hóspedes de Dona Sofia, Magalhães e Major Metem irão renunciar o agrado feito por Madame Barbosa, assim como a crise de implicâncias e ciúmes por parte desses hóspedes.  Discussões políticas irão surgir nesse em um breve intervalo. O único que defenderá os ingleses será a figura do personagem Benevente. As malas dos ingleses chegam, porém os mesmos não se apresentam na pensão. Um dia depois acabam se apresentando.  Os ciúmes e as intrigas irão aumentando, já era de se esperar, à medida que os ingleses começam a tratar friamente os outros hóspedes.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cenário do conto “Miss Edith e seu Tio” é representado por  uma edificação antiga e forte, construída no ano de 1855. Suponhamos esta data, pois o conto fora publicado no ano de 1914, e a narrativa insinua nossa postulação, vejamos os detalhes: “A construção devia datar de cerca de sessenta anos atrás [...]” (p. 01) Em detalhes: A construção era por sinal bem ampla em vários aspectos.  Uma casa que subdivide em quartos. O terreno foi fracionado para a ocupação de prédios novos e distintos (modernos). A casa (pensão Boa Vista)  encontra-se no centro de uma chácara robusta e ampla. Isso de certa forma caracterizava o processo de transformação e modernização da cidade do Rio de Janeiro. (praia do flamengo). A construção era forte e resistente, construída com materiais de longa duração. O escritor Lima Barreto também utiliza alegorias para compor o seu vocabulário e ilustrar diversas passagens que remeterão aos desencadeamentos narrativos do próprio enredo. Alguns detalhes desse cenário:</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A pensão familiar "Boa Vista" ocupava uma grande casa da praia do Flamengo, muito feia de fachada, com dous pavimentos, possuindo bons quartos, uns nascidos com o prédio e outros que a adaptação ao seu novo destino fizera surgir com a divisão de antigas salas e a amputação de outros aposentos. ( p. 01) </w:t>
      </w:r>
      <w:r>
        <w:rPr>
          <w:rFonts w:ascii="Times New Roman" w:hAnsi="Times New Roman" w:cs="Times New Roman" w:eastAsia="Times New Roman"/>
          <w:i/>
          <w:color w:val="auto"/>
          <w:spacing w:val="0"/>
          <w:position w:val="0"/>
          <w:sz w:val="20"/>
          <w:shd w:fill="auto" w:val="clear"/>
        </w:rPr>
        <w:tab/>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O estilo narrado abaixo não poderia ser mais ao rés-do-chão, prosa básica à moda barreteana, diria-se, e, no entanto, ampla de sugestões nas entrelinhas e nos discursos intertextuais. Tais caracteres textuais detalham a arquitetura externa e interna do prédio e irá representar toda uma estrutura regada de tradição e vulnerabilidade da duração e ao mesmo tempo adaptação ao novo, ou seja, transformação à qual Lima já previa, mas ao mesmo tempo ficava indignado. Elementos textuais que mais adiante serão detalhados aparecem anunciados nesse punhado de frases, em que nada se pode jogar fora, pois todos esses dados lingüísticos possuem ampla significação para uma análise pormenorizada. É daí que se aproxima, diante de cada passagem ou trecho do conto o momento de abertura e chegada dos forasteiros ingleses, que posteriormente irão desencadear toda a trama do conto. Vejamos os detalhes dessa chegada inusitada e um tanto arrogante: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tardou que a campainha soasse outra vez e desta, </w:t>
      </w:r>
      <w:r>
        <w:rPr>
          <w:rFonts w:ascii="Times New Roman" w:hAnsi="Times New Roman" w:cs="Times New Roman" w:eastAsia="Times New Roman"/>
          <w:b/>
          <w:color w:val="auto"/>
          <w:spacing w:val="0"/>
          <w:position w:val="0"/>
          <w:sz w:val="20"/>
          <w:shd w:fill="auto" w:val="clear"/>
        </w:rPr>
        <w:t xml:space="preserve">imperiosa e autoritária, forte e rude</w:t>
      </w:r>
      <w:r>
        <w:rPr>
          <w:rFonts w:ascii="Times New Roman" w:hAnsi="Times New Roman" w:cs="Times New Roman" w:eastAsia="Times New Roman"/>
          <w:color w:val="auto"/>
          <w:spacing w:val="0"/>
          <w:position w:val="0"/>
          <w:sz w:val="20"/>
          <w:shd w:fill="auto" w:val="clear"/>
        </w:rPr>
        <w:t xml:space="preserve">, dando a entender que falava por ela a própria alma impaciente e voluntariosa da pessoa que a tocava.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Prontificou-se em abrir a porta envidraçada e logo encontrou um casal de aparência estrangeira. Sem mais preâmbulos, o cavalheiro foi dizendo com </w:t>
      </w:r>
      <w:r>
        <w:rPr>
          <w:rFonts w:ascii="Times New Roman" w:hAnsi="Times New Roman" w:cs="Times New Roman" w:eastAsia="Times New Roman"/>
          <w:b/>
          <w:color w:val="auto"/>
          <w:spacing w:val="0"/>
          <w:position w:val="0"/>
          <w:sz w:val="20"/>
          <w:shd w:fill="auto" w:val="clear"/>
        </w:rPr>
        <w:t xml:space="preserve">voz breve e de comando</w:t>
      </w:r>
      <w:r>
        <w:rPr>
          <w:rFonts w:ascii="Times New Roman" w:hAnsi="Times New Roman" w:cs="Times New Roman" w:eastAsia="Times New Roman"/>
          <w:color w:val="auto"/>
          <w:spacing w:val="0"/>
          <w:position w:val="0"/>
          <w:sz w:val="20"/>
          <w:shd w:fill="auto" w:val="clear"/>
        </w:rPr>
        <w:t xml:space="preserve">:</w:t>
      </w:r>
    </w:p>
    <w:p>
      <w:pPr>
        <w:spacing w:before="100" w:after="10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Mim quer quarto</w:t>
      </w:r>
      <w:r>
        <w:rPr>
          <w:rFonts w:ascii="Times New Roman" w:hAnsi="Times New Roman" w:cs="Times New Roman" w:eastAsia="Times New Roman"/>
          <w:color w:val="auto"/>
          <w:spacing w:val="0"/>
          <w:position w:val="0"/>
          <w:sz w:val="20"/>
          <w:shd w:fill="auto" w:val="clear"/>
        </w:rPr>
        <w:t xml:space="preserve">. ( p. 02)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A transparência do vidro acabou contribuindo para Madame Barbosa observar seus ilustres hóspedes. É durante essa sua observação que já irá preparar todo o decoro e homenagem para receber os dois ingleses. A oportunidade estava pronta agora precisava apenas estampar o sorriso na cara e ser bastante educada e agradável. É daí que se verifica o uso das palavras “imperiosa”, “autoritária”, “forte” e “rude”, que todas conotam desencadeadamente o mesmo sentido: ordem.  Educada por sua parte, mas pelos ingleses o pedido era de ordem e de forma autoritária, mesmo com a falta de domínio da língua portuguesa, podemos observar que propositalmente a voz e a fala é significativa impositiva.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Percebeu Mme. Barbosa que lidava com ingleses e, com essa descoberta, muito se alegrou porque, como todos nós, ela tinha também a </w:t>
      </w:r>
      <w:r>
        <w:rPr>
          <w:rFonts w:ascii="Times New Roman" w:hAnsi="Times New Roman" w:cs="Times New Roman" w:eastAsia="Times New Roman"/>
          <w:b/>
          <w:color w:val="auto"/>
          <w:spacing w:val="0"/>
          <w:position w:val="0"/>
          <w:sz w:val="20"/>
          <w:shd w:fill="auto" w:val="clear"/>
        </w:rPr>
        <w:t xml:space="preserve">imprecisa e parva </w:t>
      </w:r>
      <w:r>
        <w:rPr>
          <w:rFonts w:ascii="Times New Roman" w:hAnsi="Times New Roman" w:cs="Times New Roman" w:eastAsia="Times New Roman"/>
          <w:color w:val="auto"/>
          <w:spacing w:val="0"/>
          <w:position w:val="0"/>
          <w:sz w:val="20"/>
          <w:shd w:fill="auto" w:val="clear"/>
        </w:rPr>
        <w:t xml:space="preserve">admiração que os ingleses, com a sua arrogância e língua pouco compreendida, souberam nos inspirar. (p. 02 )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Inevitável, dizer que o narrador em terceira pessoa quando adota os dois adjetivos “imprecisa” e  “parva” ; coloca o leitor diante de duas situações extremamente necessárias de discuti-las aqui – a primeira gerava a desconfiança e a segunda era de vontade e ganância de ganhar dinheiro. A todo o momento o conto irá oscilar dentro dessa temática. Ou seja, ora o confiar desconfiando desses “ilustres forasteiros” que chegavam na pensão, ora a motivação para angariar alguns trocados que pudessem elevar o aspecto pecuniário de Madame Barbosa. A ganância está direcionada aos valores pecuniários existentes entre o jogo de interesses pela proprietária Madame Barbosa e sua filha Dona Irene. Ambas desejavam um futuro promissor para enriquecer em curto prazo. Já a desconfiança irá reinar no processo dos hóspedes ficarem submissos aos interesses britânicos.  É particularmente sobre esses dois aspectos que o conto “Miss Edith e seu Tio” irá se evolucionar ao longo da narrativa e diálogos.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Evolucionar de que forma e como? Sim o segundo aspecto, o dinheiro, já estava aparecendo como o grau maior de interesse e cordialidade no trato com os estrangeiros. O aspecto monetário dos ingleses funcionava como regra preliminar para que a dona da pensão excluísse sua desconfiança e creditasse todos os valores morais possíveis nesses estranhos. Madame Barbosa precisava receber hóspedes de boa condição financeira que colocassem sua pensão para frente. Para isso, quando ficou sabendo que eram estrangeiros, o tratamento foi logo diferenciado, querendo ganhar confiança para com que os hóspedes ficassem uns grandes números de dias hospedados.  A mola capitalista seduzia Madame Barbosa de tal forma que ela mesma esquecia todos os problemas. </w:t>
        <w:tab/>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De resto, os ingleses têm fama de dispor de muito dinheiro e ganhem duzentos, trezentos, quinhentos mil-réis por mês, todos nós logo os supomos dispondo dos </w:t>
      </w:r>
      <w:r>
        <w:rPr>
          <w:rFonts w:ascii="Times New Roman" w:hAnsi="Times New Roman" w:cs="Times New Roman" w:eastAsia="Times New Roman"/>
          <w:b/>
          <w:color w:val="auto"/>
          <w:spacing w:val="0"/>
          <w:position w:val="0"/>
          <w:sz w:val="20"/>
          <w:shd w:fill="auto" w:val="clear"/>
        </w:rPr>
        <w:t xml:space="preserve">milhões dos Rothschilds.</w:t>
      </w:r>
      <w:r>
        <w:rPr>
          <w:rFonts w:ascii="Times New Roman" w:hAnsi="Times New Roman" w:cs="Times New Roman" w:eastAsia="Times New Roman"/>
          <w:color w:val="auto"/>
          <w:spacing w:val="0"/>
          <w:position w:val="0"/>
          <w:sz w:val="20"/>
          <w:shd w:fill="auto" w:val="clear"/>
        </w:rPr>
        <w:t xml:space="preserve"> (p. 02) </w:t>
      </w:r>
      <w:r>
        <w:rPr>
          <w:rFonts w:ascii="Times New Roman" w:hAnsi="Times New Roman" w:cs="Times New Roman" w:eastAsia="Times New Roman"/>
          <w:b/>
          <w:color w:val="auto"/>
          <w:spacing w:val="0"/>
          <w:position w:val="0"/>
          <w:sz w:val="20"/>
          <w:shd w:fill="auto" w:val="clear"/>
        </w:rPr>
        <w:t xml:space="preserve">Grifo nossos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O impulso pecuniário que Madame Barbosa já observava como uma cartomante que realiza algumas profecias.</w:t>
      </w:r>
      <w:r>
        <w:rPr>
          <w:rFonts w:ascii="Times New Roman" w:hAnsi="Times New Roman" w:cs="Times New Roman" w:eastAsia="Times New Roman"/>
          <w:color w:val="auto"/>
          <w:spacing w:val="0"/>
          <w:position w:val="0"/>
          <w:sz w:val="24"/>
          <w:shd w:fill="auto" w:val="clear"/>
        </w:rPr>
        <w:t xml:space="preserve"> As postulações hipotéticas certeiras são basicamente transcritas pela expressão “perspectivas” que simulará o acúmulo de diárias na pensão e os ganhos posteriores.  Já no trecho abaixo se observa a </w:t>
      </w:r>
      <w:r>
        <w:rPr>
          <w:rFonts w:ascii="Times New Roman" w:hAnsi="Times New Roman" w:cs="Times New Roman" w:eastAsia="Times New Roman"/>
          <w:color w:val="auto"/>
          <w:spacing w:val="0"/>
          <w:position w:val="0"/>
          <w:sz w:val="22"/>
          <w:shd w:fill="auto" w:val="clear"/>
        </w:rPr>
        <w:t xml:space="preserve">linguagem metonímica (Rothschilds) utilizada pelo narrador barretiano para representar os banqueiros ingleses.  Estava na mentalidade de todos que fora também eles, que investiram milhões na feitura de grandes empreendimentos na cidade do Rio de Janeiro, ou seja, daí ficava subentendido que no trato com os ingleses era de tamanha importância uma dose de amabilidade.  Aliás, o crédito era valioso para valorizar os hóspedes abastados e fazia crer que mereciam total dignidade.  Daí o sorriso grande e amável da dona da pensão Madame Barbosa. Já com os outros hóspedes não realizava o mesmo tratamento. Vejamos alguns detalhes: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Mme. Barbosa alegrou-se, portanto, com a distinção social de tais hóspedes e com a </w:t>
      </w:r>
      <w:r>
        <w:rPr>
          <w:rFonts w:ascii="Times New Roman" w:hAnsi="Times New Roman" w:cs="Times New Roman" w:eastAsia="Times New Roman"/>
          <w:b/>
          <w:color w:val="auto"/>
          <w:spacing w:val="0"/>
          <w:position w:val="0"/>
          <w:sz w:val="20"/>
          <w:shd w:fill="auto" w:val="clear"/>
        </w:rPr>
        <w:t xml:space="preserve">perspectiva dos extraordinários lucros</w:t>
      </w:r>
      <w:r>
        <w:rPr>
          <w:rFonts w:ascii="Times New Roman" w:hAnsi="Times New Roman" w:cs="Times New Roman" w:eastAsia="Times New Roman"/>
          <w:color w:val="auto"/>
          <w:spacing w:val="0"/>
          <w:position w:val="0"/>
          <w:sz w:val="20"/>
          <w:shd w:fill="auto" w:val="clear"/>
        </w:rPr>
        <w:t xml:space="preserve">, que certamente lhe daria a riqueza deles. Apressou-se em ir pessoalmente mostrar a tão nobres personagens os cômodos que havia vagos.  (p.    )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É notável verificar que a posição ambígua da dona da pensão, Madame Barbosa: separada de seus hóspedes pela sua condição de pequena proprietária, está intimamente ligada a eles, especificamente os ingleses, ao nível das relações pessoais. Sua maior proximidade era de puro interesse financeiro e não por vontade própria ou aspecto de solidariedade e carinho. Brilhava nos seus olhos a cor do dinheiro que os ingleses iriam deixar para ela. É nítido também afirmarmos que o grau de submissão fora condicionado naturalmente na cabeça de seus funcionários.  A frase aqui faz efeito: faz o que eu digo e faz o que eu faço.  A visão da jovem empregada negra é restritiva ao diálogo e atua como se fosse subalterna aos interesses de sua patroa.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preta olhou-os demorada e fixamente, </w:t>
      </w:r>
      <w:r>
        <w:rPr>
          <w:rFonts w:ascii="Times New Roman" w:hAnsi="Times New Roman" w:cs="Times New Roman" w:eastAsia="Times New Roman"/>
          <w:b/>
          <w:color w:val="auto"/>
          <w:spacing w:val="0"/>
          <w:position w:val="0"/>
          <w:sz w:val="20"/>
          <w:shd w:fill="auto" w:val="clear"/>
        </w:rPr>
        <w:t xml:space="preserve">com espanto e respeito</w:t>
      </w:r>
      <w:r>
        <w:rPr>
          <w:rFonts w:ascii="Times New Roman" w:hAnsi="Times New Roman" w:cs="Times New Roman" w:eastAsia="Times New Roman"/>
          <w:color w:val="auto"/>
          <w:spacing w:val="0"/>
          <w:position w:val="0"/>
          <w:sz w:val="20"/>
          <w:shd w:fill="auto" w:val="clear"/>
        </w:rPr>
        <w:t xml:space="preserve">; parou extática, como em face de uma visão radiante. ( p. 02 )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Durante a estada na pensão de Madame Barbosa, os ingleses irão percorrer os variados ambientes. É daí que acabam topando com os demais empregados da pensão. No trecho supracitado fica claro um sentimento de inferioridade, respeito e principalmente falta de diálogo, pois a criada Angélica de personalidade rústica e praticamente sem instrução, não falava o idioma de seus hóspedes. Podemos também verificar que sua visão tímida e quieta para com os hóspedes favorecia o seu olhar recuado e ao mesmo tempo subordinado.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Obviamente, sua rusticidade iria ser o aspecto de distanciamento para com os ingleses. A seguir, diante de outro momento sua patroa Madame Barbosa irá aguardar a decisão, quase que unânime do regresso dos hóspedes que:</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Prometeram mandar as malas no dia seguinte e a dona da pensão, tão comovida e honrada com a futura presença de </w:t>
      </w:r>
      <w:r>
        <w:rPr>
          <w:rFonts w:ascii="Times New Roman" w:hAnsi="Times New Roman" w:cs="Times New Roman" w:eastAsia="Times New Roman"/>
          <w:b/>
          <w:color w:val="auto"/>
          <w:spacing w:val="0"/>
          <w:position w:val="0"/>
          <w:sz w:val="20"/>
          <w:shd w:fill="auto" w:val="clear"/>
        </w:rPr>
        <w:t xml:space="preserve">tão soberbos hóspedes,</w:t>
      </w:r>
      <w:r>
        <w:rPr>
          <w:rFonts w:ascii="Times New Roman" w:hAnsi="Times New Roman" w:cs="Times New Roman" w:eastAsia="Times New Roman"/>
          <w:color w:val="auto"/>
          <w:spacing w:val="0"/>
          <w:position w:val="0"/>
          <w:sz w:val="20"/>
          <w:shd w:fill="auto" w:val="clear"/>
        </w:rPr>
        <w:t xml:space="preserve"> que nem lhes falou no pagamento adiantado ou fiança.  (p. 02)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Mesmo demonstrando total confiança e crédito aos ilustres hóspedes. Madame Barbosa irá conferir a saída dos britânicos através da porta de sua pensão. Irá realizar esse movimento como se fosse um cão protetor de sua comida. Observará e irá desejar que logo regressem trazendo as respectivas malas, pois terá certeza que gostaram de sua propriedade. Após a recepção e a apresentação da Pensão Boa Vista pela proprietária Madame Barbosa, fica nítido sua admiração e interesse pecuniário exarcebado, ao observar a entrada imperiosa dos ingleses no bonde. Transporte que os próprios britânicos inventaram e utilizaram durante longo tempo nas grandes metrópoles: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porta da rua, ainda madame se deixou ficar embevecida, contemplando os ingleses. Viu-os entrar no bonde; </w:t>
      </w:r>
      <w:r>
        <w:rPr>
          <w:rFonts w:ascii="Times New Roman" w:hAnsi="Times New Roman" w:cs="Times New Roman" w:eastAsia="Times New Roman"/>
          <w:b/>
          <w:color w:val="auto"/>
          <w:spacing w:val="0"/>
          <w:position w:val="0"/>
          <w:sz w:val="20"/>
          <w:shd w:fill="auto" w:val="clear"/>
        </w:rPr>
        <w:t xml:space="preserve">admirou-lhes o império verdadeiramente britânico</w:t>
      </w:r>
      <w:r>
        <w:rPr>
          <w:rFonts w:ascii="Times New Roman" w:hAnsi="Times New Roman" w:cs="Times New Roman" w:eastAsia="Times New Roman"/>
          <w:color w:val="auto"/>
          <w:spacing w:val="0"/>
          <w:position w:val="0"/>
          <w:sz w:val="20"/>
          <w:shd w:fill="auto" w:val="clear"/>
        </w:rPr>
        <w:t xml:space="preserve"> com que ordenaram a parada do veículo e a segurança com que se colocaram nele [...]  ( p. 03) </w:t>
      </w:r>
      <w:r>
        <w:rPr>
          <w:rFonts w:ascii="Times New Roman" w:hAnsi="Times New Roman" w:cs="Times New Roman" w:eastAsia="Times New Roman"/>
          <w:b/>
          <w:color w:val="auto"/>
          <w:spacing w:val="0"/>
          <w:position w:val="0"/>
          <w:sz w:val="20"/>
          <w:shd w:fill="auto" w:val="clear"/>
        </w:rPr>
        <w:t xml:space="preserve">Grifo nossos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Desconfiança no pagamento? Receio de não pagarem a diária antecipada? Creio que essa preocupação não existia perante a boa fama e a tradição de honestidade dos ingleses. A expressão “soberbos hóspedes” deixa nítido e evidente isso no discurso. Talvez, seja durante essa cena que a própria Madame Barbosa alimentará a condição de distância e subalternidade em relação aos estrangeiros britânicos. Será que esse tratamento seria distinto para com os brasileiros? Postulamos que Madame Barbosa já teria certeza do cálculo premeditado e por isso já conseguia também realizar planos para melhorias da própria pensão.</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Já que a confiança e auto-estima era tanta pela proprietária Madame Barbosa, em contrapartida caberia realizar a reserva da mesa o melhor local para os novos hóspedes  tomarem café, já que dali poderia ter a melhor vista da cidade maravilhosa, junto à geografia dos morros e as variadas paisagens que comportam a orla do Flamengo. O empregado Pedro já calculava que precisava redobrar a atenção para os ilustres hóspedes, por isso, nem pensou duas vezes, já fora imediatamente arrumando o local do café, assim como desejando para o outro dia uma agradável manha de sol e brisa fresca para que os estrangeiros pudessem deslumbrar as paisagens. Vejamos nos trechos: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 pensando nessa </w:t>
      </w:r>
      <w:r>
        <w:rPr>
          <w:rFonts w:ascii="Times New Roman" w:hAnsi="Times New Roman" w:cs="Times New Roman" w:eastAsia="Times New Roman"/>
          <w:b/>
          <w:color w:val="auto"/>
          <w:spacing w:val="0"/>
          <w:position w:val="0"/>
          <w:sz w:val="20"/>
          <w:shd w:fill="auto" w:val="clear"/>
        </w:rPr>
        <w:t xml:space="preserve">homenagem aos seus novos fregueses</w:t>
      </w:r>
      <w:r>
        <w:rPr>
          <w:rFonts w:ascii="Times New Roman" w:hAnsi="Times New Roman" w:cs="Times New Roman" w:eastAsia="Times New Roman"/>
          <w:color w:val="auto"/>
          <w:spacing w:val="0"/>
          <w:position w:val="0"/>
          <w:sz w:val="20"/>
          <w:shd w:fill="auto" w:val="clear"/>
        </w:rPr>
        <w:t xml:space="preserve">, de pé na sala, encostada ao imenso </w:t>
      </w:r>
      <w:r>
        <w:rPr>
          <w:rFonts w:ascii="Times New Roman" w:hAnsi="Times New Roman" w:cs="Times New Roman" w:eastAsia="Times New Roman"/>
          <w:i/>
          <w:color w:val="auto"/>
          <w:spacing w:val="0"/>
          <w:position w:val="0"/>
          <w:sz w:val="20"/>
          <w:shd w:fill="auto" w:val="clear"/>
        </w:rPr>
        <w:t xml:space="preserve">étagère</w:t>
      </w:r>
      <w:r>
        <w:rPr>
          <w:rFonts w:ascii="Times New Roman" w:hAnsi="Times New Roman" w:cs="Times New Roman" w:eastAsia="Times New Roman"/>
          <w:color w:val="auto"/>
          <w:spacing w:val="0"/>
          <w:position w:val="0"/>
          <w:sz w:val="20"/>
          <w:shd w:fill="auto" w:val="clear"/>
        </w:rPr>
        <w:t xml:space="preserve">, foi que Mme. Barbosa recomendou ao copeiro em voz alta:</w:t>
      </w:r>
    </w:p>
    <w:p>
      <w:pPr>
        <w:spacing w:before="100" w:after="10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Pedro, amanhã reserve a </w:t>
      </w:r>
      <w:r>
        <w:rPr>
          <w:rFonts w:ascii="Times New Roman" w:hAnsi="Times New Roman" w:cs="Times New Roman" w:eastAsia="Times New Roman"/>
          <w:b/>
          <w:color w:val="auto"/>
          <w:spacing w:val="0"/>
          <w:position w:val="0"/>
          <w:sz w:val="20"/>
          <w:shd w:fill="auto" w:val="clear"/>
        </w:rPr>
        <w:t xml:space="preserve">"mesa das janelas"</w:t>
      </w:r>
      <w:r>
        <w:rPr>
          <w:rFonts w:ascii="Times New Roman" w:hAnsi="Times New Roman" w:cs="Times New Roman" w:eastAsia="Times New Roman"/>
          <w:color w:val="auto"/>
          <w:spacing w:val="0"/>
          <w:position w:val="0"/>
          <w:sz w:val="20"/>
          <w:shd w:fill="auto" w:val="clear"/>
        </w:rPr>
        <w:t xml:space="preserve"> para os novos hóspedes. ( p. 03  )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Compartilhar essa plenitude de respeito e crédito seria depositar nossa cordialidade e submissão a esses forasteiros. Por quais motivos poderíamos exercer esse excesso de crédito? Existia é claro e evidente uma necessidade em angariar homens estrangeiros que pudessem subsidiar nossas necessidades básicas, mas não era tão necessário um esforço tão sacrificante e um servilismo tão desclassificado para agradá-los forçadamente. Raspar o tacho de afetividade pecuniária visando o interesse alheio talvez não fosse a melhor saída, já que os hóspedes estrangeiros precisavam de somente um local para posar.  Tanto que a arrumação da pensão, assim como o privilégio de sentar no melhor lugar para admirarem o encanto da paisagem já fazia parte das condecorações.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Não diga tal, Dona Sofia. O que nós precisamos é de estrangeiros... Que venham... Demais, os ingleses são, por todos os títulos, </w:t>
      </w:r>
      <w:r>
        <w:rPr>
          <w:rFonts w:ascii="Times New Roman" w:hAnsi="Times New Roman" w:cs="Times New Roman" w:eastAsia="Times New Roman"/>
          <w:b/>
          <w:color w:val="auto"/>
          <w:spacing w:val="0"/>
          <w:position w:val="0"/>
          <w:sz w:val="20"/>
          <w:shd w:fill="auto" w:val="clear"/>
        </w:rPr>
        <w:t xml:space="preserve">credores da nossa admiração.</w:t>
      </w:r>
      <w:r>
        <w:rPr>
          <w:rFonts w:ascii="Times New Roman" w:hAnsi="Times New Roman" w:cs="Times New Roman" w:eastAsia="Times New Roman"/>
          <w:color w:val="auto"/>
          <w:spacing w:val="0"/>
          <w:position w:val="0"/>
          <w:sz w:val="20"/>
          <w:shd w:fill="auto" w:val="clear"/>
        </w:rPr>
        <w:t xml:space="preserve"> ( p. 03) </w:t>
      </w:r>
      <w:r>
        <w:rPr>
          <w:rFonts w:ascii="Times New Roman" w:hAnsi="Times New Roman" w:cs="Times New Roman" w:eastAsia="Times New Roman"/>
          <w:b/>
          <w:color w:val="auto"/>
          <w:spacing w:val="0"/>
          <w:position w:val="0"/>
          <w:sz w:val="20"/>
          <w:shd w:fill="auto" w:val="clear"/>
        </w:rPr>
        <w:t xml:space="preserve">Grifo nossos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A admiração irá perpetuar também pelo vestuário e sensação de dominação e audácia imperiosa dos ingleses. Os tipos de aparência imperiosa e o estilo das roupas provocam um sentimento de engrandecimento sobre os demais componentes da pensão. O figurino serve de adorno distinto para provocar e causar imposição frente aos outros vizinhos de quarto. É no decorrer desse episódio que possivelmente irá causar alguns sentimentos receosos por parte dos restantes hóspedes. Os adereços custavam caro e o sentimento de superioridade era visível para com os outros que estavam condicionados a ficarem na mesma pensão.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2"/>
          <w:shd w:fill="auto" w:val="clear"/>
        </w:rPr>
        <w:t xml:space="preserve">Talvez o homem britânico estivesse fazendo isso na inocência e ingenuidade, porém na cabeça dos outros o pensamento acaba não sendo o mesmo. Será algum tipo de problemática cultural?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inglês era outra coisa: brutal de modos e fisionomia. Posava sempre de Lord Nelson ou Duque de Wellington</w:t>
      </w:r>
      <w:r>
        <w:rPr>
          <w:rFonts w:ascii="Times New Roman" w:hAnsi="Times New Roman" w:cs="Times New Roman" w:eastAsia="Times New Roman"/>
          <w:b/>
          <w:color w:val="auto"/>
          <w:spacing w:val="0"/>
          <w:position w:val="0"/>
          <w:sz w:val="20"/>
          <w:shd w:fill="auto" w:val="clear"/>
        </w:rPr>
        <w:t xml:space="preserve">; olhava todos com desdém e superioridade esmagadora</w:t>
      </w:r>
      <w:r>
        <w:rPr>
          <w:rFonts w:ascii="Times New Roman" w:hAnsi="Times New Roman" w:cs="Times New Roman" w:eastAsia="Times New Roman"/>
          <w:color w:val="auto"/>
          <w:spacing w:val="0"/>
          <w:position w:val="0"/>
          <w:sz w:val="20"/>
          <w:shd w:fill="auto" w:val="clear"/>
        </w:rPr>
        <w:t xml:space="preserve"> e realçava essa sua superioridade não usando ceroulas, ou vestindo blusas de jogadores de golf ou bebendo cerveja com rum. ( p. 04)  </w:t>
      </w:r>
      <w:r>
        <w:rPr>
          <w:rFonts w:ascii="Times New Roman" w:hAnsi="Times New Roman" w:cs="Times New Roman" w:eastAsia="Times New Roman"/>
          <w:b/>
          <w:color w:val="auto"/>
          <w:spacing w:val="0"/>
          <w:position w:val="0"/>
          <w:sz w:val="20"/>
          <w:shd w:fill="auto" w:val="clear"/>
        </w:rPr>
        <w:t xml:space="preserve">Grifo nossos</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0"/>
          <w:shd w:fill="auto" w:val="clear"/>
        </w:rPr>
        <w:tab/>
      </w:r>
      <w:r>
        <w:rPr>
          <w:rFonts w:ascii="Times New Roman" w:hAnsi="Times New Roman" w:cs="Times New Roman" w:eastAsia="Times New Roman"/>
          <w:color w:val="auto"/>
          <w:spacing w:val="0"/>
          <w:position w:val="0"/>
          <w:sz w:val="22"/>
          <w:shd w:fill="auto" w:val="clear"/>
        </w:rPr>
        <w:t xml:space="preserve">Essa passagem parece sugerir que o</w:t>
      </w:r>
      <w:r>
        <w:rPr>
          <w:rFonts w:ascii="Times New Roman" w:hAnsi="Times New Roman" w:cs="Times New Roman" w:eastAsia="Times New Roman"/>
          <w:color w:val="auto"/>
          <w:spacing w:val="0"/>
          <w:position w:val="0"/>
          <w:sz w:val="24"/>
          <w:shd w:fill="auto" w:val="clear"/>
        </w:rPr>
        <w:t xml:space="preserve"> jogo de especulações </w:t>
      </w:r>
      <w:r>
        <w:rPr>
          <w:rFonts w:ascii="Times New Roman" w:hAnsi="Times New Roman" w:cs="Times New Roman" w:eastAsia="Times New Roman"/>
          <w:color w:val="auto"/>
          <w:spacing w:val="0"/>
          <w:position w:val="0"/>
          <w:sz w:val="22"/>
          <w:shd w:fill="auto" w:val="clear"/>
        </w:rPr>
        <w:t xml:space="preserve">admirativas invade o pensamento dos hóspedes. Entretanto, as projeções hipotéticas sobre a origem e a profissão dos ingleses são articuladas mentalmente como um “jogo de advinhas” progressivo. Consideravelmente, é notável que os hóspedes simpatizantes aos modelos britânicos gostassem muito de compreender e ao mesmo tempo sentir na pele a tamanha admiração e grandeza dos ingleses. A única hóspede que deixará sua opinião na dúvida será Dona Sofia, porém não irá demorar muito para revogar seu pensamento e agir conforme a imaginação e atitude de todos.  É daí que sua força de personalidade irá voltar para as opiniões coletivas. </w:t>
      </w:r>
    </w:p>
    <w:p>
      <w:pPr>
        <w:spacing w:before="100" w:after="1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Todo o tempo em que estiveram na pensão, o sentimento, que a respeito deles dominava os seus companheiros de casa, não se modificou. Até em alguns cresceu, solidificou-se, cristalizou-se em uma admiração beata e a </w:t>
      </w:r>
      <w:r>
        <w:rPr>
          <w:rFonts w:ascii="Times New Roman" w:hAnsi="Times New Roman" w:cs="Times New Roman" w:eastAsia="Times New Roman"/>
          <w:b/>
          <w:color w:val="auto"/>
          <w:spacing w:val="0"/>
          <w:position w:val="0"/>
          <w:sz w:val="20"/>
          <w:shd w:fill="auto" w:val="clear"/>
        </w:rPr>
        <w:t xml:space="preserve">própria Dona Sofia, vendo que a sua consideração na casa não diminuía, partilhou a admiração geral.</w:t>
      </w:r>
      <w:r>
        <w:rPr>
          <w:rFonts w:ascii="Times New Roman" w:hAnsi="Times New Roman" w:cs="Times New Roman" w:eastAsia="Times New Roman"/>
          <w:color w:val="auto"/>
          <w:spacing w:val="0"/>
          <w:position w:val="0"/>
          <w:sz w:val="20"/>
          <w:shd w:fill="auto" w:val="clear"/>
        </w:rPr>
        <w:t xml:space="preserve"> (p. 04) </w:t>
      </w:r>
      <w:r>
        <w:rPr>
          <w:rFonts w:ascii="Times New Roman" w:hAnsi="Times New Roman" w:cs="Times New Roman" w:eastAsia="Times New Roman"/>
          <w:b/>
          <w:color w:val="auto"/>
          <w:spacing w:val="0"/>
          <w:position w:val="0"/>
          <w:sz w:val="20"/>
          <w:shd w:fill="auto" w:val="clear"/>
        </w:rPr>
        <w:t xml:space="preserve">Grifo nossos</w:t>
      </w:r>
      <w:r>
        <w:rPr>
          <w:rFonts w:ascii="Times New Roman" w:hAnsi="Times New Roman" w:cs="Times New Roman" w:eastAsia="Times New Roman"/>
          <w:color w:val="auto"/>
          <w:spacing w:val="0"/>
          <w:position w:val="0"/>
          <w:sz w:val="20"/>
          <w:shd w:fill="auto" w:val="clear"/>
        </w:rPr>
        <w:t xml:space="preserve">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Por uma outra ótica sentimental e simpatizante, a criada Angélica tinha certo amor pela sua profissão e pelos seus hóspedes que precisava servir. Nesse sentido, sua simplicidade exagerada poderia ser comparada ao mesmo tempo com o seu aspecto ingênuo e caridoso. Angélica acaba sendo o espectro a quem a sabedoria jamais emprestou luz e lucidez. Exercia o seu ofício com a solidariedade de um anjo protetor e pacífico. Não conseguiu ser um sobrevivente no mundo selvagem e capitalista dos ingleses. Sobretudo, o seu principal receio carecia da falta de estudos para atingir aquilo que desejava. Mesmo na dúvida ou incerteza em relação ao pronome de tratamento adequado, não iria desmotivá-la para atingir o seu objetivo: tratar o hóspede da melhor maneira possível.  </w:t>
      </w:r>
    </w:p>
    <w:p>
      <w:pPr>
        <w:spacing w:before="100" w:after="10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Angélica, a cousa tomara feição intensamente religiosa. Pela manhã, quando levava chocolate ao quarto da miss, a pobre preta entrava medrosa, tímida, </w:t>
      </w:r>
      <w:r>
        <w:rPr>
          <w:rFonts w:ascii="Times New Roman" w:hAnsi="Times New Roman" w:cs="Times New Roman" w:eastAsia="Times New Roman"/>
          <w:b/>
          <w:color w:val="auto"/>
          <w:spacing w:val="0"/>
          <w:position w:val="0"/>
          <w:sz w:val="20"/>
          <w:shd w:fill="auto" w:val="clear"/>
        </w:rPr>
        <w:t xml:space="preserve">sem saber como tratar a moça, se de dona, se de moça, se de patroa, se de minha Nossa Senhora. (p. 04) Grifo nossos. </w:t>
      </w:r>
    </w:p>
    <w:p>
      <w:pPr>
        <w:spacing w:before="100" w:after="1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CONSIDERAÇÕES FINAIS </w:t>
        <w:tab/>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r>
      <w:r>
        <w:rPr>
          <w:rFonts w:ascii="Times New Roman" w:hAnsi="Times New Roman" w:cs="Times New Roman" w:eastAsia="Times New Roman"/>
          <w:color w:val="auto"/>
          <w:spacing w:val="0"/>
          <w:position w:val="0"/>
          <w:sz w:val="22"/>
          <w:shd w:fill="auto" w:val="clear"/>
        </w:rPr>
        <w:t xml:space="preserve">Ampliando, deliberadamente, os limites do tema proposto, nosso objetivo aqui foi apontar as contradições da nossa respeitosa cordialidade em relação aos ingleses. Assim como remontar de forma profícua, aprofundando como foi o legado deixado pelos britânicos para a nossa nação. Investigar esse legado significa compreender as nossas influências recebidas e o nosso atraso intelectual. Tais inquietações teóricas, diretamente aplicadas às ciências humanas, com o viés especificamente sociológico e histórico, a respeito dessas disparidades sociais são frutos do nosso excesso de submissão às posturas dogmáticas estrangeiras.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nossa preocupação aqui foi tentar compreender através de estudos teóricos espessos, porém delimitados, como se manifesta essa cordialidade respeitosa – aceitando passivamente, submetendo ou criando saudações superficiais com os ingleses – esperamos também provocar diálogos e discussões ao redor desse tema tão polêmico, que está diretamente inserido no universo literário do escritor Lima Barreto, especificamente no conto “Miss Edith e seu Tio”.</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Algumas inquietudes, após a leitura desse ensaio, ainda permanece no ar: Como devemos pensar e repensar nosso conceito de nação? Creio que sim e cabivelmente necessário. Valorizando cada vez mais a nossa cultura e nossa riqueza, significa ser um cidadão brasileiro. Chegar ao ponto de aceitarmos essas tipologias que nos rotulam? Credores eternamente, por qual motivo?  Consertar nossos estragos coloniais? Talvez isso fique pendente por um tênue espaço de tempo. Justificando aquilo que o antropólogo Darcy Ribeiro (1995, p. 70) já falava: “É certo que a colonização do Brasil se fez com esforço persistente, teimoso, de implantar aqui uma europeidade adaptada nesses trópicos e encarnada nessas mestiçagens.”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ab/>
      </w:r>
      <w:r>
        <w:rPr>
          <w:rFonts w:ascii="Times New Roman" w:hAnsi="Times New Roman" w:cs="Times New Roman" w:eastAsia="Times New Roman"/>
          <w:color w:val="auto"/>
          <w:spacing w:val="0"/>
          <w:position w:val="0"/>
          <w:sz w:val="22"/>
          <w:shd w:fill="auto" w:val="clear"/>
        </w:rPr>
        <w:t xml:space="preserve">É dentro desse panorama cultural que podemos perceber</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o amplo diálogo do escritor Lima Barreto. O escritor carioca faz uma crítica severa para alguns aspectos da nossa subalternidade em relação aos ingleses, levando-nos a uma reflexão mediada de orgulho de nação, mesmo sendo credores dos banqueiros que patrocinaram a nossa independência econômica e industrial. Foi através dessa opção, a partir de uma experiência íntima e pessoal, usando sua narrativa para expressar a denúncia, o protesto angustiado desde uma perspectiva de homem negro e pobre, na luta pela defesa dos marginalizados e oprimidos, assim como uma nação que tentava mostrar sua própria identidade.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Observamos, finalmente, concluindo e reiterando, que no tom geral de história e uma grande pitada de analogias e aspectos sociológicos nosso estudo tentou oferecer algumas possibilidades de produção de sentido para a majestosa narrativa de Lima Barreto. Tais sugestões e possíveis direções de leitura procuram fornecer apoio e interpretação para outros contos que o escritor se empenhou em realizar e demonstrar através de uma crítica a nossa própria sociedade. </w:t>
      </w:r>
    </w:p>
    <w:p>
      <w:pPr>
        <w:spacing w:before="10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REFERÊNCIAS </w:t>
      </w:r>
    </w:p>
    <w:p>
      <w:pPr>
        <w:spacing w:before="10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ANDRADE, Mário</w:t>
      </w:r>
      <w:r>
        <w:rPr>
          <w:rFonts w:ascii="Times New Roman" w:hAnsi="Times New Roman" w:cs="Times New Roman" w:eastAsia="Times New Roman"/>
          <w:b/>
          <w:color w:val="auto"/>
          <w:spacing w:val="0"/>
          <w:position w:val="0"/>
          <w:sz w:val="22"/>
          <w:shd w:fill="auto" w:val="clear"/>
        </w:rPr>
        <w:t xml:space="preserve">. A vida literária. </w:t>
      </w:r>
      <w:r>
        <w:rPr>
          <w:rFonts w:ascii="Times New Roman" w:hAnsi="Times New Roman" w:cs="Times New Roman" w:eastAsia="Times New Roman"/>
          <w:color w:val="auto"/>
          <w:spacing w:val="0"/>
          <w:position w:val="0"/>
          <w:sz w:val="22"/>
          <w:shd w:fill="auto" w:val="clear"/>
        </w:rPr>
        <w:t xml:space="preserve">São Paulo: Edusp. 1993.</w:t>
      </w:r>
      <w:r>
        <w:rPr>
          <w:rFonts w:ascii="Times New Roman" w:hAnsi="Times New Roman" w:cs="Times New Roman" w:eastAsia="Times New Roman"/>
          <w:b/>
          <w:color w:val="auto"/>
          <w:spacing w:val="0"/>
          <w:position w:val="0"/>
          <w:sz w:val="22"/>
          <w:shd w:fill="auto" w:val="clear"/>
        </w:rPr>
        <w:t xml:space="preserve">  </w:t>
      </w:r>
    </w:p>
    <w:p>
      <w:pPr>
        <w:spacing w:before="10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ANDRADE, Mário de. </w:t>
      </w:r>
      <w:r>
        <w:rPr>
          <w:rFonts w:ascii="Times New Roman" w:hAnsi="Times New Roman" w:cs="Times New Roman" w:eastAsia="Times New Roman"/>
          <w:b/>
          <w:color w:val="auto"/>
          <w:spacing w:val="0"/>
          <w:position w:val="0"/>
          <w:sz w:val="22"/>
          <w:shd w:fill="auto" w:val="clear"/>
        </w:rPr>
        <w:t xml:space="preserve">O turista aprendiz</w:t>
      </w:r>
      <w:r>
        <w:rPr>
          <w:rFonts w:ascii="Times New Roman" w:hAnsi="Times New Roman" w:cs="Times New Roman" w:eastAsia="Times New Roman"/>
          <w:color w:val="auto"/>
          <w:spacing w:val="0"/>
          <w:position w:val="0"/>
          <w:sz w:val="22"/>
          <w:shd w:fill="auto" w:val="clear"/>
        </w:rPr>
        <w:t xml:space="preserve">. São Paulo: Duas Cidades, 1976.</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BARBOSA, Rui. </w:t>
      </w:r>
      <w:r>
        <w:rPr>
          <w:rFonts w:ascii="Times New Roman" w:hAnsi="Times New Roman" w:cs="Times New Roman" w:eastAsia="Times New Roman"/>
          <w:b/>
          <w:color w:val="auto"/>
          <w:spacing w:val="0"/>
          <w:position w:val="0"/>
          <w:sz w:val="22"/>
          <w:shd w:fill="auto" w:val="clear"/>
        </w:rPr>
        <w:t xml:space="preserve">Antologia de Rui Barbosa</w:t>
      </w:r>
      <w:r>
        <w:rPr>
          <w:rFonts w:ascii="Times New Roman" w:hAnsi="Times New Roman" w:cs="Times New Roman" w:eastAsia="Times New Roman"/>
          <w:color w:val="auto"/>
          <w:spacing w:val="0"/>
          <w:position w:val="0"/>
          <w:sz w:val="22"/>
          <w:shd w:fill="auto" w:val="clear"/>
        </w:rPr>
        <w:t xml:space="preserve">,  Rio de Janeiro: Ediouro, 1984.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BARRETO, Lima. </w:t>
      </w:r>
      <w:r>
        <w:rPr>
          <w:rFonts w:ascii="Times New Roman" w:hAnsi="Times New Roman" w:cs="Times New Roman" w:eastAsia="Times New Roman"/>
          <w:b/>
          <w:color w:val="auto"/>
          <w:spacing w:val="0"/>
          <w:position w:val="0"/>
          <w:sz w:val="22"/>
          <w:shd w:fill="auto" w:val="clear"/>
        </w:rPr>
        <w:t xml:space="preserve">Triste Fim de Policarpo Quaresma</w:t>
      </w:r>
      <w:r>
        <w:rPr>
          <w:rFonts w:ascii="Times New Roman" w:hAnsi="Times New Roman" w:cs="Times New Roman" w:eastAsia="Times New Roman"/>
          <w:color w:val="auto"/>
          <w:spacing w:val="0"/>
          <w:position w:val="0"/>
          <w:sz w:val="22"/>
          <w:shd w:fill="auto" w:val="clear"/>
        </w:rPr>
        <w:t xml:space="preserve">, Curitiba: UFPR,  2004.</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_________, Lima. </w:t>
      </w:r>
      <w:r>
        <w:rPr>
          <w:rFonts w:ascii="Times New Roman" w:hAnsi="Times New Roman" w:cs="Times New Roman" w:eastAsia="Times New Roman"/>
          <w:b/>
          <w:color w:val="auto"/>
          <w:spacing w:val="0"/>
          <w:position w:val="0"/>
          <w:sz w:val="22"/>
          <w:shd w:fill="auto" w:val="clear"/>
        </w:rPr>
        <w:t xml:space="preserve">“Miss Edith e seu Tio” In: Feiras e Mafuás</w:t>
      </w:r>
      <w:r>
        <w:rPr>
          <w:rFonts w:ascii="Times New Roman" w:hAnsi="Times New Roman" w:cs="Times New Roman" w:eastAsia="Times New Roman"/>
          <w:color w:val="auto"/>
          <w:spacing w:val="0"/>
          <w:position w:val="0"/>
          <w:sz w:val="22"/>
          <w:shd w:fill="auto" w:val="clear"/>
        </w:rPr>
        <w:t xml:space="preserve">, São Paulo: Mérito, 1953.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_________, Lima. Um longo sonho do futuro, Curitiba: Série Revisões, 2000.</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BAUDELAIRE, Charles. Sobre a modernidade, São Paulo: Paz e Terra,  1996.</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BENJAMIN, Walter. Magia e técnica Arte e política. São Paulo: Brasiliense, 1996.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BROCA, Brito. A vida literária no Brasil 1900, Rio de Janeiro: José Olympio, 2004.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CANDIDO, Antonio. Formação da Literatura Brasileira, Belo Horizonte: Itatiaia, 1981.</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COUTINHO, Afrânio. A literatura no Brasil, Rio de Janeiro: Bertrand Brasil, 1976.</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HALL, Stuart. A identidade Cultural na Pós-Modernidade, São Paulo: DP&amp;A Editora, 1992.</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DAMATTA, Roberto. A casa e a rua. Rio de Janeiro: Rocco, 1979.</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FREYRE, Gilberto. Ingleses no Brasil, Rio de Janeiro,: MEC, 1977.</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JUNIOR, Prado Caio. Formação do Brasil Contemporâneo. São Paulo: Brasiliense, 2004.</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MARINS, Álvaro. Machado de Assis e Lima Barreto:  da ironia à sátira. Rio de Janeiro: Utópos, 2004.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KOTCHE, Flavio. O cânone imperial, Brasília: UNB, 2000.</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NABUCO, Joaquim. Minha Formação,  Rio de Janeiro: MEC,  1976.</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ORTIZ, Renato. Mundialização e Cultura, São Paulo:  Brasiliense, 2005.</w:t>
      </w:r>
    </w:p>
    <w:p>
      <w:pPr>
        <w:spacing w:before="100" w:after="100" w:line="240"/>
        <w:ind w:right="0" w:left="0" w:firstLine="0"/>
        <w:jc w:val="left"/>
        <w:rPr>
          <w:rFonts w:ascii="Calibri" w:hAnsi="Calibri" w:cs="Calibri" w:eastAsia="Calibri"/>
          <w:color w:val="000000"/>
          <w:spacing w:val="0"/>
          <w:position w:val="0"/>
          <w:sz w:val="22"/>
          <w:u w:val="single"/>
          <w:shd w:fill="auto" w:val="clear"/>
        </w:rPr>
      </w:pPr>
      <w:r>
        <w:rPr>
          <w:rFonts w:ascii="Times New Roman" w:hAnsi="Times New Roman" w:cs="Times New Roman" w:eastAsia="Times New Roman"/>
          <w:color w:val="000000"/>
          <w:spacing w:val="0"/>
          <w:position w:val="0"/>
          <w:sz w:val="22"/>
          <w:u w:val="single"/>
          <w:shd w:fill="auto" w:val="clear"/>
        </w:rPr>
        <w:t xml:space="preserve">RIBEIRO, Darcy. O povo brasileiro. São Paulo: Cia das Letras, 1995.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SAID, W Edward. Cultura e Imperialismo, São Paulo: Cia das Letras, 1993.</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SODRÉ, Werneck Nelson. História da Imprensa no Brasil, Rio de Janeiro: Mauad, 1998</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PERCURSOS E OBSTÁCULOS ENCONTRADOS POR MULHERES NO CAMPO DE ATUAÇÃO PROFISSIONAL EM EDUCAÇÃO FÍSICA</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José Everaldo Diniz Ferreira</w:t>
      </w:r>
    </w:p>
    <w:p>
      <w:pPr>
        <w:spacing w:before="0" w:after="0" w:line="240"/>
        <w:ind w:right="0" w:left="0" w:firstLine="53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Wellington Gomes Feitosa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objetivo deste trabalho foi verificar e analisar as dificuldades que as Profissionais de Educação Física enfrentam atuando no campo profissional em alguns bairros da cidade de Fortaleza, Ceará. Esta pesquisa seguiu um modelo descritivo e com caráter quantitativo. A amostra foi composta por 40 Profissionais de Educação Física, do sexo feminino, com idade de 21 a 39 anos, sendo graduadas, especialistas e mestres. Os dados foram coletados durante o mês de julho de 2010, através da aplicação de um questionário estruturado e composto por 10 perguntas de múltiplas escolhas, que englobavam aspectos pertinentes a profissão e ao ambiente de trabalho, os quais foram preenchidos através de contato pessoal. Os dados foram organizados no software Excel</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rPr>
        <w:t xml:space="preserve">2007 e analisados por meio do pacote estatístico SPSS</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versão 15.0 para Windows por meio da análise descritiva quantitativa. Observou-se os seguintes resultados: Dentre as entrevistadas não houve nenhuma doutora, sendo 2 (duas) mestres, 13 (treze) especialistas e 25 (vinte e cinco) graduadas. Quanto ao campo de atuaçao, 22 (vinte e duas) trabalhavam em academias, 9 (nove)  em escolas e 9 (nove) em outros. Em relação a opinião das participantes sobre a que se deve o crescimento da Profissional de Educação Física no mercado de trabalho, 29 (vinte e nove) atribuiu a competência/profissionalismo, 6 (seis) a maior nivel escolar, 4 (quatro) a outros e 1(uma)  a habilidades feminina. Não foram constatadas diferenças salariais no grupo, pois100% afirmou receber remuneração igual a dos Profissionais do sexo masculino. Quando perguntadas se já foram discriminada profissionalmente pelo fato de ser mulher, 68% disseram que não e 32% que sim. Quando perguntadas se já sofreram assédio sexual no seu ambiente de trabalho, 53% afirmaram que sim e 47% que não. Concluiu-se que, segundo as opiniões das participantes, há discriminação no campo de atuação destas profissionais pelo fato de ser mulher, sendo um dado a ser considerado e que merece uma investigação mais detalhada, a fim de combater esta pratica discriminatória. Conclui-se também que o assédio sexual esta presente no ambiente de trabalho destas profissionais, podendo este obstáculo influenciar negativamente no desempenho profissional destas mulheres. E que não foi constatado discriminação por diferenciação salarial, na amostra pesquisada, sendo um dado positivo para estas profissionais e mais uma conquista de igualdade de gênero.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w:t>
      </w:r>
      <w:r>
        <w:rPr>
          <w:rFonts w:ascii="Times New Roman" w:hAnsi="Times New Roman" w:cs="Times New Roman" w:eastAsia="Times New Roman"/>
          <w:color w:val="auto"/>
          <w:spacing w:val="0"/>
          <w:position w:val="0"/>
          <w:sz w:val="24"/>
          <w:shd w:fill="auto" w:val="clear"/>
        </w:rPr>
        <w:t xml:space="preserve">: Discriminação profissional. Desigualdade salarial. Assédio sexual.</w:t>
      </w:r>
    </w:p>
    <w:p>
      <w:pPr>
        <w:tabs>
          <w:tab w:val="center" w:pos="4005"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center" w:pos="4005"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trabalho abordou a situação das Profissionais de Educação Física, que atuavam no mercado de trabalho em alguns bairros da cidade de Fortaleza, Ceará.</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mulheres invadem o mercado de trabalho com toda elegância, criatividade, dinamismo, humanidade e determinação</w:t>
      </w:r>
      <w:r>
        <w:rPr>
          <w:rFonts w:ascii="Times New Roman" w:hAnsi="Times New Roman" w:cs="Times New Roman" w:eastAsia="Times New Roman"/>
          <w:color w:val="000000"/>
          <w:spacing w:val="0"/>
          <w:position w:val="0"/>
          <w:sz w:val="24"/>
          <w:shd w:fill="auto" w:val="clear"/>
        </w:rPr>
        <w:t xml:space="preserve"> e c</w:t>
      </w:r>
      <w:r>
        <w:rPr>
          <w:rFonts w:ascii="Times New Roman" w:hAnsi="Times New Roman" w:cs="Times New Roman" w:eastAsia="Times New Roman"/>
          <w:color w:val="auto"/>
          <w:spacing w:val="0"/>
          <w:position w:val="0"/>
          <w:sz w:val="24"/>
          <w:shd w:fill="auto" w:val="clear"/>
        </w:rPr>
        <w:t xml:space="preserve">om muita batalha, luta, garra e determinação para torna-se uma profissional, a mulher vem conquistando seu espaço. A sua forma de se organizar, ser criativa, ousada e inovadora contribuiu para seu sucesso.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assim elas vão conquistando as faculdades, escolas, arbitragens esportivas, centros esportivos, academias, clubes de recreação e lazer, enfrentado os obstáculos e mostrando sua capacidade profissional</w:t>
      </w:r>
      <w:r>
        <w:rPr>
          <w:rFonts w:ascii="Times New Roman" w:hAnsi="Times New Roman" w:cs="Times New Roman" w:eastAsia="Times New Roman"/>
          <w:color w:val="000000"/>
          <w:spacing w:val="0"/>
          <w:position w:val="0"/>
          <w:sz w:val="24"/>
          <w:shd w:fill="auto" w:val="clear"/>
        </w:rPr>
        <w:t xml:space="preserve"> (JULIO, 2002)</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Diferentemente dos homens, as mulheres precisam afirmar sua capacidade profissional no campo de trabalho, pois o preconceito com relação ao seu trabalho ainda é grande. Diante deste quadro, a mulher melhorou seu nível de escolaridade, assumiu cargos mais altos nas organizações, fez seu poder aquisitivo aumentar. Enfim, vêm assumindo novas responsabilidades, novos cargos, novas funções, buscando melhores remunerações, realização profissional e pessoal.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Outros fatores foram favoráveis à evolução feminina, como a urbanização, a industrialização, taxa de escolaridade que cresceu bastante nos últimos tempos, a taxa de fecundidade que baixou, a mulher contemporânea estabelece outras prioridades em sua vida </w:t>
      </w:r>
      <w:r>
        <w:rPr>
          <w:rFonts w:ascii="Times New Roman" w:hAnsi="Times New Roman" w:cs="Times New Roman" w:eastAsia="Times New Roman"/>
          <w:color w:val="000000"/>
          <w:spacing w:val="0"/>
          <w:position w:val="0"/>
          <w:sz w:val="24"/>
          <w:shd w:fill="auto" w:val="clear"/>
        </w:rPr>
        <w:t xml:space="preserve">(RAGO, 2004</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Pedroza (2008) alguns fatores são considerados negativos para as mulheres que vem tentando adquirir uma ascensão, seja profissional, seja social. Então, fala-se no tão inadmissível machismo, o preconceito, a violência, entre outros. Um fato que se deve destacar nessa questão do machismo é que esse ato de impunidade traz consigo algo que está enraizado na sociedade, o homem é preparado culturalmente para propagar o machismo, porém essa consideração não justifica certas ações negativas direcionadas às mulheres. O homem vê a mulher como sua para dominá-la, adestrá-la, consertá-la, deixá-la ao seu gosto. Ela não é um ser igual a ele, é um objeto de afeto para ele dominar numa relação de cima para baixo.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pesquisa teve como objetivo geral analisar as dificuldades que as Profissionais de Educação Física enfrentam atuando no campo profissional e como objetivos específicos</w:t>
      </w:r>
      <w:r>
        <w:rPr>
          <w:rFonts w:ascii="Times New Roman" w:hAnsi="Times New Roman" w:cs="Times New Roman" w:eastAsia="Times New Roman"/>
          <w:b/>
          <w:color w:val="auto"/>
          <w:spacing w:val="0"/>
          <w:position w:val="0"/>
          <w:sz w:val="24"/>
          <w:shd w:fill="auto" w:val="clear"/>
        </w:rPr>
        <w:t xml:space="preserve"> v</w:t>
      </w:r>
      <w:r>
        <w:rPr>
          <w:rFonts w:ascii="Times New Roman" w:hAnsi="Times New Roman" w:cs="Times New Roman" w:eastAsia="Times New Roman"/>
          <w:color w:val="auto"/>
          <w:spacing w:val="0"/>
          <w:position w:val="0"/>
          <w:sz w:val="24"/>
          <w:shd w:fill="auto" w:val="clear"/>
        </w:rPr>
        <w:t xml:space="preserve">erificar se estas profissionais são discriminadas no campo de atuação, analisar se elas sofrem assédio sexual no ambiente de trabalho e averiguar se há diferenças salariais para o mesmo serviço prestado entre homens e mulheres Profissionais de Educação Física.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tanto, foi realizada uma pesquisa descritiva que esclareceu a forma como essas profissionais são tratadas nesse mercado de trabalho. Também foram abordadas algumas questões como preconceito, discriminação profissional e assédio sexual, por parte de clientes, alunos, colegas de profissão, chefes, dentre outros. Dessa forma, foi feito uma abordagem acerca dos dados obtidos e assim uma análise dos mesmos.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Foram as divergências relatadas nas opiniões das Profissionais de Educação Física e a curiosidade de conhecer sobre o assunto que nos despertou nosso interesse para realizar esta pesquisa.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desta realidade, este trabalho teve a preocupação de apresentar uma resposta para a seguinte problemática:</w:t>
      </w:r>
      <w:r>
        <w:rPr>
          <w:rFonts w:ascii="Times New Roman" w:hAnsi="Times New Roman" w:cs="Times New Roman" w:eastAsia="Times New Roman"/>
          <w:b/>
          <w:color w:val="auto"/>
          <w:spacing w:val="0"/>
          <w:position w:val="0"/>
          <w:sz w:val="24"/>
          <w:shd w:fill="auto" w:val="clear"/>
        </w:rPr>
        <w:t xml:space="preserve"> Como superar os obstáculos impostos às Profissionais de Educação Física no campo de atuação?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estudo poderá ser significativo para a sociedade no sentido de combater e evitar eventuais condutas discriminatórias e preconceituosas, pois ao expor a realidade destas Profissionais, poderão ser beneficiadas com tratamento respeitoso e profissional. Já para o meio acadêmico pode ser objeto de estudo, pois poderá servi como fonte para preparar melhor as futuras Profissionais de Educação Física, para enfrentar os possíveis obstáculos no campo de atuação. Bem como fonte de dados, para estudos acadêmicos posteriores.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Tipo de estudo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pesquisa seguiu um modelo descritivo e com o caráter quantitativo. Assim, a pesquisa se caracteriza como descritiva por buscar descrever um fato, um problema ou um fenômeno. A pesquisa quantitativa permite a mensuração de opiniões, reações, hábitos e atitudes em um universo, por meio de uma amostra que o represente estatisticamente (TERENCE; ESCRIVÃO FILHO, 2006).</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Cenário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foi realizada nos seguintes bairros da cidade de Fortaleza, Ceará: Aldeota, Centro, Dionísio Torres, Meireles, Mucuripe, Papicu, Praia de Iracema, São João do Tauape, Varjota, José Bonifácio, Benfica, Fátima, Jardim América, Damas, Parreão, Montese, Parangaba, Serrinha e Itaperi, com Profissionais de Educação Física do sexo feminino.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pesquisador foi a campo (Academias, Escolas, Universidades e Outros) ao encontro destas Profissionais, onde realizou contato e agendou a pesquisa com as participantes, que posteriormente responderam ao questionário em locais de melhor comodidade para elas. Dessa forma, a pesquisa não possuiu um local específico de realização, pois as entrevistadas foram solicitadas a responder o questionário em ambientes diversos.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Amostras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foi efetuada com 40 Profissionais de Educação Física, do sexo feminino, com formação acadêmica em Educação Física, com idade entre 21 e 39 anos, que trabalhavam como Professoras/instrutoras de Educação Física.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Critério de inclusão e de exclusão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Foram incluídas na pesquisa, Profissionais de Educação Física, do sexo feminino, com formação acadêmica em Educação Física, com no mínimo 21 anos de idade e que trabalhavam na área de Educação Física, foram voluntárias e concordaram com os termos da pesquisa, assinando o Termo de Consentimento Livre e Esclarecido.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 teve como critério de exclusão, não ser do sexo feminino, não ter concluído a graduação, não ter formação acadêmica em Educação Física (Provisionadas), ter menos de 21 anos de idade, não exercer a profissão, não ter sido voluntária e não ter concordado com os termos da pesquisa, não ter assinando o Termo de Consentimento Livre e Esclarecido.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Coleta de dados</w:t>
      </w:r>
    </w:p>
    <w:p>
      <w:pPr>
        <w:tabs>
          <w:tab w:val="left" w:pos="1290"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dados foram coletados através da aplicação de um questionário estruturado e composto por 10 perguntas de múltiplas escolhas, que foram preenchidos através de contato pessoal, onde a participante respondeu reservadamente e entregou em seguida ao pesquisador. Foi explicada às participantes, por meio de comunicação verbal do pesquisador e do termo de consentimento livre e esclarecido, a relevância da pesquisa, seus objetivos, a metodologia a ser empregada na coleta de dados, bem como foi assegurado que os dados fornecidos seriam utilizados cientificamente, também foi garantido o anonimato e a integridade das participantes. Durante a aplicação do questionário, o pesquisador permaneceu no local, onde esclareceu as dúvidas que surgiram durante a pesquisa.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escolha deste instrumento de coleta justifica-se pelo fato de ser um instrumento relativamente econômico, de simples padronização e registro de resultados, além de garantir o anonimato dos sujeitos da pesquisa. Tal tipo de questionário foi escolhido, pois “há vantagens como serem fáceis de codificar e o entrevistado não precisa escrever, apenas marcar a alternativa que melhor se aplica” (MATTOS; ROSSETTE JR.; BLECHER, 2004, p. 39).</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tipo estruturado tem como maior vantagem proporcionar a uniformidade da medida (OPPENHEIM, 1966).</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Análise de dados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serem coletados os dados, estes foram organizados e analisados por meio de estatística descritiva, que segundo Gil (1994) é feito geralmente para atender quatro objetivos: caracterizar o que é típico no grupo; indicar variabilidade dos indivíduos do grupo e verificar como os indivíduos se distribui em relação a determinadas variáveis; e mostrar a força e a direção da relação entre as variáveis estudadas. Portanto, foram utilizados os </w:t>
      </w:r>
      <w:r>
        <w:rPr>
          <w:rFonts w:ascii="Times New Roman" w:hAnsi="Times New Roman" w:cs="Times New Roman" w:eastAsia="Times New Roman"/>
          <w:i/>
          <w:color w:val="auto"/>
          <w:spacing w:val="0"/>
          <w:position w:val="0"/>
          <w:sz w:val="24"/>
          <w:shd w:fill="auto" w:val="clear"/>
        </w:rPr>
        <w:t xml:space="preserve">softwares Excel 2007</w:t>
      </w:r>
      <w:r>
        <w:rPr>
          <w:rFonts w:ascii="Times New Roman" w:hAnsi="Times New Roman" w:cs="Times New Roman" w:eastAsia="Times New Roman"/>
          <w:color w:val="auto"/>
          <w:spacing w:val="0"/>
          <w:position w:val="0"/>
          <w:sz w:val="24"/>
          <w:shd w:fill="auto" w:val="clear"/>
        </w:rPr>
        <w:t xml:space="preserve"> e o pacote estatístico SPSS</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versão 15.0, em espanhol, para Windows, os quais facilitaram a análise estatística descritiva dos dados, bem como na elaboração dos gráficos e tabelas para melhor visualização, também foram feitas comparações com o que foi encontrado na literatura.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Procedimentos éticos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estudo, em seus procedimentos éticos, foi referenciado pela Resolução N° 196/96 do Conselho Nacional de Saúde que se refere às pesquisas com seres humanos e que estabelece a eticidade da pesquisa em: autonomia, beneficência, não maleficência, justiça e eqüidade (BRASIL, 1996). Esta pesquisa foi submetida e aprovada pelo Comitê de Ética em Pesquisa da Universidade Estadual do Ceará -CEP - UECE, no dia 26 de Julho de 2010, com o número do processo </w:t>
      </w:r>
      <w:r>
        <w:rPr>
          <w:rFonts w:ascii="Times New Roman" w:hAnsi="Times New Roman" w:cs="Times New Roman" w:eastAsia="Times New Roman"/>
          <w:b/>
          <w:color w:val="auto"/>
          <w:spacing w:val="0"/>
          <w:position w:val="0"/>
          <w:sz w:val="24"/>
          <w:shd w:fill="auto" w:val="clear"/>
        </w:rPr>
        <w:t xml:space="preserve">10131286 5</w:t>
      </w:r>
      <w:r>
        <w:rPr>
          <w:rFonts w:ascii="Times New Roman" w:hAnsi="Times New Roman" w:cs="Times New Roman" w:eastAsia="Times New Roman"/>
          <w:color w:val="auto"/>
          <w:spacing w:val="0"/>
          <w:position w:val="0"/>
          <w:sz w:val="24"/>
          <w:shd w:fill="auto" w:val="clear"/>
        </w:rPr>
        <w:t xml:space="preserve"> e folha de rosto </w:t>
      </w:r>
      <w:r>
        <w:rPr>
          <w:rFonts w:ascii="Times New Roman" w:hAnsi="Times New Roman" w:cs="Times New Roman" w:eastAsia="Times New Roman"/>
          <w:b/>
          <w:color w:val="auto"/>
          <w:spacing w:val="0"/>
          <w:position w:val="0"/>
          <w:sz w:val="24"/>
          <w:shd w:fill="auto" w:val="clear"/>
        </w:rPr>
        <w:t xml:space="preserve">348854</w:t>
      </w:r>
      <w:r>
        <w:rPr>
          <w:rFonts w:ascii="Times New Roman" w:hAnsi="Times New Roman" w:cs="Times New Roman" w:eastAsia="Times New Roman"/>
          <w:color w:val="auto"/>
          <w:spacing w:val="0"/>
          <w:position w:val="0"/>
          <w:sz w:val="24"/>
          <w:shd w:fill="auto" w:val="clear"/>
        </w:rPr>
        <w:t xml:space="preserve">. As entrevistadas foram informadas que não haveria risco que comprometesse a saúde, mantendo a integridade física preservada.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participantes receberam um Termo de Consentimento Livre e Esclarecido contendo todas as informações necessárias sobre os objetivos e procedimentos da pesquisa, que tinha a finalidade de deixá-las cientes sobre o processo ao qual estavam sendo submetidas. Para participar da pesquisa, não haveria custos nem o recebimento de qualquer gratificação, tendo a participante à total liberdade de desistir no momento que desejasse.</w:t>
      </w:r>
    </w:p>
    <w:p>
      <w:pPr>
        <w:tabs>
          <w:tab w:val="left" w:pos="851"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por fim, não houve Termo de Anuência uma vez que, como já mencionado, as Profissionais não responderam o questionário em suas instituições de trabalho.</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RESULTADOS E DISCUSSÃO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Foram analisadas as informações pessoais e profissionais das entrevistadas e após análise da idade das participantes constatou-se que: A média de idade é 28 (vinte e oito) anos; a moda é de 26 (vinte e seis) anos; desvio padrão de 5 (cinco); sendo a idade mínima de 21(vinte e um) anos e a máxima de 39 (trinta e nove) anos. Das 40(quarenta) entrevistadas, 29 (vinte e nove) tinham entre 21(vinte e um) e 30 (trinta) anos, e 11(onze) de 31(trinta e um) a 39 (trinta e nove) anos de idade. Mostrando</w:t>
      </w:r>
      <w:r>
        <w:rPr>
          <w:rFonts w:ascii="Times New Roman" w:hAnsi="Times New Roman" w:cs="Times New Roman" w:eastAsia="Times New Roman"/>
          <w:color w:val="000000"/>
          <w:spacing w:val="0"/>
          <w:position w:val="0"/>
          <w:sz w:val="24"/>
          <w:shd w:fill="auto" w:val="clear"/>
        </w:rPr>
        <w:t xml:space="preserve"> que a maioria das participantes são</w:t>
      </w:r>
      <w:r>
        <w:rPr>
          <w:rFonts w:ascii="Times New Roman" w:hAnsi="Times New Roman" w:cs="Times New Roman" w:eastAsia="Times New Roman"/>
          <w:color w:val="auto"/>
          <w:spacing w:val="0"/>
          <w:position w:val="0"/>
          <w:sz w:val="24"/>
          <w:shd w:fill="auto" w:val="clear"/>
        </w:rPr>
        <w:t xml:space="preserve"> jovens profissionais.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1- </w:t>
      </w:r>
      <w:r>
        <w:rPr>
          <w:rFonts w:ascii="Times New Roman" w:hAnsi="Times New Roman" w:cs="Times New Roman" w:eastAsia="Times New Roman"/>
          <w:color w:val="auto"/>
          <w:spacing w:val="0"/>
          <w:position w:val="0"/>
          <w:sz w:val="24"/>
          <w:shd w:fill="auto" w:val="clear"/>
        </w:rPr>
        <w:t xml:space="preserve">Distribuição da escolaridade</w:t>
      </w:r>
    </w:p>
    <w:p>
      <w:pPr>
        <w:tabs>
          <w:tab w:val="left" w:pos="540" w:leader="none"/>
          <w:tab w:val="left" w:pos="709"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416" w:dyaOrig="3363">
          <v:rect xmlns:o="urn:schemas-microsoft-com:office:office" xmlns:v="urn:schemas-microsoft-com:vml" id="rectole0000000000" style="width:320.800000pt;height:168.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540" w:leader="none"/>
          <w:tab w:val="left" w:pos="709"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primeira questão trata da escolaridade dos sujeitos da pesquisa, tal distribuição demonstra que dentre as entrevistadas não houve nenhuma doutora, sendo 2 (duas) mestres, 13 (treze) especialistas e 25 (vinte e cinco) graduadas (Fig. 1).</w:t>
      </w:r>
    </w:p>
    <w:p>
      <w:pPr>
        <w:tabs>
          <w:tab w:val="left" w:pos="540" w:leader="none"/>
          <w:tab w:val="left" w:pos="709"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Analisando a figura 1(um) nota-se que as participantes estão procurando aumentar seu nível de escolaridade, pois na amostra pesquisada há números consideráveis de especialistas e mestres. Demonstrando que estas profissionais vêm se qualificando gradativamente e conquistando o mercado de trabalho, concordando com a literatura que afirma que a mulher vem evoluindo junto com outros fatores, dentre eles a urbanização, a industrialização, taxa de escolaridade que cresceu bastante nos últimos tempos, a taxa de fecundidade que baixou (</w:t>
      </w:r>
      <w:r>
        <w:rPr>
          <w:rFonts w:ascii="Times New Roman" w:hAnsi="Times New Roman" w:cs="Times New Roman" w:eastAsia="Times New Roman"/>
          <w:color w:val="000000"/>
          <w:spacing w:val="0"/>
          <w:position w:val="0"/>
          <w:sz w:val="24"/>
          <w:shd w:fill="auto" w:val="clear"/>
        </w:rPr>
        <w:t xml:space="preserve">RAGO, 2004).</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2- </w:t>
      </w:r>
      <w:r>
        <w:rPr>
          <w:rFonts w:ascii="Times New Roman" w:hAnsi="Times New Roman" w:cs="Times New Roman" w:eastAsia="Times New Roman"/>
          <w:color w:val="auto"/>
          <w:spacing w:val="0"/>
          <w:position w:val="0"/>
          <w:sz w:val="24"/>
          <w:shd w:fill="auto" w:val="clear"/>
        </w:rPr>
        <w:t xml:space="preserve">Distribuição do campo de atuação</w:t>
      </w:r>
    </w:p>
    <w:p>
      <w:pPr>
        <w:spacing w:before="0" w:after="0" w:line="360"/>
        <w:ind w:right="0" w:left="0" w:firstLine="708"/>
        <w:jc w:val="center"/>
        <w:rPr>
          <w:rFonts w:ascii="Times New Roman" w:hAnsi="Times New Roman" w:cs="Times New Roman" w:eastAsia="Times New Roman"/>
          <w:color w:val="auto"/>
          <w:spacing w:val="0"/>
          <w:position w:val="0"/>
          <w:sz w:val="24"/>
          <w:shd w:fill="auto" w:val="clear"/>
        </w:rPr>
      </w:pPr>
      <w:r>
        <w:object w:dxaOrig="6334" w:dyaOrig="3384">
          <v:rect xmlns:o="urn:schemas-microsoft-com:office:office" xmlns:v="urn:schemas-microsoft-com:vml" id="rectole0000000001" style="width:316.700000pt;height:169.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tabs>
          <w:tab w:val="left" w:pos="709" w:leader="none"/>
        </w:tabs>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figura 2 (dois) faz a distribuição do campo de atuaçao, sendo que  22 (vinte e duas) trabalhavam em academias, 9 (nove)  em escolas e 9 (nove) em outros.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3 - </w:t>
      </w:r>
      <w:r>
        <w:rPr>
          <w:rFonts w:ascii="Times New Roman" w:hAnsi="Times New Roman" w:cs="Times New Roman" w:eastAsia="Times New Roman"/>
          <w:color w:val="auto"/>
          <w:spacing w:val="0"/>
          <w:position w:val="0"/>
          <w:sz w:val="24"/>
          <w:shd w:fill="auto" w:val="clear"/>
        </w:rPr>
        <w:t xml:space="preserve">Distribuição do campo de atuação (opção outros)</w:t>
      </w:r>
    </w:p>
    <w:p>
      <w:pPr>
        <w:spacing w:before="0" w:after="0" w:line="360"/>
        <w:ind w:right="0" w:left="0" w:firstLine="709"/>
        <w:jc w:val="center"/>
        <w:rPr>
          <w:rFonts w:ascii="Times New Roman" w:hAnsi="Times New Roman" w:cs="Times New Roman" w:eastAsia="Times New Roman"/>
          <w:color w:val="auto"/>
          <w:spacing w:val="0"/>
          <w:position w:val="0"/>
          <w:sz w:val="24"/>
          <w:shd w:fill="auto" w:val="clear"/>
        </w:rPr>
      </w:pPr>
      <w:r>
        <w:object w:dxaOrig="6416" w:dyaOrig="3673">
          <v:rect xmlns:o="urn:schemas-microsoft-com:office:office" xmlns:v="urn:schemas-microsoft-com:vml" id="rectole0000000002" style="width:320.800000pt;height:183.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709"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figura 3 (três) que faz a distribuição do campo de atuaçao (opção outros) mostra que 5 (cinco) atuam no ensino superior, 2 (dois) projetos sociais, 1(um) gestao em lazer e 1(um) em clube.</w:t>
      </w:r>
    </w:p>
    <w:p>
      <w:pPr>
        <w:tabs>
          <w:tab w:val="left" w:pos="709"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tabs>
          <w:tab w:val="left" w:pos="709"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tabs>
          <w:tab w:val="left" w:pos="851"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segunda questão procura saber o campo de atuação das entrevistadas. Analisando os dados das figuras 2 (dois) e 3 (três), observar-se que das 22 (vinte e duas) entrevistads que atuam em academias 17 (desessete) são graduadas, dado que aponta que esta área da Educação Física absorve bem estas profissionais no início de carreira.</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resultado concorda com os estudos realizados por Antunes (2003) que afirma ser crescente o número de instrutores até os 30 (trinta) anos de idade, havendo um decréscimo a partir dos </w:t>
      </w:r>
      <w:r>
        <w:rPr>
          <w:rFonts w:ascii="Times New Roman" w:hAnsi="Times New Roman" w:cs="Times New Roman" w:eastAsia="Times New Roman"/>
          <w:color w:val="000000"/>
          <w:spacing w:val="0"/>
          <w:position w:val="0"/>
          <w:sz w:val="24"/>
          <w:shd w:fill="auto" w:val="clear"/>
        </w:rPr>
        <w:t xml:space="preserve">31(trinta e um) anos de</w:t>
      </w:r>
      <w:r>
        <w:rPr>
          <w:rFonts w:ascii="Times New Roman" w:hAnsi="Times New Roman" w:cs="Times New Roman" w:eastAsia="Times New Roman"/>
          <w:color w:val="auto"/>
          <w:spacing w:val="0"/>
          <w:position w:val="0"/>
          <w:sz w:val="24"/>
          <w:shd w:fill="auto" w:val="clear"/>
        </w:rPr>
        <w:t xml:space="preserve"> idade, tais resultados ele relacionou estarem intimamente ligados à condição física e o aspecto jovial que são mais valorizados que a experiência profissional nesta área de atuação. O que indica ser</w:t>
      </w:r>
      <w:r>
        <w:rPr>
          <w:rFonts w:ascii="Times New Roman" w:hAnsi="Times New Roman" w:cs="Times New Roman" w:eastAsia="Times New Roman"/>
          <w:color w:val="000000"/>
          <w:spacing w:val="0"/>
          <w:position w:val="0"/>
          <w:sz w:val="24"/>
          <w:shd w:fill="auto" w:val="clear"/>
        </w:rPr>
        <w:t xml:space="preserve"> um problema para o Profissional de Educação Física que só trabalha nesse ramo de atividade, pois há uma maior probabilidade de ficar desempregado em poucos anos.</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Também Coelho Filho (1999), com base no discurso do Profissional de ginástica em academia do Rio de Janeiro, verificou que a vida útil desse profissional vai aproximadamente até os quarenta anos com exceção daqueles que mantém o aspecto jovial. Verificou-se também que a experiência e competência não garantem prestígio e estabilidade no mercado (e sim a juventude aliada à competência) e que não há ascensão em função da idade, nem garantias trabalhistas. Assim, esse profissional não tem como vislumbrar uma carreira, pois a profissão é vista como uma ocupação.</w:t>
      </w:r>
    </w:p>
    <w:p>
      <w:pPr>
        <w:tabs>
          <w:tab w:val="left" w:pos="851" w:leader="none"/>
        </w:tabs>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segundo lugar, 9 (nove) atuam em escola e 5 (cinco) no ensino superior o que representa uma presença siginificativa destas Profissionais que estão atuando nas universidades, sendo mais um espaço conquistado por elas.</w:t>
      </w:r>
    </w:p>
    <w:p>
      <w:pPr>
        <w:tabs>
          <w:tab w:val="left" w:pos="851"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851"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4 - </w:t>
      </w:r>
      <w:r>
        <w:rPr>
          <w:rFonts w:ascii="Times New Roman" w:hAnsi="Times New Roman" w:cs="Times New Roman" w:eastAsia="Times New Roman"/>
          <w:color w:val="auto"/>
          <w:spacing w:val="0"/>
          <w:position w:val="0"/>
          <w:sz w:val="24"/>
          <w:shd w:fill="auto" w:val="clear"/>
        </w:rPr>
        <w:t xml:space="preserve">Distribuição das opniões das participantes sobre a que se deve o crescimento da Profissional de Educação Física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499" w:dyaOrig="3775">
          <v:rect xmlns:o="urn:schemas-microsoft-com:office:office" xmlns:v="urn:schemas-microsoft-com:vml" id="rectole0000000003" style="width:324.950000pt;height:188.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terceira questão quer saber a opinião das participantes sobre a que se deve o crescimento da Profissional de Educação Física no mercado de trabalho, de acordo com a figura 4 (quatro), 29 (vinte e nove) atribuiu a competência/profissionalismo, 6 (seis) a maior nivel escolar, 4 (quatro) a outros e 1(uma)  a habilidades feminina.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maioria 29 (vinte e nove) atribui o crescimento da Profissional de Educaçao Fisica à competência/profissionalismo, isso mostra que essas profissionais perceberam que  o mercado de trabalho exigem mais que valores femino, têm que mostrar competência e ser boa profissional, dados estes que concordam com a literatura. Pois segundo </w:t>
      </w:r>
      <w:r>
        <w:rPr>
          <w:rFonts w:ascii="Times New Roman" w:hAnsi="Times New Roman" w:cs="Times New Roman" w:eastAsia="Times New Roman"/>
          <w:color w:val="000000"/>
          <w:spacing w:val="0"/>
          <w:position w:val="0"/>
          <w:sz w:val="24"/>
          <w:shd w:fill="auto" w:val="clear"/>
        </w:rPr>
        <w:t xml:space="preserve">Julio (2002) </w:t>
      </w:r>
      <w:r>
        <w:rPr>
          <w:rFonts w:ascii="Times New Roman" w:hAnsi="Times New Roman" w:cs="Times New Roman" w:eastAsia="Times New Roman"/>
          <w:color w:val="auto"/>
          <w:spacing w:val="0"/>
          <w:position w:val="0"/>
          <w:sz w:val="24"/>
          <w:shd w:fill="auto" w:val="clear"/>
        </w:rPr>
        <w:t xml:space="preserve">diferentemente dos homens, as mulheres precisam afirmar sua capacidade profissional no campo de trabalho, pois o preconceito com relação ao seu trabalho ainda é grande. Diante deste quadro, a mulher melhorou seu nível de escolaridade, assumiu cargos mais altos nas organizações, fez seu poder aquisitivo aumentar. Enfim, vêm assumindo novas responsabilidades, novos cargos, novas funções, buscando melhores remunerações, realização profissional e pessoal. As mulheres invadem o mercado de trabalho com toda elegância, criatividade, dinamismo, humanidade e determinação</w:t>
      </w:r>
      <w:r>
        <w:rPr>
          <w:rFonts w:ascii="Times New Roman" w:hAnsi="Times New Roman" w:cs="Times New Roman" w:eastAsia="Times New Roman"/>
          <w:color w:val="000000"/>
          <w:spacing w:val="0"/>
          <w:position w:val="0"/>
          <w:sz w:val="24"/>
          <w:shd w:fill="auto" w:val="clear"/>
        </w:rPr>
        <w:t xml:space="preserve">.</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 mulheres já perceberam que, com a globalização, quem não se profissionalizar e estudar, mais cedo ou mais tarde, estará fora do mercado de trabalho, que se torna cada vez mais competitivo. As mulheres, sem dúvida, têm se adaptado mais rapidamente a essa realidade competitiva dos novos tempos (JULIO, 2002, p. 135).</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quarta questão verificou se a remuneração é igual para homens e mulheres Profissionais de Educação Física, para o mesmo serviço prestado e o mesmo grau de instrução. Das 40 (quarenta) entrevistadas, que corresponde a 100% da amostra, todos afirmaram receber remuneração igual a dos profissionais do sexo masculino. Este resultado não constatou </w:t>
      </w:r>
      <w:r>
        <w:rPr>
          <w:rFonts w:ascii="Times New Roman" w:hAnsi="Times New Roman" w:cs="Times New Roman" w:eastAsia="Times New Roman"/>
          <w:color w:val="000000"/>
          <w:spacing w:val="0"/>
          <w:position w:val="0"/>
          <w:sz w:val="24"/>
          <w:shd w:fill="auto" w:val="clear"/>
        </w:rPr>
        <w:t xml:space="preserve">discriminação por gênero neste campo de trabalho, pois não houve diferenças salariais entre homens e mulheres mostrando certa concordância com a afirmação do </w:t>
      </w:r>
      <w:r>
        <w:rPr>
          <w:rFonts w:ascii="Times New Roman" w:hAnsi="Times New Roman" w:cs="Times New Roman" w:eastAsia="Times New Roman"/>
          <w:color w:val="auto"/>
          <w:spacing w:val="0"/>
          <w:position w:val="0"/>
          <w:sz w:val="24"/>
          <w:shd w:fill="auto" w:val="clear"/>
        </w:rPr>
        <w:t xml:space="preserve">IBGE (2010), quando afirma que diminuiu a diferença salarial entre homens e mulheres.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Segundo Silva (1987), as diferenças salariais são justificadas pelas várias relações sociais e econômicas existentes, sendo que estas relações determinam os níveis de bem-estar atingíveis pelas pessoas.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5 - </w:t>
      </w:r>
      <w:r>
        <w:rPr>
          <w:rFonts w:ascii="Times New Roman" w:hAnsi="Times New Roman" w:cs="Times New Roman" w:eastAsia="Times New Roman"/>
          <w:color w:val="auto"/>
          <w:spacing w:val="0"/>
          <w:position w:val="0"/>
          <w:sz w:val="24"/>
          <w:shd w:fill="auto" w:val="clear"/>
        </w:rPr>
        <w:t xml:space="preserve">Você já constatou que perdeu uma vaga de emprego para um Profissional de Educação Física do sexo masculino, você tendo grau de instrução igual ou superior ao seu concorrente, pelo fato de você ser mulher?</w:t>
      </w:r>
    </w:p>
    <w:p>
      <w:pPr>
        <w:spacing w:before="0" w:after="0" w:line="360"/>
        <w:ind w:right="0" w:left="0" w:firstLine="709"/>
        <w:jc w:val="center"/>
        <w:rPr>
          <w:rFonts w:ascii="Times New Roman" w:hAnsi="Times New Roman" w:cs="Times New Roman" w:eastAsia="Times New Roman"/>
          <w:color w:val="auto"/>
          <w:spacing w:val="0"/>
          <w:position w:val="0"/>
          <w:sz w:val="24"/>
          <w:shd w:fill="auto" w:val="clear"/>
        </w:rPr>
      </w:pPr>
      <w:r>
        <w:object w:dxaOrig="6355" w:dyaOrig="3755">
          <v:rect xmlns:o="urn:schemas-microsoft-com:office:office" xmlns:v="urn:schemas-microsoft-com:vml" id="rectole0000000004" style="width:317.750000pt;height:187.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quinta questão procurou averiguar se as Profissionais de Educação Física já constataram que perderam uma vaga de emprego para um Profissional de Educação Física do sexo masculino, com igual grau de instrução ou menor ao seu pelo fato de ser mulher. A figura 5 (cinco) mostra que a maioria 27 (vinte e sete) disseram que não, contra 13 (treze) que afirmaram que já foram discriminadas pelo o fato de ser mulher.  Mesmo a maioria 27 (vinte e sete) tendo respondido que não, isso não significa que não há discriminação, pois uma boa parcela das entrevistadas 13 (treze) que respondeu sim representa uma parcela significativa diante da amostra. </w:t>
      </w:r>
      <w:r>
        <w:rPr>
          <w:rFonts w:ascii="Times New Roman" w:hAnsi="Times New Roman" w:cs="Times New Roman" w:eastAsia="Times New Roman"/>
          <w:color w:val="000000"/>
          <w:spacing w:val="0"/>
          <w:position w:val="0"/>
          <w:sz w:val="24"/>
          <w:shd w:fill="auto" w:val="clear"/>
        </w:rPr>
        <w:t xml:space="preserve">Para Baptista (1999) a discriminação por gênero no mercado de trabalho ocorre quando homens e mulheres, com as mesmas preferências e atributos produtivos, recebem remunerações diferenciadas na força de trabalho, em termos de salários e ou de acesso ao trabalho. Uma parcela da diferença de remuneração entre gênero pode ser atribuída a diferenças de preferência e qualificação entre os trabalhadores. No entanto, há uma parcela residual, que não se refere nem a preferências e nem a qualificação e que pode ser considerada indicador de discriminação</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6 - </w:t>
      </w:r>
      <w:r>
        <w:rPr>
          <w:rFonts w:ascii="Times New Roman" w:hAnsi="Times New Roman" w:cs="Times New Roman" w:eastAsia="Times New Roman"/>
          <w:color w:val="auto"/>
          <w:spacing w:val="0"/>
          <w:position w:val="0"/>
          <w:sz w:val="24"/>
          <w:shd w:fill="auto" w:val="clear"/>
        </w:rPr>
        <w:t xml:space="preserve">Distribuição dos sujeitos da pesquisa que já foram discriminadas profissionalmente pelo fato de ser mulher</w:t>
      </w:r>
    </w:p>
    <w:p>
      <w:pPr>
        <w:spacing w:before="0" w:after="0" w:line="360"/>
        <w:ind w:right="0" w:left="0" w:firstLine="709"/>
        <w:jc w:val="center"/>
        <w:rPr>
          <w:rFonts w:ascii="Times New Roman" w:hAnsi="Times New Roman" w:cs="Times New Roman" w:eastAsia="Times New Roman"/>
          <w:color w:val="auto"/>
          <w:spacing w:val="0"/>
          <w:position w:val="0"/>
          <w:sz w:val="24"/>
          <w:shd w:fill="auto" w:val="clear"/>
        </w:rPr>
      </w:pPr>
      <w:r>
        <w:object w:dxaOrig="6148" w:dyaOrig="3879">
          <v:rect xmlns:o="urn:schemas-microsoft-com:office:office" xmlns:v="urn:schemas-microsoft-com:vml" id="rectole0000000005" style="width:307.400000pt;height:193.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sexta questão procurou saber se a entrevistada já foi discriminada profissionalmente no seu ambiente de trabalho, pelo fato de ser mulher e por quem. A figura 6 (seis) mostra que 27 (vinte e sete) disseram que não e 13 (treze) afirmaram que sim.</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na questão anterior a minoria 13 (treze) que afirmou ter sido discriminada profissionalmente pelo o fato de ser mulher é significativa, pois apontam para uma possível discriminação neste campo de atuação e vai de encontro com a literatura consultado, quando afirma que a </w:t>
      </w:r>
      <w:r>
        <w:rPr>
          <w:rFonts w:ascii="Times New Roman" w:hAnsi="Times New Roman" w:cs="Times New Roman" w:eastAsia="Times New Roman"/>
          <w:color w:val="000000"/>
          <w:spacing w:val="0"/>
          <w:position w:val="0"/>
          <w:sz w:val="24"/>
          <w:shd w:fill="auto" w:val="clear"/>
        </w:rPr>
        <w:t xml:space="preserve">inserção da mulher no mundo do trabalho vem sendo acompanhada, ao longo dos anos, por elevado grau de discriminação, (MAIA; LIRA, 2002).</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7- </w:t>
      </w:r>
      <w:r>
        <w:rPr>
          <w:rFonts w:ascii="Times New Roman" w:hAnsi="Times New Roman" w:cs="Times New Roman" w:eastAsia="Times New Roman"/>
          <w:color w:val="auto"/>
          <w:spacing w:val="0"/>
          <w:position w:val="0"/>
          <w:sz w:val="24"/>
          <w:shd w:fill="auto" w:val="clear"/>
        </w:rPr>
        <w:t xml:space="preserve">Distribuição dos sujeitos que discriminaram as Profissionais de Educação Física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210" w:dyaOrig="3445">
          <v:rect xmlns:o="urn:schemas-microsoft-com:office:office" xmlns:v="urn:schemas-microsoft-com:vml" id="rectole0000000006" style="width:310.500000pt;height:172.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figura 7 (sete) que faz a distribuição dos sujeitos que discriminaram as profissionais de Educação Física, dos 13 (treze) sujeitos que discriminaram estas Profissionais, 8 (oito) foram clientes, 3 (três) colegas de trabalho e 2 (dois) chefe, sendo que não foram citados outros sujeitos.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Das 8 (oito) que foram discriminadas por clientes 7 (sete) trabalhavam em academias, dados estes que aponta para um certo grau de machismos e preconceito neste campo de atuaçao.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Pedroza (2008) alguns fatores são considerados negativos para as mulheres que vem tentando adquirir uma ascensão, seja profissional, seja social. Então, fala-se no tão inadmissível machismo, o preconceito, a violência, entre outros. Para Bourdieu (1995) a dominação masculina na sociedade está </w:t>
      </w:r>
      <w:r>
        <w:rPr>
          <w:rFonts w:ascii="Times New Roman" w:hAnsi="Times New Roman" w:cs="Times New Roman" w:eastAsia="Times New Roman"/>
          <w:color w:val="000000"/>
          <w:spacing w:val="0"/>
          <w:position w:val="0"/>
          <w:sz w:val="24"/>
          <w:shd w:fill="auto" w:val="clear"/>
        </w:rPr>
        <w:t xml:space="preserve">suficientemente assegurada, sendo o preconceito a desgraça que os homens têm nas mulheres, o qual interfere negativamente no desenvolvimento e crescimento das mesmas.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8 - </w:t>
      </w:r>
      <w:r>
        <w:rPr>
          <w:rFonts w:ascii="Times New Roman" w:hAnsi="Times New Roman" w:cs="Times New Roman" w:eastAsia="Times New Roman"/>
          <w:color w:val="auto"/>
          <w:spacing w:val="0"/>
          <w:position w:val="0"/>
          <w:sz w:val="24"/>
          <w:shd w:fill="auto" w:val="clear"/>
        </w:rPr>
        <w:t xml:space="preserve">Distribuição dos homens que aceitam ser liderados por mulheres</w:t>
      </w:r>
    </w:p>
    <w:p>
      <w:pPr>
        <w:spacing w:before="0" w:after="0" w:line="360"/>
        <w:ind w:right="0" w:left="0" w:firstLine="709"/>
        <w:jc w:val="center"/>
        <w:rPr>
          <w:rFonts w:ascii="Times New Roman" w:hAnsi="Times New Roman" w:cs="Times New Roman" w:eastAsia="Times New Roman"/>
          <w:color w:val="auto"/>
          <w:spacing w:val="0"/>
          <w:position w:val="0"/>
          <w:sz w:val="24"/>
          <w:shd w:fill="auto" w:val="clear"/>
        </w:rPr>
      </w:pPr>
      <w:r>
        <w:object w:dxaOrig="6292" w:dyaOrig="3321">
          <v:rect xmlns:o="urn:schemas-microsoft-com:office:office" xmlns:v="urn:schemas-microsoft-com:vml" id="rectole0000000007" style="width:314.600000pt;height:166.0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sétima questão procurou saber as opiniões das Profissionais de Educação, se elas acham que os homens aceitam ser liderados por mulheres. De acordo com a figura 8 (oito), que faz a distribuição dos homens que aceitam ser liderados por mulheres, a maioria 27 (vinte e sete) disseram que sim e 13 (treze) opinaram que não.</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maioria que disse sim mostra um ponto positivo nas relações de trabalhos entre homens e mulheres, pois demonstra que a mulher vem sendo respeitada e conquistando seu espaço, pois os homens estão acreditando na sua capacidade profissional e competência de liderança. </w:t>
      </w:r>
      <w:r>
        <w:rPr>
          <w:rFonts w:ascii="Times New Roman" w:hAnsi="Times New Roman" w:cs="Times New Roman" w:eastAsia="Times New Roman"/>
          <w:color w:val="000000"/>
          <w:spacing w:val="0"/>
          <w:position w:val="0"/>
          <w:sz w:val="24"/>
          <w:shd w:fill="auto" w:val="clear"/>
        </w:rPr>
        <w:t xml:space="preserve">Para Probst (2004), o mundo anda apostando em valores femininos, como a capacidade de trabalho em equipe contra o antigo individualismo, a persuasão em oposição ao autoritarismo, a cooperação no lugar da competição.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Mais as que afirmaram que não, demonstra que estas Profissionais ainda sentem que os homens são preconceituosos e machistas, com relação à mulher na liderança.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9 - </w:t>
      </w:r>
      <w:r>
        <w:rPr>
          <w:rFonts w:ascii="Times New Roman" w:hAnsi="Times New Roman" w:cs="Times New Roman" w:eastAsia="Times New Roman"/>
          <w:color w:val="auto"/>
          <w:spacing w:val="0"/>
          <w:position w:val="0"/>
          <w:sz w:val="24"/>
          <w:shd w:fill="auto" w:val="clear"/>
        </w:rPr>
        <w:t xml:space="preserve">Se houver um cargo mais alto (coordenação), onde você trabalha e você tem competência para exercer a função, quem seu chefe colocaria: você ou outro profissional do sexo masculino?</w:t>
      </w:r>
    </w:p>
    <w:p>
      <w:pPr>
        <w:spacing w:before="0" w:after="0" w:line="360"/>
        <w:ind w:right="0" w:left="0" w:firstLine="851"/>
        <w:jc w:val="center"/>
        <w:rPr>
          <w:rFonts w:ascii="Times New Roman" w:hAnsi="Times New Roman" w:cs="Times New Roman" w:eastAsia="Times New Roman"/>
          <w:color w:val="auto"/>
          <w:spacing w:val="0"/>
          <w:position w:val="0"/>
          <w:sz w:val="24"/>
          <w:shd w:fill="auto" w:val="clear"/>
        </w:rPr>
      </w:pPr>
      <w:r>
        <w:object w:dxaOrig="6107" w:dyaOrig="3590">
          <v:rect xmlns:o="urn:schemas-microsoft-com:office:office" xmlns:v="urn:schemas-microsoft-com:vml" id="rectole0000000008" style="width:305.350000pt;height:179.5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oitava questão supõe se houver um cargo mais alto (coordenação), onde a entrevistada trabalha e tem competência para exercer a função, quem o chefe dela colocaria ela ou outro profissional do sexo masculino.  A figura 9 (nove), mostra a opinião das entrevistada quanto a uma suposta posiçao de seus chefes em relação ao sugimento de um cargo mais alto (coordenação), sendo que responderam que ele cocaria ela 29 (vinte e nove) e  que ele colocaria outro profissional do sexo masculino 11(onze).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opiniões demonstram que as mulheres ainda não estão seguras neste mercado de trabalho e não conseguiram se afirmar totalmente neste campo de atuação, pois 11 (onze) colocaram como preferência dos chefes no cargo de coordenação outro profissional do sexo masculino em vez delas, mesmo elas tendo formação para tal, das  11(onze),  5 (cinco) eram graduadas, 5 (cinco) especialistas e 1(uma) mestre.  Dados do Fórum Econômico Mundial (2010), mostram que entre 600 grandes empresas pesquisadas, apenas 5% dos líderes executivos são mulheres, mesmo participando em número crescente no mercado de trabalho mundial.</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10 - </w:t>
      </w:r>
      <w:r>
        <w:rPr>
          <w:rFonts w:ascii="Times New Roman" w:hAnsi="Times New Roman" w:cs="Times New Roman" w:eastAsia="Times New Roman"/>
          <w:color w:val="auto"/>
          <w:spacing w:val="0"/>
          <w:position w:val="0"/>
          <w:sz w:val="24"/>
          <w:shd w:fill="auto" w:val="clear"/>
        </w:rPr>
        <w:t xml:space="preserve">Distribuição dos sujeitos que já sofreram assédio sexual no seu ambiente de trabalho</w:t>
      </w:r>
    </w:p>
    <w:p>
      <w:pPr>
        <w:spacing w:before="0" w:after="0" w:line="240"/>
        <w:ind w:right="0" w:left="0" w:firstLine="708"/>
        <w:jc w:val="center"/>
        <w:rPr>
          <w:rFonts w:ascii="Times New Roman" w:hAnsi="Times New Roman" w:cs="Times New Roman" w:eastAsia="Times New Roman"/>
          <w:color w:val="auto"/>
          <w:spacing w:val="0"/>
          <w:position w:val="0"/>
          <w:sz w:val="24"/>
          <w:shd w:fill="auto" w:val="clear"/>
        </w:rPr>
      </w:pPr>
      <w:r>
        <w:object w:dxaOrig="5962" w:dyaOrig="3590">
          <v:rect xmlns:o="urn:schemas-microsoft-com:office:office" xmlns:v="urn:schemas-microsoft-com:vml" id="rectole0000000009" style="width:298.100000pt;height:179.5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nona questão verificou se as entrevistadas já sofreram assédio sexual no seu ambiente de trabalho. Conforme mostra a figura 10 (dez), distribuição dos sujeitos que já sofreram assédio sexual no seu ambiente de trabalho, 21 (vinte e um) disseram que sim e 19 (dezenove) que não.</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resultados mostraram que o assédio sexual esta presente no ambiente de trabalho destas profissionais, pois a maioria das entrevistadas 21 (vinte e um) disseram que já foram assediadas sexualmente, concordando com a literatura quando afirma que t</w:t>
      </w:r>
      <w:r>
        <w:rPr>
          <w:rFonts w:ascii="Times New Roman" w:hAnsi="Times New Roman" w:cs="Times New Roman" w:eastAsia="Times New Roman"/>
          <w:color w:val="000000"/>
          <w:spacing w:val="0"/>
          <w:position w:val="0"/>
          <w:sz w:val="24"/>
          <w:shd w:fill="auto" w:val="clear"/>
        </w:rPr>
        <w:t xml:space="preserve">odos podem sofrer assédios, porém nas mulheres se percebem maiores ocorrências (PEDROZA, 2008).</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Também Hirigoyen (2002) aponta em seus estudos uma clara diferença entre os assediados com relação ao sexo: 70% de mulheres contra 30% de homens.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Figura 11- </w:t>
      </w:r>
      <w:r>
        <w:rPr>
          <w:rFonts w:ascii="Times New Roman" w:hAnsi="Times New Roman" w:cs="Times New Roman" w:eastAsia="Times New Roman"/>
          <w:color w:val="auto"/>
          <w:spacing w:val="0"/>
          <w:position w:val="0"/>
          <w:sz w:val="24"/>
          <w:shd w:fill="auto" w:val="clear"/>
        </w:rPr>
        <w:t xml:space="preserve">Distribuição dos sujeitos que assediaram as Profissionais de Educação Física</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center"/>
        <w:rPr>
          <w:rFonts w:ascii="Times New Roman" w:hAnsi="Times New Roman" w:cs="Times New Roman" w:eastAsia="Times New Roman"/>
          <w:color w:val="auto"/>
          <w:spacing w:val="0"/>
          <w:position w:val="0"/>
          <w:sz w:val="24"/>
          <w:shd w:fill="auto" w:val="clear"/>
        </w:rPr>
      </w:pPr>
      <w:r>
        <w:object w:dxaOrig="6168" w:dyaOrig="3466">
          <v:rect xmlns:o="urn:schemas-microsoft-com:office:office" xmlns:v="urn:schemas-microsoft-com:vml" id="rectole0000000010" style="width:308.400000pt;height:173.3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décima questão procurou saber por quem a entrevistada foi assediada sexualmente. A figura 11(onze), que faz a distribuição dos 21(vinte e um) sujeitos que assediaram sexualmente as Profissionais de Educação física mostra que 13 (treze) foram colegas de trabalho, 7</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(sete) clientes, 1(um) outros e nenhum chefe.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resultados mostraram que a maioria dos sujeitos que assediaram as Profissionais de Educação Física foram os colegas de trabalhos com 13 (treze), sendo que não foi citado nenhum caso de assédio sexual cometido pelo o chefe, resultado este que chama atenção e diverge da maioria dos conceitos encontrados na literatura consultada, que coloca o chefe ou superior hierárquico como assediador. Mostrando que no ambiente de trabalho não é necessário que haja uma diferença hierárquica entre assediado e assediante, embora normalmente haja.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Barros (1998), são duas as espécies de assédio sexual: assédio sexual por chantagem e assédio sexual por intimidação, sendo por chantagem o tipo criminal previsto na Lei nº. 10.224/2001 “constranger alguém com o intuito de obter vantagem ou favorecimento sexual, prevalecendo-se o agente da sua condição de superior hierárquico ou ascendência inerente ao exercício de emprego, cargo ou função”, e por Intimidação </w:t>
      </w:r>
      <w:r>
        <w:rPr>
          <w:rFonts w:ascii="Times New Roman" w:hAnsi="Times New Roman" w:cs="Times New Roman" w:eastAsia="Times New Roman"/>
          <w:color w:val="333333"/>
          <w:spacing w:val="0"/>
          <w:position w:val="0"/>
          <w:sz w:val="24"/>
          <w:shd w:fill="auto" w:val="clear"/>
        </w:rPr>
        <w:t xml:space="preserve">conhecido, ainda, como assédio ambiental</w:t>
      </w:r>
      <w:r>
        <w:rPr>
          <w:rFonts w:ascii="Times New Roman" w:hAnsi="Times New Roman" w:cs="Times New Roman" w:eastAsia="Times New Roman"/>
          <w:color w:val="auto"/>
          <w:spacing w:val="0"/>
          <w:position w:val="0"/>
          <w:sz w:val="24"/>
          <w:shd w:fill="auto" w:val="clear"/>
        </w:rPr>
        <w:t xml:space="preserve"> o que têm a intenção de restringir, sem motivo, a atuação de alguém ou criar uma circunstância ofensiva</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consistindo em constranger colegas por meio de cantadas e insinuações constantes com o objetivo de obter vantagens ou favorecimento sexual.</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CONSIDERAÇÕES FINAIS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as opiniões das entrevistadas c</w:t>
      </w:r>
      <w:r>
        <w:rPr>
          <w:rFonts w:ascii="Times New Roman" w:hAnsi="Times New Roman" w:cs="Times New Roman" w:eastAsia="Times New Roman"/>
          <w:color w:val="000000"/>
          <w:spacing w:val="0"/>
          <w:position w:val="0"/>
          <w:sz w:val="24"/>
          <w:shd w:fill="auto" w:val="clear"/>
        </w:rPr>
        <w:t xml:space="preserve">onstatou-se que há </w:t>
      </w:r>
      <w:r>
        <w:rPr>
          <w:rFonts w:ascii="Times New Roman" w:hAnsi="Times New Roman" w:cs="Times New Roman" w:eastAsia="Times New Roman"/>
          <w:color w:val="auto"/>
          <w:spacing w:val="0"/>
          <w:position w:val="0"/>
          <w:sz w:val="24"/>
          <w:shd w:fill="auto" w:val="clear"/>
        </w:rPr>
        <w:t xml:space="preserve">discriminação no campo de atuação profissional pelo fato de ser mulher, pois mesmo sendo a minoria 13 (treze) que relataram terem sidas discriminadas, é um dado que deve ser considerado e que merece uma investigação, mas detalhada, a fim de combater esta pratica discriminatória.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observou-se que o assédio sexual esta presente no ambiente de trabalho destas Profissionais, já que 21 (vinte um) das 40 (quarenta) entrevistadas afirmaram terem sidas assediadas sexualmente. Tal obstáculo pode influenciar negativamente no desempenho profissional destas mulheres.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foi constatado discriminação por diferenciação salarial, pois todas afirmaram receber remuneração igual a dos profissionais do sexo masculino, sendo um dado positivo para estas profissionais e mais uma conquista de igualdade de gênero.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Cabem as Profissionais de Educação Física que sofreram esse tipo de conduta discriminatória, pré-conceituosa e assédio sexual denunciarem aos órgãos competentes (Ministério do Trabalho, CREF e etc.) para que sejam tomadas as providencias cabíveis. E ao Conselho Regional de Educação Física (CREF), fiscalizar as condições de trabalho destas profissionais e apresentar soluções para os devidos problemas.</w:t>
      </w:r>
      <w:r>
        <w:rPr>
          <w:rFonts w:ascii="Verdana" w:hAnsi="Verdana" w:cs="Verdana" w:eastAsia="Verdana"/>
          <w:color w:val="000000"/>
          <w:spacing w:val="0"/>
          <w:position w:val="0"/>
          <w:sz w:val="17"/>
          <w:shd w:fill="auto" w:val="clear"/>
        </w:rPr>
        <w:t xml:space="preserve"> </w:t>
      </w:r>
      <w:r>
        <w:rPr>
          <w:rFonts w:ascii="Times New Roman" w:hAnsi="Times New Roman" w:cs="Times New Roman" w:eastAsia="Times New Roman"/>
          <w:color w:val="auto"/>
          <w:spacing w:val="0"/>
          <w:position w:val="0"/>
          <w:sz w:val="24"/>
          <w:shd w:fill="auto" w:val="clear"/>
        </w:rPr>
        <w:t xml:space="preserve">A vítima de abuso sexual não deve ter medo de defender-se e, portanto se for possível obter meios de prova, inclusive testemunhas e declarações escritas, procurar uma delegacia e fazer o Boletim de Ocorrência.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ideal é que outros estudos e novas coletas de dados sejam realizados sobre esse problema existente no ambiente de trabalho das Profissionais de Educação Física, para que se possa relacionar e comparar os dados.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ANTUNES, Alfredo César. </w:t>
      </w:r>
      <w:r>
        <w:rPr>
          <w:rFonts w:ascii="Times New Roman" w:hAnsi="Times New Roman" w:cs="Times New Roman" w:eastAsia="Times New Roman"/>
          <w:b/>
          <w:color w:val="auto"/>
          <w:spacing w:val="0"/>
          <w:position w:val="0"/>
          <w:sz w:val="24"/>
          <w:shd w:fill="auto" w:val="clear"/>
        </w:rPr>
        <w:t xml:space="preserve">Perfil profissional de Instrutores de academias de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ginástica e musculação</w:t>
      </w:r>
      <w:r>
        <w:rPr>
          <w:rFonts w:ascii="Times New Roman" w:hAnsi="Times New Roman" w:cs="Times New Roman" w:eastAsia="Times New Roman"/>
          <w:color w:val="auto"/>
          <w:spacing w:val="0"/>
          <w:position w:val="0"/>
          <w:sz w:val="24"/>
          <w:shd w:fill="auto" w:val="clear"/>
        </w:rPr>
        <w:t xml:space="preserve">. Disponível em internet. http:// </w:t>
      </w:r>
      <w:hyperlink xmlns:r="http://schemas.openxmlformats.org/officeDocument/2006/relationships" r:id="docRId22">
        <w:r>
          <w:rPr>
            <w:rFonts w:ascii="Times New Roman" w:hAnsi="Times New Roman" w:cs="Times New Roman" w:eastAsia="Times New Roman"/>
            <w:color w:val="0000FF"/>
            <w:spacing w:val="0"/>
            <w:position w:val="0"/>
            <w:sz w:val="24"/>
            <w:u w:val="single"/>
            <w:shd w:fill="auto" w:val="clear"/>
          </w:rPr>
          <w:t xml:space="preserve">www.efdeportes.com/</w:t>
        </w:r>
      </w:hyperlink>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efd60/perfil.htm. Acesso em 04 abr. 2010</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BAPTISTA, D. B. D. A. Diferenciais de rendimento e discriminação por sexo no</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mercado de trabalho brasileiro na década de 90. 1999 In.: </w:t>
      </w:r>
      <w:r>
        <w:rPr>
          <w:rFonts w:ascii="Times New Roman" w:hAnsi="Times New Roman" w:cs="Times New Roman" w:eastAsia="Times New Roman"/>
          <w:b/>
          <w:color w:val="auto"/>
          <w:spacing w:val="0"/>
          <w:position w:val="0"/>
          <w:sz w:val="24"/>
          <w:shd w:fill="auto" w:val="clear"/>
        </w:rPr>
        <w:t xml:space="preserve">Encontro da Associação</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Brasileira de Estudos Populacionais</w:t>
      </w:r>
      <w:r>
        <w:rPr>
          <w:rFonts w:ascii="Times New Roman" w:hAnsi="Times New Roman" w:cs="Times New Roman" w:eastAsia="Times New Roman"/>
          <w:color w:val="auto"/>
          <w:spacing w:val="0"/>
          <w:position w:val="0"/>
          <w:sz w:val="24"/>
          <w:shd w:fill="auto" w:val="clear"/>
        </w:rPr>
        <w:t xml:space="preserve">, 2000: ABEP. Anais, 2000.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BARROS, Alice Monteiro de. O assédio sexual no direito do trabalho comparado. </w:t>
      </w:r>
      <w:r>
        <w:rPr>
          <w:rFonts w:ascii="Times New Roman" w:hAnsi="Times New Roman" w:cs="Times New Roman" w:eastAsia="Times New Roman"/>
          <w:b/>
          <w:color w:val="auto"/>
          <w:spacing w:val="0"/>
          <w:position w:val="0"/>
          <w:sz w:val="24"/>
          <w:shd w:fill="auto" w:val="clear"/>
        </w:rPr>
        <w:t xml:space="preserve">Gênesis – Revista de Direito do Trabalho</w:t>
      </w:r>
      <w:r>
        <w:rPr>
          <w:rFonts w:ascii="Times New Roman" w:hAnsi="Times New Roman" w:cs="Times New Roman" w:eastAsia="Times New Roman"/>
          <w:color w:val="auto"/>
          <w:spacing w:val="0"/>
          <w:position w:val="0"/>
          <w:sz w:val="24"/>
          <w:shd w:fill="auto" w:val="clear"/>
        </w:rPr>
        <w:t xml:space="preserve">, Curitiba, v. 70, p.503, out. 1998.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Pierre</w:t>
      </w:r>
      <w:r>
        <w:rPr>
          <w:rFonts w:ascii="Times New Roman" w:hAnsi="Times New Roman" w:cs="Times New Roman" w:eastAsia="Times New Roman"/>
          <w:b/>
          <w:color w:val="auto"/>
          <w:spacing w:val="0"/>
          <w:position w:val="0"/>
          <w:sz w:val="24"/>
          <w:shd w:fill="auto" w:val="clear"/>
        </w:rPr>
        <w:t xml:space="preserve">. A dominação masculina</w:t>
      </w:r>
      <w:r>
        <w:rPr>
          <w:rFonts w:ascii="Times New Roman" w:hAnsi="Times New Roman" w:cs="Times New Roman" w:eastAsia="Times New Roman"/>
          <w:color w:val="auto"/>
          <w:spacing w:val="0"/>
          <w:position w:val="0"/>
          <w:sz w:val="24"/>
          <w:shd w:fill="auto" w:val="clear"/>
        </w:rPr>
        <w:t xml:space="preserve">. Rio de Janeiro: Bertrand Brasil, 1995.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BRAZIL. </w:t>
      </w:r>
      <w:hyperlink xmlns:r="http://schemas.openxmlformats.org/officeDocument/2006/relationships" r:id="docRId23">
        <w:r>
          <w:rPr>
            <w:rFonts w:ascii="Times New Roman" w:hAnsi="Times New Roman" w:cs="Times New Roman" w:eastAsia="Times New Roman"/>
            <w:b/>
            <w:color w:val="0000FF"/>
            <w:spacing w:val="0"/>
            <w:position w:val="0"/>
            <w:sz w:val="24"/>
            <w:u w:val="single"/>
            <w:shd w:fill="auto" w:val="clear"/>
          </w:rPr>
          <w:t xml:space="preserve">Lei N</w:t>
        </w:r>
        <w:r>
          <w:rPr>
            <w:rFonts w:ascii="Times New Roman" w:hAnsi="Times New Roman" w:cs="Times New Roman" w:eastAsia="Times New Roman"/>
            <w:b/>
            <w:vanish/>
            <w:color w:val="0000FF"/>
            <w:spacing w:val="0"/>
            <w:position w:val="0"/>
            <w:sz w:val="24"/>
            <w:u w:val="single"/>
            <w:shd w:fill="auto" w:val="clear"/>
            <w:vertAlign w:val="superscript"/>
          </w:rPr>
          <w:t xml:space="preserve">HYPERLINK "http://legislacao.planalto.gov.br/legisla/legislacao.nsf/Viw_Identificacao/lei%2010.224-2001?OpenDocument"</w:t>
        </w:r>
        <w:r>
          <w:rPr>
            <w:rFonts w:ascii="Times New Roman" w:hAnsi="Times New Roman" w:cs="Times New Roman" w:eastAsia="Times New Roman"/>
            <w:b/>
            <w:color w:val="0000FF"/>
            <w:spacing w:val="0"/>
            <w:position w:val="0"/>
            <w:sz w:val="24"/>
            <w:u w:val="single"/>
            <w:shd w:fill="auto" w:val="clear"/>
            <w:vertAlign w:val="superscript"/>
          </w:rPr>
          <w:t xml:space="preserve">o</w:t>
        </w:r>
        <w:r>
          <w:rPr>
            <w:rFonts w:ascii="Times New Roman" w:hAnsi="Times New Roman" w:cs="Times New Roman" w:eastAsia="Times New Roman"/>
            <w:b/>
            <w:vanish/>
            <w:color w:val="0000FF"/>
            <w:spacing w:val="0"/>
            <w:position w:val="0"/>
            <w:sz w:val="24"/>
            <w:u w:val="single"/>
            <w:shd w:fill="auto" w:val="clear"/>
          </w:rPr>
          <w:t xml:space="preserve">HYPERLINK "http://legislacao.planalto.gov.br/legisla/legislacao.nsf/Viw_Identificacao/lei%2010.224-2001?OpenDocument"</w:t>
        </w:r>
        <w:r>
          <w:rPr>
            <w:rFonts w:ascii="Times New Roman" w:hAnsi="Times New Roman" w:cs="Times New Roman" w:eastAsia="Times New Roman"/>
            <w:b/>
            <w:color w:val="0000FF"/>
            <w:spacing w:val="0"/>
            <w:position w:val="0"/>
            <w:sz w:val="24"/>
            <w:u w:val="single"/>
            <w:shd w:fill="auto" w:val="clear"/>
          </w:rPr>
          <w:t xml:space="preserve"> 10.224, de 15 de Maio de 2001</w:t>
        </w:r>
        <w:r>
          <w:rPr>
            <w:rFonts w:ascii="Times New Roman" w:hAnsi="Times New Roman" w:cs="Times New Roman" w:eastAsia="Times New Roman"/>
            <w:b/>
            <w:vanish/>
            <w:color w:val="0000FF"/>
            <w:spacing w:val="0"/>
            <w:position w:val="0"/>
            <w:sz w:val="24"/>
            <w:u w:val="single"/>
            <w:shd w:fill="auto" w:val="clear"/>
          </w:rPr>
          <w:t xml:space="preserve">HYPERLINK "http://legislacao.planalto.gov.br/legisla/legislacao.nsf/Viw_Identificacao/lei%2010.224-2001?OpenDocument"</w:t>
        </w:r>
        <w:r>
          <w:rPr>
            <w:rFonts w:ascii="Times New Roman" w:hAnsi="Times New Roman" w:cs="Times New Roman" w:eastAsia="Times New Roman"/>
            <w:b/>
            <w:color w:val="0000FF"/>
            <w:spacing w:val="0"/>
            <w:position w:val="0"/>
            <w:sz w:val="24"/>
            <w:u w:val="single"/>
            <w:shd w:fill="auto" w:val="clear"/>
          </w:rPr>
          <w:t xml:space="preserve">.</w:t>
        </w:r>
      </w:hyperlink>
      <w:r>
        <w:rPr>
          <w:rFonts w:ascii="Times New Roman" w:hAnsi="Times New Roman" w:cs="Times New Roman" w:eastAsia="Times New Roman"/>
          <w:color w:val="auto"/>
          <w:spacing w:val="0"/>
          <w:position w:val="0"/>
          <w:sz w:val="24"/>
          <w:shd w:fill="auto" w:val="clear"/>
        </w:rPr>
        <w:t xml:space="preserve"> Disponivel em: &lt;</w:t>
      </w:r>
      <w:hyperlink xmlns:r="http://schemas.openxmlformats.org/officeDocument/2006/relationships" r:id="docRId24">
        <w:r>
          <w:rPr>
            <w:rFonts w:ascii="Times New Roman" w:hAnsi="Times New Roman" w:cs="Times New Roman" w:eastAsia="Times New Roman"/>
            <w:color w:val="0000FF"/>
            <w:spacing w:val="0"/>
            <w:position w:val="0"/>
            <w:sz w:val="24"/>
            <w:u w:val="single"/>
            <w:shd w:fill="auto" w:val="clear"/>
          </w:rPr>
          <w:t xml:space="preserve">http://www.planalto.gov.br/ccivil/LEIS/LEIS_2001/L10224.htm</w:t>
        </w:r>
      </w:hyperlink>
      <w:r>
        <w:rPr>
          <w:rFonts w:ascii="Times New Roman" w:hAnsi="Times New Roman" w:cs="Times New Roman" w:eastAsia="Times New Roman"/>
          <w:color w:val="auto"/>
          <w:spacing w:val="0"/>
          <w:position w:val="0"/>
          <w:sz w:val="24"/>
          <w:shd w:fill="auto" w:val="clear"/>
        </w:rPr>
        <w:t xml:space="preserve">&gt; Acesso em: 4 jan. 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Ministério da saúde/ Conselho nacional de saúde. </w:t>
      </w:r>
      <w:r>
        <w:rPr>
          <w:rFonts w:ascii="Times New Roman" w:hAnsi="Times New Roman" w:cs="Times New Roman" w:eastAsia="Times New Roman"/>
          <w:b/>
          <w:color w:val="auto"/>
          <w:spacing w:val="0"/>
          <w:position w:val="0"/>
          <w:sz w:val="24"/>
          <w:shd w:fill="auto" w:val="clear"/>
        </w:rPr>
        <w:t xml:space="preserve">Resolução 196/96</w:t>
      </w:r>
      <w:r>
        <w:rPr>
          <w:rFonts w:ascii="Times New Roman" w:hAnsi="Times New Roman" w:cs="Times New Roman" w:eastAsia="Times New Roman"/>
          <w:color w:val="auto"/>
          <w:spacing w:val="0"/>
          <w:position w:val="0"/>
          <w:sz w:val="24"/>
          <w:shd w:fill="auto" w:val="clear"/>
        </w:rPr>
        <w:t xml:space="preserve">. Brasília-DF, 1996. Disponível em: &lt;</w:t>
      </w:r>
      <w:hyperlink xmlns:r="http://schemas.openxmlformats.org/officeDocument/2006/relationships" r:id="docRId25">
        <w:r>
          <w:rPr>
            <w:rFonts w:ascii="Times New Roman" w:hAnsi="Times New Roman" w:cs="Times New Roman" w:eastAsia="Times New Roman"/>
            <w:color w:val="0000FF"/>
            <w:spacing w:val="0"/>
            <w:position w:val="0"/>
            <w:sz w:val="24"/>
            <w:u w:val="single"/>
            <w:shd w:fill="auto" w:val="clear"/>
          </w:rPr>
          <w:t xml:space="preserve">http://conselho.saude.gov.br</w:t>
        </w:r>
      </w:hyperlink>
      <w:r>
        <w:rPr>
          <w:rFonts w:ascii="Times New Roman" w:hAnsi="Times New Roman" w:cs="Times New Roman" w:eastAsia="Times New Roman"/>
          <w:color w:val="auto"/>
          <w:spacing w:val="0"/>
          <w:position w:val="0"/>
          <w:sz w:val="24"/>
          <w:shd w:fill="auto" w:val="clear"/>
        </w:rPr>
        <w:t xml:space="preserve">&gt;.  Acesso em: 06 nov.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Coelho Filho, C.A.A. (1999). </w:t>
      </w:r>
      <w:r>
        <w:rPr>
          <w:rFonts w:ascii="Times New Roman" w:hAnsi="Times New Roman" w:cs="Times New Roman" w:eastAsia="Times New Roman"/>
          <w:b/>
          <w:color w:val="auto"/>
          <w:spacing w:val="0"/>
          <w:position w:val="0"/>
          <w:sz w:val="24"/>
          <w:shd w:fill="auto" w:val="clear"/>
        </w:rPr>
        <w:t xml:space="preserve">O discurso do profissional de ginástica em academia no Rio de Janeiro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Motus Corporis. </w:t>
      </w:r>
      <w:r>
        <w:rPr>
          <w:rFonts w:ascii="Times New Roman" w:hAnsi="Times New Roman" w:cs="Times New Roman" w:eastAsia="Times New Roman"/>
          <w:color w:val="auto"/>
          <w:spacing w:val="0"/>
          <w:position w:val="0"/>
          <w:sz w:val="24"/>
          <w:shd w:fill="auto" w:val="clear"/>
        </w:rPr>
        <w:t xml:space="preserve">1 (6), 61-83.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CONFEF. </w:t>
      </w:r>
      <w:r>
        <w:rPr>
          <w:rFonts w:ascii="Times New Roman" w:hAnsi="Times New Roman" w:cs="Times New Roman" w:eastAsia="Times New Roman"/>
          <w:b/>
          <w:color w:val="auto"/>
          <w:spacing w:val="0"/>
          <w:position w:val="0"/>
          <w:sz w:val="24"/>
          <w:shd w:fill="auto" w:val="clear"/>
        </w:rPr>
        <w:t xml:space="preserve">Carta Brasileira de Educação Física</w:t>
      </w:r>
      <w:r>
        <w:rPr>
          <w:rFonts w:ascii="Times New Roman" w:hAnsi="Times New Roman" w:cs="Times New Roman" w:eastAsia="Times New Roman"/>
          <w:color w:val="auto"/>
          <w:spacing w:val="0"/>
          <w:position w:val="0"/>
          <w:sz w:val="24"/>
          <w:shd w:fill="auto" w:val="clear"/>
        </w:rPr>
        <w:t xml:space="preserve">, 2002. Disponível em: &lt;</w:t>
      </w:r>
      <w:hyperlink xmlns:r="http://schemas.openxmlformats.org/officeDocument/2006/relationships" r:id="docRId26">
        <w:r>
          <w:rPr>
            <w:rFonts w:ascii="Times New Roman" w:hAnsi="Times New Roman" w:cs="Times New Roman" w:eastAsia="Times New Roman"/>
            <w:color w:val="0000FF"/>
            <w:spacing w:val="0"/>
            <w:position w:val="0"/>
            <w:sz w:val="24"/>
            <w:u w:val="single"/>
            <w:shd w:fill="auto" w:val="clear"/>
          </w:rPr>
          <w:t xml:space="preserve">http://www.cofef.gov.br</w:t>
        </w:r>
      </w:hyperlink>
      <w:r>
        <w:rPr>
          <w:rFonts w:ascii="Times New Roman" w:hAnsi="Times New Roman" w:cs="Times New Roman" w:eastAsia="Times New Roman"/>
          <w:color w:val="auto"/>
          <w:spacing w:val="0"/>
          <w:position w:val="0"/>
          <w:sz w:val="24"/>
          <w:shd w:fill="auto" w:val="clear"/>
        </w:rPr>
        <w:t xml:space="preserve">&gt;. Acesso em: 15 out.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ELUF, Luiz Nagib. </w:t>
      </w:r>
      <w:r>
        <w:rPr>
          <w:rFonts w:ascii="Times New Roman" w:hAnsi="Times New Roman" w:cs="Times New Roman" w:eastAsia="Times New Roman"/>
          <w:b/>
          <w:color w:val="auto"/>
          <w:spacing w:val="0"/>
          <w:position w:val="0"/>
          <w:sz w:val="24"/>
          <w:shd w:fill="auto" w:val="clear"/>
        </w:rPr>
        <w:t xml:space="preserve">Crimes Contra os Costumes e Assédio Sexual</w:t>
      </w:r>
      <w:r>
        <w:rPr>
          <w:rFonts w:ascii="Times New Roman" w:hAnsi="Times New Roman" w:cs="Times New Roman" w:eastAsia="Times New Roman"/>
          <w:color w:val="auto"/>
          <w:spacing w:val="0"/>
          <w:position w:val="0"/>
          <w:sz w:val="24"/>
          <w:shd w:fill="auto" w:val="clear"/>
        </w:rPr>
        <w:t xml:space="preserve">. São Paulo: Jurídica Brasileira, 1995. p. 132.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GIL, A.</w:t>
      </w:r>
      <w:r>
        <w:rPr>
          <w:rFonts w:ascii="Times New Roman" w:hAnsi="Times New Roman" w:cs="Times New Roman" w:eastAsia="Times New Roman"/>
          <w:b/>
          <w:color w:val="auto"/>
          <w:spacing w:val="0"/>
          <w:position w:val="0"/>
          <w:sz w:val="24"/>
          <w:shd w:fill="auto" w:val="clear"/>
        </w:rPr>
        <w:t xml:space="preserve"> Métodos e técnicas de pesquisa social.</w:t>
      </w:r>
      <w:r>
        <w:rPr>
          <w:rFonts w:ascii="Times New Roman" w:hAnsi="Times New Roman" w:cs="Times New Roman" w:eastAsia="Times New Roman"/>
          <w:color w:val="auto"/>
          <w:spacing w:val="0"/>
          <w:position w:val="0"/>
          <w:sz w:val="24"/>
          <w:shd w:fill="auto" w:val="clear"/>
        </w:rPr>
        <w:t xml:space="preserve"> São Paulo: Atlas, 1994.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HIRIGOYEN, Marie-France. </w:t>
      </w:r>
      <w:r>
        <w:rPr>
          <w:rFonts w:ascii="Times New Roman" w:hAnsi="Times New Roman" w:cs="Times New Roman" w:eastAsia="Times New Roman"/>
          <w:b/>
          <w:color w:val="auto"/>
          <w:spacing w:val="0"/>
          <w:position w:val="0"/>
          <w:sz w:val="24"/>
          <w:shd w:fill="auto" w:val="clear"/>
        </w:rPr>
        <w:t xml:space="preserve">Mal estar no trabalho - redefinindo o assédio moral</w:t>
      </w:r>
      <w:r>
        <w:rPr>
          <w:rFonts w:ascii="Times New Roman" w:hAnsi="Times New Roman" w:cs="Times New Roman" w:eastAsia="Times New Roman"/>
          <w:color w:val="auto"/>
          <w:spacing w:val="0"/>
          <w:position w:val="0"/>
          <w:sz w:val="24"/>
          <w:shd w:fill="auto" w:val="clear"/>
        </w:rPr>
        <w:t xml:space="preserve">. Rio de Janeiro: Bertrand Brasil, 2002, 350 p.</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IBGE. </w:t>
      </w:r>
      <w:r>
        <w:rPr>
          <w:rFonts w:ascii="Times New Roman" w:hAnsi="Times New Roman" w:cs="Times New Roman" w:eastAsia="Times New Roman"/>
          <w:b/>
          <w:color w:val="auto"/>
          <w:spacing w:val="0"/>
          <w:position w:val="0"/>
          <w:sz w:val="24"/>
          <w:shd w:fill="auto" w:val="clear"/>
        </w:rPr>
        <w:t xml:space="preserve">Estudo Especial sobre a Mulher - PME</w:t>
      </w:r>
      <w:r>
        <w:rPr>
          <w:rFonts w:ascii="Times New Roman" w:hAnsi="Times New Roman" w:cs="Times New Roman" w:eastAsia="Times New Roman"/>
          <w:color w:val="auto"/>
          <w:spacing w:val="0"/>
          <w:position w:val="0"/>
          <w:sz w:val="24"/>
          <w:shd w:fill="auto" w:val="clear"/>
        </w:rPr>
        <w:t xml:space="preserve">. Disponível em:</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http://www.ibge.gov.br/home/presidencia/noticias/noticia_impressao.php?id_noticia=1099</w:t>
        </w:r>
      </w:hyperlink>
      <w:r>
        <w:rPr>
          <w:rFonts w:ascii="Times New Roman" w:hAnsi="Times New Roman" w:cs="Times New Roman" w:eastAsia="Times New Roman"/>
          <w:color w:val="auto"/>
          <w:spacing w:val="0"/>
          <w:position w:val="0"/>
          <w:sz w:val="24"/>
          <w:shd w:fill="auto" w:val="clear"/>
        </w:rPr>
        <w:t xml:space="preserve">&gt;. Acesso em: 12 jan. 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JESUS, Damásio E. de. </w:t>
      </w:r>
      <w:r>
        <w:rPr>
          <w:rFonts w:ascii="Times New Roman" w:hAnsi="Times New Roman" w:cs="Times New Roman" w:eastAsia="Times New Roman"/>
          <w:b/>
          <w:color w:val="auto"/>
          <w:spacing w:val="0"/>
          <w:position w:val="0"/>
          <w:sz w:val="24"/>
          <w:shd w:fill="auto" w:val="clear"/>
        </w:rPr>
        <w:t xml:space="preserve">Assédio Sexual</w:t>
      </w:r>
      <w:r>
        <w:rPr>
          <w:rFonts w:ascii="Times New Roman" w:hAnsi="Times New Roman" w:cs="Times New Roman" w:eastAsia="Times New Roman"/>
          <w:color w:val="auto"/>
          <w:spacing w:val="0"/>
          <w:position w:val="0"/>
          <w:sz w:val="24"/>
          <w:shd w:fill="auto" w:val="clear"/>
        </w:rPr>
        <w:t xml:space="preserve">. São Paulo: Saraiva, 2002.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JÚLIO, Carlos Alberto. </w:t>
      </w:r>
      <w:r>
        <w:rPr>
          <w:rFonts w:ascii="Times New Roman" w:hAnsi="Times New Roman" w:cs="Times New Roman" w:eastAsia="Times New Roman"/>
          <w:b/>
          <w:color w:val="auto"/>
          <w:spacing w:val="0"/>
          <w:position w:val="0"/>
          <w:sz w:val="24"/>
          <w:shd w:fill="auto" w:val="clear"/>
        </w:rPr>
        <w:t xml:space="preserve">Reinventando você: </w:t>
      </w:r>
      <w:r>
        <w:rPr>
          <w:rFonts w:ascii="Times New Roman" w:hAnsi="Times New Roman" w:cs="Times New Roman" w:eastAsia="Times New Roman"/>
          <w:color w:val="auto"/>
          <w:spacing w:val="0"/>
          <w:position w:val="0"/>
          <w:sz w:val="24"/>
          <w:shd w:fill="auto" w:val="clear"/>
        </w:rPr>
        <w:t xml:space="preserve">a dinâmica dos profissionais e a nova organização. Rio de Janeiro: Campus, 2002.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MAIA, K.; LIRA, S. A. </w:t>
      </w:r>
      <w:r>
        <w:rPr>
          <w:rFonts w:ascii="Times New Roman" w:hAnsi="Times New Roman" w:cs="Times New Roman" w:eastAsia="Times New Roman"/>
          <w:b/>
          <w:color w:val="auto"/>
          <w:spacing w:val="0"/>
          <w:position w:val="0"/>
          <w:sz w:val="24"/>
          <w:shd w:fill="auto" w:val="clear"/>
        </w:rPr>
        <w:t xml:space="preserve">A mulher no mercado de trabalho</w:t>
      </w:r>
      <w:r>
        <w:rPr>
          <w:rFonts w:ascii="Times New Roman" w:hAnsi="Times New Roman" w:cs="Times New Roman" w:eastAsia="Times New Roman"/>
          <w:color w:val="auto"/>
          <w:spacing w:val="0"/>
          <w:position w:val="0"/>
          <w:sz w:val="24"/>
          <w:shd w:fill="auto" w:val="clear"/>
        </w:rPr>
        <w:t xml:space="preserve">. 2002. In.: IPEA. Anais,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2002.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MATTOS, M. G.; ROSSETTO JUNIOR, A. J.; BLECHER, S. </w:t>
      </w:r>
      <w:r>
        <w:rPr>
          <w:rFonts w:ascii="Times New Roman" w:hAnsi="Times New Roman" w:cs="Times New Roman" w:eastAsia="Times New Roman"/>
          <w:b/>
          <w:color w:val="auto"/>
          <w:spacing w:val="0"/>
          <w:position w:val="0"/>
          <w:sz w:val="24"/>
          <w:shd w:fill="auto" w:val="clear"/>
        </w:rPr>
        <w:t xml:space="preserve">As fases da pesquisa</w:t>
      </w:r>
      <w:r>
        <w:rPr>
          <w:rFonts w:ascii="Times New Roman" w:hAnsi="Times New Roman" w:cs="Times New Roman" w:eastAsia="Times New Roman"/>
          <w:color w:val="auto"/>
          <w:spacing w:val="0"/>
          <w:position w:val="0"/>
          <w:sz w:val="24"/>
          <w:shd w:fill="auto" w:val="clear"/>
        </w:rPr>
        <w:t xml:space="preserve">. In: Teoria e prática da metodologia da pesquisa em Educação Física: construindo sua monografia, artigo científico e projeto de ação. São Paulo: Phorte, 2004. p. 23-58. cap. 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MTE, </w:t>
      </w:r>
      <w:r>
        <w:rPr>
          <w:rFonts w:ascii="Arial" w:hAnsi="Arial" w:cs="Arial" w:eastAsia="Arial"/>
          <w:b/>
          <w:color w:val="auto"/>
          <w:spacing w:val="0"/>
          <w:position w:val="0"/>
          <w:sz w:val="24"/>
          <w:shd w:fill="auto" w:val="clear"/>
        </w:rPr>
        <w:t xml:space="preserve">Programa Brasil, gênero e raça</w:t>
      </w:r>
      <w:r>
        <w:rPr>
          <w:rFonts w:ascii="Arial" w:hAnsi="Arial" w:cs="Arial" w:eastAsia="Arial"/>
          <w:color w:val="auto"/>
          <w:spacing w:val="0"/>
          <w:position w:val="0"/>
          <w:sz w:val="24"/>
          <w:shd w:fill="auto" w:val="clear"/>
        </w:rPr>
        <w:t xml:space="preserve">. Disponível em: &lt;</w:t>
      </w:r>
      <w:hyperlink xmlns:r="http://schemas.openxmlformats.org/officeDocument/2006/relationships" r:id="docRId28">
        <w:r>
          <w:rPr>
            <w:rFonts w:ascii="Arial" w:hAnsi="Arial" w:cs="Arial" w:eastAsia="Arial"/>
            <w:color w:val="0000FF"/>
            <w:spacing w:val="0"/>
            <w:position w:val="0"/>
            <w:sz w:val="24"/>
            <w:u w:val="single"/>
            <w:shd w:fill="auto" w:val="clear"/>
          </w:rPr>
          <w:t xml:space="preserve">http://www.mte.gov.br</w:t>
        </w:r>
      </w:hyperlink>
      <w:r>
        <w:rPr>
          <w:rFonts w:ascii="Arial" w:hAnsi="Arial" w:cs="Arial" w:eastAsia="Arial"/>
          <w:color w:val="auto"/>
          <w:spacing w:val="0"/>
          <w:position w:val="0"/>
          <w:sz w:val="24"/>
          <w:shd w:fill="auto" w:val="clear"/>
        </w:rPr>
        <w:t xml:space="preserve">&gt;.</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Acesso em: nov. 09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OPPENHEIM, A.N.</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Questionnaire design and attitude measurement</w:t>
      </w:r>
      <w:r>
        <w:rPr>
          <w:rFonts w:ascii="Times New Roman" w:hAnsi="Times New Roman" w:cs="Times New Roman" w:eastAsia="Times New Roman"/>
          <w:color w:val="auto"/>
          <w:spacing w:val="0"/>
          <w:position w:val="0"/>
          <w:sz w:val="24"/>
          <w:shd w:fill="auto" w:val="clear"/>
        </w:rPr>
        <w:t xml:space="preserve">. New York: Basic Books Inc. Publishers, 1966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PEDROZA, Afrodite.</w:t>
      </w:r>
      <w:r>
        <w:rPr>
          <w:rFonts w:ascii="Times New Roman" w:hAnsi="Times New Roman" w:cs="Times New Roman" w:eastAsia="Times New Roman"/>
          <w:b/>
          <w:color w:val="auto"/>
          <w:spacing w:val="0"/>
          <w:position w:val="0"/>
          <w:sz w:val="24"/>
          <w:shd w:fill="auto" w:val="clear"/>
        </w:rPr>
        <w:t xml:space="preserve"> O Machismo</w:t>
      </w:r>
      <w:r>
        <w:rPr>
          <w:rFonts w:ascii="Times New Roman" w:hAnsi="Times New Roman" w:cs="Times New Roman" w:eastAsia="Times New Roman"/>
          <w:color w:val="auto"/>
          <w:spacing w:val="0"/>
          <w:position w:val="0"/>
          <w:sz w:val="24"/>
          <w:shd w:fill="auto" w:val="clear"/>
        </w:rPr>
        <w:t xml:space="preserve">. Disponível em: &lt;poderosaafrodite.com/2008/03/09/</w:t>
      </w:r>
      <w:r>
        <w:rPr>
          <w:rFonts w:ascii="Times New Roman" w:hAnsi="Times New Roman" w:cs="Times New Roman" w:eastAsia="Times New Roman"/>
          <w:b/>
          <w:color w:val="auto"/>
          <w:spacing w:val="0"/>
          <w:position w:val="0"/>
          <w:sz w:val="24"/>
          <w:shd w:fill="auto" w:val="clear"/>
        </w:rPr>
        <w:t xml:space="preserve">machismo&gt;.</w:t>
      </w:r>
      <w:r>
        <w:rPr>
          <w:rFonts w:ascii="Times New Roman" w:hAnsi="Times New Roman" w:cs="Times New Roman" w:eastAsia="Times New Roman"/>
          <w:color w:val="auto"/>
          <w:spacing w:val="0"/>
          <w:position w:val="0"/>
          <w:sz w:val="24"/>
          <w:shd w:fill="auto" w:val="clear"/>
        </w:rPr>
        <w:t xml:space="preserve"> Acesso em 14 nov.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PROBST, Elisiane Renata. </w:t>
      </w:r>
      <w:r>
        <w:rPr>
          <w:rFonts w:ascii="Times New Roman" w:hAnsi="Times New Roman" w:cs="Times New Roman" w:eastAsia="Times New Roman"/>
          <w:b/>
          <w:color w:val="auto"/>
          <w:spacing w:val="0"/>
          <w:position w:val="0"/>
          <w:sz w:val="24"/>
          <w:shd w:fill="auto" w:val="clear"/>
        </w:rPr>
        <w:t xml:space="preserve">A evolução da mulher no mercado de trabalho</w:t>
      </w:r>
      <w:r>
        <w:rPr>
          <w:rFonts w:ascii="Times New Roman" w:hAnsi="Times New Roman" w:cs="Times New Roman" w:eastAsia="Times New Roman"/>
          <w:color w:val="auto"/>
          <w:spacing w:val="0"/>
          <w:position w:val="0"/>
          <w:sz w:val="24"/>
          <w:shd w:fill="auto" w:val="clear"/>
        </w:rPr>
        <w:t xml:space="preserve">. Santa Catarina: Instituto Catarinense de Pós Graduação, 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RAGO, Margareth. </w:t>
      </w:r>
      <w:r>
        <w:rPr>
          <w:rFonts w:ascii="Times New Roman" w:hAnsi="Times New Roman" w:cs="Times New Roman" w:eastAsia="Times New Roman"/>
          <w:b/>
          <w:color w:val="auto"/>
          <w:spacing w:val="0"/>
          <w:position w:val="0"/>
          <w:sz w:val="24"/>
          <w:shd w:fill="auto" w:val="clear"/>
        </w:rPr>
        <w:t xml:space="preserve">Ser mulher no século XXI ou Carta de Alforria. </w:t>
      </w:r>
      <w:r>
        <w:rPr>
          <w:rFonts w:ascii="Times New Roman" w:hAnsi="Times New Roman" w:cs="Times New Roman" w:eastAsia="Times New Roman"/>
          <w:color w:val="auto"/>
          <w:spacing w:val="0"/>
          <w:position w:val="0"/>
          <w:sz w:val="24"/>
          <w:shd w:fill="auto" w:val="clear"/>
        </w:rPr>
        <w:t xml:space="preserve">In. A mulher brasileira nos espaços público e privado. São Paulo. Fundação Perseu Abramo, 2004, p. 31-42.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J. C. F. </w:t>
      </w:r>
      <w:r>
        <w:rPr>
          <w:rFonts w:ascii="Times New Roman" w:hAnsi="Times New Roman" w:cs="Times New Roman" w:eastAsia="Times New Roman"/>
          <w:b/>
          <w:color w:val="auto"/>
          <w:spacing w:val="0"/>
          <w:position w:val="0"/>
          <w:sz w:val="24"/>
          <w:shd w:fill="auto" w:val="clear"/>
        </w:rPr>
        <w:t xml:space="preserve">Diferenciação salarial na indústria brasileira</w:t>
      </w:r>
      <w:r>
        <w:rPr>
          <w:rFonts w:ascii="Times New Roman" w:hAnsi="Times New Roman" w:cs="Times New Roman" w:eastAsia="Times New Roman"/>
          <w:color w:val="auto"/>
          <w:spacing w:val="0"/>
          <w:position w:val="0"/>
          <w:sz w:val="24"/>
          <w:shd w:fill="auto" w:val="clear"/>
        </w:rPr>
        <w:t xml:space="preserve">. Rio de Janeiro.</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Escola de Pós-Graduação em Economia. Fundação Getúlio Vargas, 1987. (teses 14)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TERENCE, A. C. F.; FILHO, E. E. </w:t>
      </w:r>
      <w:r>
        <w:rPr>
          <w:rFonts w:ascii="Times New Roman" w:hAnsi="Times New Roman" w:cs="Times New Roman" w:eastAsia="Times New Roman"/>
          <w:b/>
          <w:color w:val="auto"/>
          <w:spacing w:val="0"/>
          <w:position w:val="0"/>
          <w:sz w:val="24"/>
          <w:shd w:fill="auto" w:val="clear"/>
        </w:rPr>
        <w:t xml:space="preserve">Abordagem quantitativa, qualitativa e a utilização da pesquisa-ação nos estudos organizacionais. </w:t>
      </w:r>
      <w:r>
        <w:rPr>
          <w:rFonts w:ascii="Times New Roman" w:hAnsi="Times New Roman" w:cs="Times New Roman" w:eastAsia="Times New Roman"/>
          <w:color w:val="auto"/>
          <w:spacing w:val="0"/>
          <w:position w:val="0"/>
          <w:sz w:val="24"/>
          <w:shd w:fill="auto" w:val="clear"/>
        </w:rPr>
        <w:t xml:space="preserve">Fortaleza: ENEGEP 2006.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Bold" w:hAnsi="Times-Bold" w:cs="Times-Bold" w:eastAsia="Times-Bold"/>
          <w:b/>
          <w:color w:val="auto"/>
          <w:spacing w:val="0"/>
          <w:position w:val="0"/>
          <w:sz w:val="24"/>
          <w:shd w:fill="auto" w:val="clear"/>
        </w:rPr>
      </w:pPr>
    </w:p>
    <w:p>
      <w:pPr>
        <w:spacing w:before="0" w:after="0" w:line="240"/>
        <w:ind w:right="0" w:left="0" w:firstLine="0"/>
        <w:jc w:val="left"/>
        <w:rPr>
          <w:rFonts w:ascii="Times-Bold" w:hAnsi="Times-Bold" w:cs="Times-Bold" w:eastAsia="Times-Bold"/>
          <w:b/>
          <w:color w:val="auto"/>
          <w:spacing w:val="0"/>
          <w:position w:val="0"/>
          <w:sz w:val="24"/>
          <w:shd w:fill="auto" w:val="clear"/>
        </w:rPr>
      </w:pPr>
    </w:p>
    <w:p>
      <w:pPr>
        <w:spacing w:before="0" w:after="0" w:line="240"/>
        <w:ind w:right="0" w:left="0" w:firstLine="0"/>
        <w:jc w:val="left"/>
        <w:rPr>
          <w:rFonts w:ascii="Times-Bold" w:hAnsi="Times-Bold" w:cs="Times-Bold" w:eastAsia="Times-Bold"/>
          <w:b/>
          <w:color w:val="auto"/>
          <w:spacing w:val="0"/>
          <w:position w:val="0"/>
          <w:sz w:val="24"/>
          <w:shd w:fill="auto" w:val="clear"/>
        </w:rPr>
      </w:pPr>
      <w:r>
        <w:rPr>
          <w:rFonts w:ascii="Times-Bold" w:hAnsi="Times-Bold" w:cs="Times-Bold" w:eastAsia="Times-Bold"/>
          <w:b/>
          <w:color w:val="auto"/>
          <w:spacing w:val="0"/>
          <w:position w:val="0"/>
          <w:sz w:val="24"/>
          <w:shd w:fill="auto" w:val="clear"/>
        </w:rPr>
        <w:t xml:space="preserve">Endereço para Correspondência:</w:t>
      </w:r>
    </w:p>
    <w:p>
      <w:pPr>
        <w:spacing w:before="0" w:after="0" w:line="240"/>
        <w:ind w:right="0" w:left="0" w:firstLine="0"/>
        <w:jc w:val="left"/>
        <w:rPr>
          <w:rFonts w:ascii="Times-Roman" w:hAnsi="Times-Roman" w:cs="Times-Roman" w:eastAsia="Times-Roman"/>
          <w:color w:val="auto"/>
          <w:spacing w:val="0"/>
          <w:position w:val="0"/>
          <w:sz w:val="24"/>
          <w:shd w:fill="auto" w:val="clear"/>
        </w:rPr>
      </w:pPr>
      <w:r>
        <w:rPr>
          <w:rFonts w:ascii="Times-Roman" w:hAnsi="Times-Roman" w:cs="Times-Roman" w:eastAsia="Times-Roman"/>
          <w:color w:val="auto"/>
          <w:spacing w:val="0"/>
          <w:position w:val="0"/>
          <w:sz w:val="24"/>
          <w:shd w:fill="auto" w:val="clear"/>
        </w:rPr>
        <w:t xml:space="preserve">José Everaldo Diniz Ferreira </w:t>
      </w:r>
      <w:r>
        <w:rPr>
          <w:rFonts w:ascii="TimesNewRomanPSMT-Identity-H" w:hAnsi="TimesNewRomanPSMT-Identity-H" w:cs="TimesNewRomanPSMT-Identity-H" w:eastAsia="TimesNewRomanPSMT-Identity-H"/>
          <w:color w:val="auto"/>
          <w:spacing w:val="0"/>
          <w:position w:val="0"/>
          <w:sz w:val="24"/>
          <w:shd w:fill="auto" w:val="clear"/>
        </w:rPr>
        <w:t xml:space="preserve"> </w:t>
      </w:r>
    </w:p>
    <w:p>
      <w:pPr>
        <w:spacing w:before="0" w:after="0" w:line="240"/>
        <w:ind w:right="0" w:left="0" w:firstLine="0"/>
        <w:jc w:val="left"/>
        <w:rPr>
          <w:rFonts w:ascii="Times-Roman" w:hAnsi="Times-Roman" w:cs="Times-Roman" w:eastAsia="Times-Roman"/>
          <w:color w:val="auto"/>
          <w:spacing w:val="0"/>
          <w:position w:val="0"/>
          <w:sz w:val="24"/>
          <w:shd w:fill="auto" w:val="clear"/>
        </w:rPr>
      </w:pPr>
      <w:r>
        <w:rPr>
          <w:rFonts w:ascii="Times-Roman" w:hAnsi="Times-Roman" w:cs="Times-Roman" w:eastAsia="Times-Roman"/>
          <w:color w:val="auto"/>
          <w:spacing w:val="0"/>
          <w:position w:val="0"/>
          <w:sz w:val="24"/>
          <w:shd w:fill="auto" w:val="clear"/>
        </w:rPr>
        <w:t xml:space="preserve">Rua Jaqueline, 210, Messejana </w:t>
      </w:r>
    </w:p>
    <w:p>
      <w:pPr>
        <w:spacing w:before="0" w:after="0" w:line="240"/>
        <w:ind w:right="0" w:left="0" w:firstLine="0"/>
        <w:jc w:val="left"/>
        <w:rPr>
          <w:rFonts w:ascii="Times-Roman" w:hAnsi="Times-Roman" w:cs="Times-Roman" w:eastAsia="Times-Roman"/>
          <w:color w:val="auto"/>
          <w:spacing w:val="0"/>
          <w:position w:val="0"/>
          <w:sz w:val="24"/>
          <w:shd w:fill="auto" w:val="clear"/>
        </w:rPr>
      </w:pPr>
      <w:r>
        <w:rPr>
          <w:rFonts w:ascii="Times-Roman" w:hAnsi="Times-Roman" w:cs="Times-Roman" w:eastAsia="Times-Roman"/>
          <w:color w:val="auto"/>
          <w:spacing w:val="0"/>
          <w:position w:val="0"/>
          <w:sz w:val="24"/>
          <w:shd w:fill="auto" w:val="clear"/>
        </w:rPr>
        <w:t xml:space="preserve">CEP: 60.864-840 - Fortaleza / CE</w:t>
      </w:r>
    </w:p>
    <w:p>
      <w:pPr>
        <w:spacing w:before="0" w:after="0" w:line="240"/>
        <w:ind w:right="0" w:left="0" w:firstLine="0"/>
        <w:jc w:val="both"/>
        <w:rPr>
          <w:rFonts w:ascii="Times-Roman" w:hAnsi="Times-Roman" w:cs="Times-Roman" w:eastAsia="Times-Roman"/>
          <w:color w:val="auto"/>
          <w:spacing w:val="0"/>
          <w:position w:val="0"/>
          <w:sz w:val="24"/>
          <w:shd w:fill="auto" w:val="clear"/>
        </w:rPr>
      </w:pPr>
      <w:r>
        <w:rPr>
          <w:rFonts w:ascii="Times-Roman" w:hAnsi="Times-Roman" w:cs="Times-Roman" w:eastAsia="Times-Roman"/>
          <w:color w:val="auto"/>
          <w:spacing w:val="0"/>
          <w:position w:val="0"/>
          <w:sz w:val="24"/>
          <w:shd w:fill="auto" w:val="clear"/>
        </w:rPr>
        <w:t xml:space="preserve">Tel. (85) 3274-0447</w:t>
      </w:r>
    </w:p>
    <w:p>
      <w:pPr>
        <w:spacing w:before="0" w:after="0" w:line="240"/>
        <w:ind w:right="0" w:left="0" w:firstLine="0"/>
        <w:jc w:val="both"/>
        <w:rPr>
          <w:rFonts w:ascii="Times-Roman" w:hAnsi="Times-Roman" w:cs="Times-Roman" w:eastAsia="Times-Roman"/>
          <w:color w:val="auto"/>
          <w:spacing w:val="0"/>
          <w:position w:val="0"/>
          <w:sz w:val="24"/>
          <w:shd w:fill="auto" w:val="clear"/>
        </w:rPr>
      </w:pPr>
      <w:r>
        <w:rPr>
          <w:rFonts w:ascii="Arial" w:hAnsi="Arial" w:cs="Arial" w:eastAsia="Arial"/>
          <w:color w:val="auto"/>
          <w:spacing w:val="0"/>
          <w:position w:val="0"/>
          <w:sz w:val="24"/>
          <w:shd w:fill="auto" w:val="clear"/>
        </w:rPr>
        <w:t xml:space="preserve">E-mail:</w:t>
      </w:r>
      <w:r>
        <w:rPr>
          <w:rFonts w:ascii="Times-Roman" w:hAnsi="Times-Roman" w:cs="Times-Roman" w:eastAsia="Times-Roman"/>
          <w:color w:val="auto"/>
          <w:spacing w:val="0"/>
          <w:position w:val="0"/>
          <w:sz w:val="24"/>
          <w:shd w:fill="auto" w:val="clear"/>
        </w:rPr>
        <w:t xml:space="preserve"> o_carnaubinha@hotmail.com</w:t>
      </w:r>
    </w:p>
    <w:p>
      <w:pPr>
        <w:spacing w:before="0" w:after="0" w:line="240"/>
        <w:ind w:right="0" w:left="0" w:firstLine="709"/>
        <w:jc w:val="both"/>
        <w:rPr>
          <w:rFonts w:ascii="Times-Roman" w:hAnsi="Times-Roman" w:cs="Times-Roman" w:eastAsia="Times-Roman"/>
          <w:color w:val="auto"/>
          <w:spacing w:val="0"/>
          <w:position w:val="0"/>
          <w:sz w:val="24"/>
          <w:shd w:fill="auto" w:val="clear"/>
        </w:rPr>
      </w:pPr>
      <w:r>
        <w:rPr>
          <w:rFonts w:ascii="Times-Roman" w:hAnsi="Times-Roman" w:cs="Times-Roman" w:eastAsia="Times-Roman"/>
          <w:color w:val="auto"/>
          <w:spacing w:val="0"/>
          <w:position w:val="0"/>
          <w:sz w:val="24"/>
          <w:shd w:fill="auto" w:val="clear"/>
        </w:rPr>
        <w:t xml:space="preserve">  everaldoodiniz@gmail.com</w:t>
      </w:r>
    </w:p>
    <w:p>
      <w:pPr>
        <w:spacing w:before="0" w:after="0" w:line="240"/>
        <w:ind w:right="0" w:left="0" w:firstLine="0"/>
        <w:jc w:val="both"/>
        <w:rPr>
          <w:rFonts w:ascii="Times-Roman" w:hAnsi="Times-Roman" w:cs="Times-Roman" w:eastAsia="Times-Roman"/>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Orientador: Wellington Gomes Feitosa</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Rua Desembargador Gomes Parente, 668. Jóquei Clube</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Telefones: (85) 8845-1977  3101-9807</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E-mail: wellfitness@hotmail.com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PRÁTICAS ESPORTIVAS FEMININAS: O PERFIL DAS ATLETAS E A VISÃO DELAS SOBRE PRECONCEITOS DE GÊNERO</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Heidi Jancer Ferreira</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Universidade Federal de Viçosa</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 Orientador José Geraldo do Carmo Salles</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Questões de gênero existentes na sociedade criaram e perpetuaram dificuldades para as mulheres se vincularem ao espaço esportivo. A trajetória das mulheres no esporte foi marcada pela discriminação e pela luta em busca de espaço. O público feminino enfrentou preconceito e proibições para ingressar no mundo esportivo, o qual desde seu surgimento tem sido predominantemente masculino. Aliás, o esporte, em sua gênese, foi concebido pelos homens e para os homens.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o processo de envolvimento com atividades físico-desportivas, as mulheres enfrentaram fortes discursos médicos e religiosos que argumentavam a periculosidade do esporte, do contato físico para a saúde da mulher e para sua capacidade procriadora. Elas também se depararam com o preconceito sob a forma de que eram biologicamente inferiores aos homens e que a prática esportiva poderia masculinizá-las (FESTLE, 1996 apud PAIM, 2004). A sociedade sempre exigiu que a mulher mantivesse sua feminilidade intacta e o esporte representava uma ameaça a essa condição idealizada do corpo feminino, uma vez que envolvia agressividade, competição, contato e esforço físico. </w:t>
      </w:r>
    </w:p>
    <w:p>
      <w:pPr>
        <w:spacing w:before="0" w:after="0" w:line="360"/>
        <w:ind w:right="0" w:left="0" w:firstLine="70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Ainda havia a concepção de que a inserção da mulher no esporte constituía em uma ameaça ao domínio masculino desse espaço, pois o esporte ofereceria a possibilidade de tornar igualitárias as relações entre os sexos (GOELLNER, 2005; LENSKYJ, 1986 apud ADELMAN, 2003)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Desde o ressurgimento dos Jogos Olímpicos em 1896, as mulheres tiveram uma participação muito limitada, marcada por obstáculos e críticas ao seu envolvimento nos esportes de competição (PFISTER, 2004). Devide (2002) sugere que as limitações à participação feminina nos Jogos podem ser explicadas pela complexa conexão entre o seu corpo e a identidade socialmente construída sobre ele. Na primeira edição, as mulheres não participaram das competições. O Barão Pierre de Coubertin, renovador dos Jogos, não concordava que as mulheres tomassem parte dos Jogos, exceto como espectadoras. Para ele, os Jogos serviam para coroar a masculinidade, através da prática atlética, incompatível com a natureza feminina (DEVIDE, 2002; MIRAGAYA, 2002).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a década de 20, a participação da mulher foi aumentando gradativamente. Atualmente, as mulheres se afirmaram como verdadeiras competidoras. Em 2008, a participação feminina atingiu os 40% (http://sp.beijing2008.cn/venues/).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mulheres saíram de um quadro de exclusão para uma inclusão parcial nos esportes, mas, ainda hoje, elas lutam pela igualdade com os homens.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esporte feminino não tem o mesmo prestígio que o masculino, recebendo menos atenção da mídia, menores investimentos e incentivos. Possivelmente, a pequena participação feminina em cargos de direção e gestão esportivas contribua para essa distância. É preciso que as mulheres tenham controle e poder de decisão sobre sua própria prática, senão estarão sempre submissas aos interesses dos homens (PFISTER, 2004).</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Atualmente, as mulheres têm participado ativamente dos esportes, estando presentes cada vez mais em atividades antes consideradas exclusivamente masculinas. Contudo, o processo travado para que elas alcançassem esse patamar deixou marcas e reflexos sociais.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estudo surge então, como um instrumento para verificar a presença desses ecos no esporte feminino atual no estado de Minas Gerais. Especificamente, esse trabalho teve como principais objetivos determinar o perfil das atletas mineiras praticantes de esportes coletivos nos Jogos do Interior de Minas – JIMI nos anos de 1997 e 2008; estabelecer uma comparação entre os perfis encontrados nessas duas edições dos JIMI; conhecer a visão das atletas a respeito da presença de preconceitos que incidem sobre a prática esportiva feminina e ainda, conhecer as dificuldades enfrentadas pelas atletas para praticar esportes.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JIMI consistem no evento esportivo amador de maior repercussão no Estado de Minas Gerais. Trata-se da maior e da mais tradicional competição promovida pelo governo, reunindo milhares de atletas de centenas de cidades. Na edição de 2008, os organizadores afirmaram que a participação foi de aproximadamente 11 mil atletas, de mais de 190 municípios.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 realização do estudo, foi empregada a metodologia de pesquisa do tipo descritiva, segundo os parâmetros de uma abordagem quanti-qualitativa.</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Amostra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amostra foi composta por atletas do sexo feminino, praticantes das modalidades de futsal, voleibol, basquetebol e handebol, sendo que participaram da pesquisa 217 atletas em 1997 e 262 em 2008, totalizando 479 informantes.</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Coleta de dados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dados deste estudo foram coletados através da aplicação de questionários nas fases finais dos Jogos do Interior de Minas, realizados nas cidades de Governador Valadares em 1997 e Ipatinga em 2008.</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ponto de partida se deu com a apropriação de dados referentes aos JIMI obtidos em 1997. No ano de 2008, onze anos após, foi realizada uma nova aplicação de questionários, o que permitiu analisar as mudanças ocorridas nesse intervalo de tempo.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questionário utilizado foi o mesmo nas duas edições dos JIMI, sendo que na última coleta foi incluída uma questão. O instrumento foi composto de três partes com questões abertas e fechadas e, possibilitando análises sobre o perfil das atletas, a visão delas sobre preconceitos presentes nas práticas esportivas femininas e o processo de veiculação e participação delas em esportes. A primeira parte do questionário visava obter: idade, grau de instrução, estado civil, tempo de prática, número de participações na própria competição e quais outras competições as atletas já haviam participado. Na parte discursiva, as atletas foram questionadas sobre quais as principais dificuldades encontradas por elas para praticar esportes. A última parte foi composta de 15 afirmações, as quais deveriam ser julgadas pelas atletas nas seguintes opções: discordo totalmente, discordo em parte, estou em dúvida, concordo em parte e concordo totalmente.</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Tratamento estatístico e análise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dados foram tabulados em software Microsoft Excel 2007 e organizados de acordo com o ano de coleta e com a modalidade praticada. Em seguida foi utilizada estatística descritiva, com a determinação de freqüência e percentuais.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parte discursiva, a seleção das respostas para análise iniciou-se com a leitura das questões abertas de todos os questionários aplicados e, posteriormente, buscaram-se as respostas mais elaboradas e determinantes sobre o tema abordado. Foram selecionadas seis respostas por modalidade, sendo três delas referentes a dados coletadas nos JIMI -1997 e outras três, nos JIMI - 2008. O nível de argumentação das informantes variava pouco, visto que a maioria das respostas eram curtas e bastante semelhantes. Este fato justifica a seleção de poucas respostas por edição/modalidade.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intuito de facilitar a análise e discussão, as respostas selecionadas foram agrupadas em temas abordados com mais freqüência pelas informantes, constituindo as categorias de preconceito, aspectos financeiros, tempo e política.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E DISCUSSÃO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resultados serão apresentados em três partes: o perfil das atletas, a visão das atletas e as dificuldades enfrentadas pelas atletas para praticar esportes.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Perfil das atletas</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dados obtidos foram agrupados em tabelas para facilitar a visualização e análise.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 – Distribuição da faixa etária das atletas</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Faixa etária (anos)</w:t>
            </w: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Menos de 16</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 a 20</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 a 25</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14,7%</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 a 30</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 a 35</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 a 40</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Mais de 40</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amostra caracteriza-se pela predominância de jovens atletas, de idade entre 16 e 20 anos em ambas as edições dos JIMI. As maiores faixas etárias correspondem aos menores percentuais de participação na competição. Em 2008, não houve atletas na faixa etária de menos de 16 anos, isto porque o regulamento dos JIMI passou a estipular como requisito para participação na competição a idade mínima de 16 anos, diferentemente do regulamento adotado em 1997 que permitia a inscrição de atletas acima de 14 anos.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estudo feito com atletas de futsal feminino paranaenses encontrou idade média de 20,55anos (±4,77), compatível com a faixa etária de 16 a 20 anos encontrada como predominante em nosso trabalho (SANTANA e REIS, 2003).</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2 – Distribuição do grau de instrução das atletas</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Grau de instrução</w:t>
            </w: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Fundamental</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Médio</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Superior</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20,7%</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38,2%</w:t>
            </w:r>
          </w:p>
        </w:tc>
      </w:tr>
    </w:tbl>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maior parte das atletas possui grau de instrução referente a nível médio, dado que é compatível com a faixa etária predominante da amostra de 16 a 20 anos. Percebe-se que houve um considerável aumento da participação de atletas com grau de instrução de Ensino Superior e uma redução do percentual de informantes de nível escolar Fundamental. Uma pesquisa de Bruschini e Puppin citada por Gomes (2008)</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rPr>
        <w:t xml:space="preserve">destacou que, a partir dos anos 1980 cresceu a presença de algumas tendências inovadoras, como a conquista de bons empregos, boas ocupações e acesso a profissões de nível superior, por parte de mulheres escolarizadas.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redução do percentual de atletas de nível fundamental pode estar relacionada à mudança do regulamento que passou a exigir idade mínima de 16 anos, uma vez que, normalmente, nessa faixa etária, a estudante já está cursando o Ensino Médio.</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3 – Distribuição do estado civil das atletas</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20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Estado civil</w:t>
            </w: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Solteira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Casada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Divorciada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Nota-se que tanto nos JIMI em 1997 quanto em 2008, a grande maioria das atletas se declarou solteira. O fato de existir uma pequena participação de mulheres casadas levanta a ideia de que pessoas com maiores responsabilidades têm mais dificuldades para se envolverem em eventos esportivos amadores como os JIMI.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4 – Distribuição do tempo de prática esportiva das atletas</w:t>
      </w:r>
    </w:p>
    <w:tbl>
      <w:tblPr/>
      <w:tblGrid>
        <w:gridCol w:w="3472"/>
        <w:gridCol w:w="2290"/>
        <w:gridCol w:w="2882"/>
      </w:tblGrid>
      <w:tr>
        <w:trPr>
          <w:trHeight w:val="1" w:hRule="atLeast"/>
          <w:jc w:val="center"/>
        </w:trPr>
        <w:tc>
          <w:tcPr>
            <w:tcW w:w="3472"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20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Tempo de prática esportiva (anos)</w:t>
            </w:r>
          </w:p>
        </w:tc>
        <w:tc>
          <w:tcPr>
            <w:tcW w:w="2290"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3472"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Até 1 </w:t>
            </w:r>
          </w:p>
        </w:tc>
        <w:tc>
          <w:tcPr>
            <w:tcW w:w="2290"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center"/>
        </w:trPr>
        <w:tc>
          <w:tcPr>
            <w:tcW w:w="3472"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Entre 1 e 3 </w:t>
            </w:r>
          </w:p>
        </w:tc>
        <w:tc>
          <w:tcPr>
            <w:tcW w:w="2290"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24,9%</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10,7%</w:t>
            </w:r>
          </w:p>
        </w:tc>
      </w:tr>
      <w:tr>
        <w:trPr>
          <w:trHeight w:val="1" w:hRule="atLeast"/>
          <w:jc w:val="center"/>
        </w:trPr>
        <w:tc>
          <w:tcPr>
            <w:tcW w:w="3472"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Entre 3 e 5</w:t>
            </w:r>
          </w:p>
        </w:tc>
        <w:tc>
          <w:tcPr>
            <w:tcW w:w="2290"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15,3%</w:t>
            </w:r>
          </w:p>
        </w:tc>
      </w:tr>
      <w:tr>
        <w:trPr>
          <w:trHeight w:val="1" w:hRule="atLeast"/>
          <w:jc w:val="center"/>
        </w:trPr>
        <w:tc>
          <w:tcPr>
            <w:tcW w:w="3472"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Entre 5 e 7</w:t>
            </w:r>
          </w:p>
        </w:tc>
        <w:tc>
          <w:tcPr>
            <w:tcW w:w="2290"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16,9%</w:t>
            </w:r>
          </w:p>
        </w:tc>
      </w:tr>
      <w:tr>
        <w:trPr>
          <w:trHeight w:val="1" w:hRule="atLeast"/>
          <w:jc w:val="center"/>
        </w:trPr>
        <w:tc>
          <w:tcPr>
            <w:tcW w:w="3472"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Entre 7 e 9</w:t>
            </w:r>
          </w:p>
        </w:tc>
        <w:tc>
          <w:tcPr>
            <w:tcW w:w="2290"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15,3%</w:t>
            </w:r>
          </w:p>
        </w:tc>
      </w:tr>
      <w:tr>
        <w:trPr>
          <w:trHeight w:val="1" w:hRule="atLeast"/>
          <w:jc w:val="center"/>
        </w:trPr>
        <w:tc>
          <w:tcPr>
            <w:tcW w:w="3472"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Acima de 9</w:t>
            </w:r>
          </w:p>
        </w:tc>
        <w:tc>
          <w:tcPr>
            <w:tcW w:w="2290"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40,6%</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desses onze anos de análise houve um aumento na participação de atletas com maior tempo de prática esportiva, concomitantemente com a redução do envolvimento de atletas menos experientes, revelando uma tendência para elevação do nível competitivo dos Jogos. Observa-se que em ambos os anos estudados, o maior percentual do tempo de prática esportiva das atletas corresponde a mais de 9 anos, indicando a participação de atletas experientes. Verifica-se que, apesar de se tratar de atletas muito jovens, conforme demonstrado na Tabela 1, muitas delas já praticam esportes há bastante tempo. Isso significa que elas tiveram sua iniciação esportiva quando crianças, por volta dos 7 a 11 anos de idade, o que aponta a necessidade e a importância de se oferecer oportunidades de práticas esportivas no âmbito escolar para as meninas, principalmente nessa faixa etária. Santana e Reis</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rPr>
        <w:t xml:space="preserve">(2003) constataram que a adolescência foi o período da vida em que a maior parte das atletas (62,8%) iniciou-se na prática sistemática do futsal, em média, aos 13,69 anos (± 3,18); que o tempo de prática médio era de 6,95 anos (±3,18); e, que 46,4% das informantes tiveram a escola como principal ambiente de iniciação esportiva.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5 – Distribuição do número de participações em JIMI das atletas</w:t>
      </w:r>
    </w:p>
    <w:tbl>
      <w:tblPr/>
      <w:tblGrid>
        <w:gridCol w:w="3736"/>
        <w:gridCol w:w="2148"/>
        <w:gridCol w:w="2882"/>
      </w:tblGrid>
      <w:tr>
        <w:trPr>
          <w:trHeight w:val="1" w:hRule="atLeast"/>
          <w:jc w:val="center"/>
        </w:trPr>
        <w:tc>
          <w:tcPr>
            <w:tcW w:w="3736"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Número de participações em JIMI</w:t>
            </w:r>
          </w:p>
        </w:tc>
        <w:tc>
          <w:tcPr>
            <w:tcW w:w="2148"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Uma </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23,8%</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Duas </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16,5%</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Três</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Quatro</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12,7%</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Cinco</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6,9%</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Seis</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6,2%</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Sete</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5,8%</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Oito</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Nove</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Dez</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center"/>
        </w:trPr>
        <w:tc>
          <w:tcPr>
            <w:tcW w:w="373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Mais de dez</w:t>
            </w:r>
          </w:p>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Mais de vinte</w:t>
            </w:r>
          </w:p>
        </w:tc>
        <w:tc>
          <w:tcPr>
            <w:tcW w:w="2148"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w:t>
            </w:r>
          </w:p>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w:t>
            </w:r>
          </w:p>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w:t>
            </w:r>
          </w:p>
        </w:tc>
      </w:tr>
    </w:tbl>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1997, a maior parte das atletas estava participando pela primeira vez da competição. Em 2008, foram aumentando os percentuais de mulheres que já participaram de um maior número de edições dos Jogos.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números apresentados na Tabela 4 indicaram a maior participação de atletas mais experientes. Porém, apesar de muitos anos de prática esportiva, as atletas participaram de poucas edições dos JIMI, o que pode ser explicado pelo fato de que elas iniciaram muito novas e precisaram completar 16 anos para se inscreverem na competição. Contudo, de 1997 para 2008, aumentaram os percentuais de atletas que já participaram de um maior número de edições, contribuindo para a elevação da competitividade nos JIMI.</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6 – Distribuição do número de participações em outras competições das atletas participantes do JIMI 2008</w:t>
      </w:r>
    </w:p>
    <w:tbl>
      <w:tblPr/>
      <w:tblGrid>
        <w:gridCol w:w="4416"/>
        <w:gridCol w:w="1723"/>
        <w:gridCol w:w="2881"/>
      </w:tblGrid>
      <w:tr>
        <w:trPr>
          <w:trHeight w:val="1" w:hRule="atLeast"/>
          <w:jc w:val="center"/>
        </w:trPr>
        <w:tc>
          <w:tcPr>
            <w:tcW w:w="4416"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Número de participações em competições</w:t>
            </w:r>
          </w:p>
        </w:tc>
        <w:tc>
          <w:tcPr>
            <w:tcW w:w="1723"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N</w:t>
            </w:r>
          </w:p>
        </w:tc>
        <w:tc>
          <w:tcPr>
            <w:tcW w:w="2881" w:type="dxa"/>
            <w:tcBorders>
              <w:top w:val="single" w:color="000000" w:sz="12"/>
              <w:left w:val="single" w:color="000000" w:sz="0"/>
              <w:bottom w:val="single" w:color="000000" w:sz="6"/>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 do total de atletas (262)</w:t>
            </w:r>
          </w:p>
        </w:tc>
      </w:tr>
      <w:tr>
        <w:trPr>
          <w:trHeight w:val="1" w:hRule="atLeast"/>
          <w:jc w:val="center"/>
        </w:trPr>
        <w:tc>
          <w:tcPr>
            <w:tcW w:w="441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escolares</w:t>
            </w:r>
          </w:p>
        </w:tc>
        <w:tc>
          <w:tcPr>
            <w:tcW w:w="1723"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217</w:t>
            </w:r>
          </w:p>
        </w:tc>
        <w:tc>
          <w:tcPr>
            <w:tcW w:w="2881" w:type="dxa"/>
            <w:tcBorders>
              <w:top w:val="single" w:color="000000" w:sz="12"/>
              <w:left w:val="single" w:color="000000" w:sz="0"/>
              <w:bottom w:val="single" w:color="000000" w:sz="12"/>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82,8%</w:t>
            </w:r>
          </w:p>
        </w:tc>
      </w:tr>
      <w:tr>
        <w:trPr>
          <w:trHeight w:val="1" w:hRule="atLeast"/>
          <w:jc w:val="center"/>
        </w:trPr>
        <w:tc>
          <w:tcPr>
            <w:tcW w:w="441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universitários</w:t>
            </w:r>
          </w:p>
        </w:tc>
        <w:tc>
          <w:tcPr>
            <w:tcW w:w="1723"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96</w:t>
            </w:r>
          </w:p>
        </w:tc>
        <w:tc>
          <w:tcPr>
            <w:tcW w:w="2881" w:type="dxa"/>
            <w:tcBorders>
              <w:top w:val="single" w:color="000000" w:sz="12"/>
              <w:left w:val="single" w:color="000000" w:sz="0"/>
              <w:bottom w:val="single" w:color="000000" w:sz="12"/>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36,6%</w:t>
            </w:r>
          </w:p>
        </w:tc>
      </w:tr>
      <w:tr>
        <w:trPr>
          <w:trHeight w:val="1" w:hRule="atLeast"/>
          <w:jc w:val="center"/>
        </w:trPr>
        <w:tc>
          <w:tcPr>
            <w:tcW w:w="441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mineiros</w:t>
            </w:r>
          </w:p>
        </w:tc>
        <w:tc>
          <w:tcPr>
            <w:tcW w:w="1723"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w:t>
            </w:r>
          </w:p>
        </w:tc>
        <w:tc>
          <w:tcPr>
            <w:tcW w:w="2881" w:type="dxa"/>
            <w:tcBorders>
              <w:top w:val="single" w:color="000000" w:sz="12"/>
              <w:left w:val="single" w:color="000000" w:sz="0"/>
              <w:bottom w:val="single" w:color="000000" w:sz="12"/>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75,6%</w:t>
            </w:r>
          </w:p>
        </w:tc>
      </w:tr>
      <w:tr>
        <w:trPr>
          <w:trHeight w:val="1" w:hRule="atLeast"/>
          <w:jc w:val="center"/>
        </w:trPr>
        <w:tc>
          <w:tcPr>
            <w:tcW w:w="441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brasileiros</w:t>
            </w:r>
          </w:p>
        </w:tc>
        <w:tc>
          <w:tcPr>
            <w:tcW w:w="1723"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103</w:t>
            </w:r>
          </w:p>
        </w:tc>
        <w:tc>
          <w:tcPr>
            <w:tcW w:w="2881" w:type="dxa"/>
            <w:tcBorders>
              <w:top w:val="single" w:color="000000" w:sz="12"/>
              <w:left w:val="single" w:color="000000" w:sz="0"/>
              <w:bottom w:val="single" w:color="000000" w:sz="12"/>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39,3%</w:t>
            </w:r>
          </w:p>
        </w:tc>
      </w:tr>
      <w:tr>
        <w:trPr>
          <w:trHeight w:val="1" w:hRule="atLeast"/>
          <w:jc w:val="center"/>
        </w:trPr>
        <w:tc>
          <w:tcPr>
            <w:tcW w:w="441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sul-americanos</w:t>
            </w:r>
          </w:p>
        </w:tc>
        <w:tc>
          <w:tcPr>
            <w:tcW w:w="1723"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881" w:type="dxa"/>
            <w:tcBorders>
              <w:top w:val="single" w:color="000000" w:sz="12"/>
              <w:left w:val="single" w:color="000000" w:sz="0"/>
              <w:bottom w:val="single" w:color="000000" w:sz="12"/>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r>
        <w:trPr>
          <w:trHeight w:val="1" w:hRule="atLeast"/>
          <w:jc w:val="center"/>
        </w:trPr>
        <w:tc>
          <w:tcPr>
            <w:tcW w:w="441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mundiais</w:t>
            </w:r>
          </w:p>
        </w:tc>
        <w:tc>
          <w:tcPr>
            <w:tcW w:w="1723"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881" w:type="dxa"/>
            <w:tcBorders>
              <w:top w:val="single" w:color="000000" w:sz="12"/>
              <w:left w:val="single" w:color="000000" w:sz="0"/>
              <w:bottom w:val="single" w:color="000000" w:sz="12"/>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r>
        <w:trPr>
          <w:trHeight w:val="1" w:hRule="atLeast"/>
          <w:jc w:val="center"/>
        </w:trPr>
        <w:tc>
          <w:tcPr>
            <w:tcW w:w="4416"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abertos em outros estados</w:t>
            </w:r>
          </w:p>
        </w:tc>
        <w:tc>
          <w:tcPr>
            <w:tcW w:w="1723"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104</w:t>
            </w:r>
          </w:p>
        </w:tc>
        <w:tc>
          <w:tcPr>
            <w:tcW w:w="2881" w:type="dxa"/>
            <w:tcBorders>
              <w:top w:val="single" w:color="000000" w:sz="12"/>
              <w:left w:val="single" w:color="000000" w:sz="0"/>
              <w:bottom w:val="single" w:color="000000" w:sz="12"/>
              <w:right w:val="single" w:color="000000" w:sz="0"/>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39,7%</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coleta de dados feita em 2008, uma questão foi incluída no questionário que havia sido aplicado em 1997. Esta pergunta teve como objetivo conhecer qual o número de participações das atletas em outros níveis de competições.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grande maioria das informantes em 2008 alegou já ter participado de jogos escolares, o que endossa a ideia de que o principal espaço de iniciação esportiva das informantes é a escola. Em níveis competitivos mais elevados, o percentual de participação cai, o que já era esperado por se tratarem de atletas amadoras.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 visão das atletas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tabelas seguintes apresentam a distribuição das respostas fornecidas pelas atletas em relação a cada uma das sentenças.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7 – Existe esporte que deveria ser jogado só pelo sexo masculino.</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76%</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Nota-se que em 1997, 6% das atletas acreditavam que existia esporte que só deveria ser jogado por homens. Entretanto, houve uma mudança na visão das atletas ao longo dos onze anos dessa análise, indicando que as mulheres vêm realmente se apropriando do esporte e entendendo que esse espaço não é mais exclusivamente masculino. Essa alteração pode ser um reflexo das conquistas femininas no programa olímpico, visto que houve estreia em alguns esportes que antes, eram praticados apenas por homens. Como exemplo tem-se o levantamento de peso, o pentatlo moderno, o polo aquático, o taekwondo e o triatlo, que foram incluídos nos Jogos Olímpicos de 2000. Mas ainda hoje, esportes como o boxe e o decatlo são exclusivamente masculinos (CARVALHO, 2002).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8 – Alguns esportes prejudicam a formação do físico feminino.</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Tabela 8, pode-se perceber que reduziu a proporção de atletas que concordavam que alguns esportes prejudicam a formação do físico feminino. Ao passo que, 1% a mais de mulheres discordou dessa ideia. Parece que, ao longo do tempo, vem sendo desmistificado o fato de certos esportes não serem compatíveis com o corpo feminino. Contudo, é relevante a parcela de atletas que concordaram em parte nas duas edições, o que demonstra que esse processo vem ocorrendo lentamente e que algumas modalidades ainda se encontram envoltas por mitos.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9 – A mulher perde suas características femininas se ela jogar esportes rudes.</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Tabela 9, verifica-se que as atletas em 2008 estão mais em acordo com a afirmação do que aquelas informantes em 1997. Esportes rudes, como as lutas, por exemplo, exigem que as mulheres tenham um porte físico adequado, com a musculatura mais desenvolvida e proeminente, o que contrapõe a construção da imagem feminina, de um ser belo e delicado. Com o aumento da participação de mulheres em esportes desse tipo e também com a evolução dos níveis competitivos das atletas, essas exigências aumentam e tornam-se mais visíveis.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10 – A mulher é mais frágil do que o homem no que diz respeito à possibilidade esportiva.</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da Tabela 10, constata-se que diminuiu pela metade a proporção de atletas que concordavam totalmente com essa afirmação.  As demonstrações de atletas de que elas podem praticar os mesmos esportes que os homens, com altos níveis de performance têm abalado o discurso do sexo frágil. Entretanto, continua significativo o percentual de informantes que concordam em parte, o que se deve principalmente às diferenças fisiológicas entre homens e mulheres que fazem com que a capacidade física do sexo masculino seja superior.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11 – A mulher que pratica esporte tende a ficar mais masculinizada.</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as duas edições, pode-se notar uma redução de 12% das informantes que alegavam discordar totalmente que a mulher praticante de esportes tende a ficar mais masculinizada (Tabela 11). Em 1997, a maioria das atletas acreditava que o esporte em geral não causava esse efeito. Já em 2008, aumentou o número daquelas que discordavam apenas em parte, o que pode reafirmar o fato de que ainda existem rótulos de masculinização do corpo em relação a algumas modalidades específicas.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12 – A família prefere que as filhas não pratiquem esportes considerados masculinos.</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a essa afirmação, ocorreram pequenas mudanças entre as duas edições dos JIMI pesquisadas. Os dados demonstram que as atletas percebiam e ainda percebem que existe um preconceito oriundo da própria família em relação à prática de determinadas modalidades, entretanto, os números apontam para uma leve flexibilização dos familiares a esse respeito. Vale ressaltar a considerável parcela de informantes que concordam em parte com a frase. É provável que elas acreditem que algumas vezes, a família adota uma postura indiferente.</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13 – As mulheres que jogam futebol são consideradas de tendência homossexual.</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dos resultados apresentados na Tabela 13, constatou-se que diminuiu quase pela metade o percentual de atletas que discordam totalmente de que as mulheres que jogam futebol são consideradas de tendência homossexual. Ao passo que aumentou de 8% para 14% daquelas que concordam totalmente com a afirmação. Verifica-se então que as mulheres praticantes de futebol estão sendo mais rotuladas atualmente como homossexuais que há anos atrás. Será que houve um aumento do preconceito em relação a elas? Ou será que as mulheres homossexuais se tornaram mais visíveis à sociedade, provocando o aumento da rotulação? Com a maior liberdade de expressão do corpo e da sexualidade, talvez as mulheres não precisem mais, como antes se esconderem e conterem seu comportamento homossexual. Dessa forma, elas se tornaram mais presentes aos olhos da sociedade.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14 – A sociedade desvaloriza a mulher que pratica esporte.</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Tabela 14, visualiza-se uma diminuição no percentual de atletas que discordavam completamente da afirmação e um aumento da parcela daquelas que concordavam em parte. Essa mudança reforça a hipótese já apresentada de que ao longo do processo de evolução e aceitação social do esporte feminino, muitas modalidades desvencilharam-se das amarras dos preconceitos, mas que algumas ainda se encontram cerceadas por eles, fazendo com que as praticantes desses esportes sejam rotuladas e desvalorizadas pela sociedade.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15 – Lugar de mulher não é nas quadras de esporte.</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97%</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Os dados apresentados na Tabela 15, tanto de 1997 como de 2008, demonstram que as mulheres, em sua grande maioria, acreditam que elas podem e devem estar inseridas no espaço esportivo. O aumento da participação de mulheres como atletas em vários níveis de competições confirmam essa visão das atletas.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16 – O esporte-competição prejudica a função maternal da mulher.</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Verifica-se que mais de 70% das informantes nas duas edições dos JIMI discordaram totalmente que o esporte prejudica a função maternal da mulher, evidenciando que o discurso médico predominante no início do século XX que argumentava que a atividade física desportiva e competitiva poderia comprometer a capacidade de procriação da mulher (ARENO, 1941 apud GOMES, 2008) veio perdendo a influência sobre o modo de pensar das mulheres. Outra mudança nos resultados indica o aumento do percentual de mulheres que discordam em parte da frase. Provavelmente, as informantes acreditam que o esporte não prejudica a função maternal sob a perspectiva biológica, mas que, analisando sob o ponto de vista da disponibilidade de tempo, a prática de esportes pode dificultar o desempenho do papel de mãe.</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17 – O futebol é um esporte mais aconselhável aos homens e o voleibol mais aconselhável às mulheres.</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11 anos aumentou em 7% o percentual de mulheres que discordam totalmente da sentença. É importante destacar que o futebol feminino teve sua estreia nos Jogos Olímpicos somente em 1996, o que proporcionou maior visualização e difusão do esporte. Provavelmente, essa maior visibilidade da modalidade no contexto mundial e nacional, principalmente através da conquista de medalhas de prata nos Jogos Olímpicos de 2004 e 2008, contribuiu para o aumento da adesão e interesse de mulheres pela prática. Segundo Devide (2002), os Jogos Olímpicos possuem um significado simbólico, que permitem apresentar aspectos sócio-culturais e questões de gênero referentes ao esporte. Dessa forma, o evento torna-se uma forma de reflexão, difusão dos avanços no esporte feminino e na conquista de novas adeptas, aumentando a força de emancipação das mulheres.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18 – A mulher não consegue realizar os mesmos trabalhos físicos que o homem.</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meio da Tabela 18, visualiza-se que mais mulheres, nos dias atuais, acreditam que podem realizar os mesmos trabalhos físicos que o homem. Contudo, aproximadamente 30% das informantes ainda concordam em parte com a afirmação. Possivelmente essas atletas consideraram a diferença biológica como um fator que as limitam para realizar as mesmas atividades com o mesmo nível de performance que os homens.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19 – O homem não gosta que sua namorada (mulher) pratique esportes de contato físico.</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Em ambos os anos nota-se que 30% das atletas concordaram em parte com a sentença, indicando que ainda existe uma desaprovação por parte dos namorados e maridos em relação à prática esportiva de suas companheiras. Apesar disso, os dados indicam que ao longo desses onze anos de análise houve uma tendência para mudança, uma vez que diminuiu em 2% a parcela daquelas que concordaram totalmente e aumentou em 5% das que discordaram totalmente.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20 – A mulher que pratica esporte considerado masculino tem dificuldades de conseguir namorado.</w:t>
      </w:r>
    </w:p>
    <w:tbl>
      <w:tblPr/>
      <w:tblGrid>
        <w:gridCol w:w="2881"/>
        <w:gridCol w:w="2881"/>
        <w:gridCol w:w="2882"/>
      </w:tblGrid>
      <w:tr>
        <w:trPr>
          <w:trHeight w:val="1" w:hRule="atLeast"/>
          <w:jc w:val="center"/>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center"/>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Tabela 20, verifica-se uma diminuição de 83% para 75% das atletas que não acreditam que a mulher que pratica esporte considerado masculino tem dificuldades de conseguir namorado. Porém, aumentou o percentual daquelas que discordam em parte da ideia. Pode ser que essas informantes pensem que a mulher praticante de alguma modalidade específica tenha sim, uma maior dificuldade.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21 – A educação física escolar exclui a possibilidade de prática feminina em algumas modalidades.</w:t>
      </w:r>
    </w:p>
    <w:tbl>
      <w:tblPr/>
      <w:tblGrid>
        <w:gridCol w:w="2881"/>
        <w:gridCol w:w="2881"/>
        <w:gridCol w:w="2882"/>
      </w:tblGrid>
      <w:tr>
        <w:trPr>
          <w:trHeight w:val="1" w:hRule="atLeast"/>
          <w:jc w:val="left"/>
        </w:trPr>
        <w:tc>
          <w:tcPr>
            <w:tcW w:w="2881" w:type="dxa"/>
            <w:tcBorders>
              <w:top w:val="single" w:color="000000" w:sz="12"/>
              <w:left w:val="single" w:color="000000" w:sz="0"/>
              <w:bottom w:val="single" w:color="000000" w:sz="6"/>
              <w:right w:val="single" w:color="000000" w:sz="6"/>
            </w:tcBorders>
            <w:shd w:color="auto" w:fill="auto"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2881"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1997</w:t>
            </w:r>
          </w:p>
        </w:tc>
        <w:tc>
          <w:tcPr>
            <w:tcW w:w="2882" w:type="dxa"/>
            <w:tcBorders>
              <w:top w:val="single" w:color="000000" w:sz="12"/>
              <w:left w:val="single" w:color="000000" w:sz="0"/>
              <w:bottom w:val="single" w:color="000000" w:sz="6"/>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JIMI 2008</w:t>
            </w:r>
          </w:p>
        </w:tc>
      </w:tr>
      <w:tr>
        <w:trPr>
          <w:trHeight w:val="1" w:hRule="atLeast"/>
          <w:jc w:val="left"/>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r>
        <w:trPr>
          <w:trHeight w:val="1" w:hRule="atLeast"/>
          <w:jc w:val="left"/>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Discordo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Estou em dúvida</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em parte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r>
        <w:trPr>
          <w:trHeight w:val="1" w:hRule="atLeast"/>
          <w:jc w:val="left"/>
        </w:trPr>
        <w:tc>
          <w:tcPr>
            <w:tcW w:w="2881" w:type="dxa"/>
            <w:tcBorders>
              <w:top w:val="single" w:color="000000" w:sz="12"/>
              <w:left w:val="single" w:color="000000" w:sz="0"/>
              <w:bottom w:val="single" w:color="000000" w:sz="12"/>
              <w:right w:val="single" w:color="000000" w:sz="6"/>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Concordo totalmente</w:t>
            </w:r>
          </w:p>
        </w:tc>
        <w:tc>
          <w:tcPr>
            <w:tcW w:w="2881"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882" w:type="dxa"/>
            <w:tcBorders>
              <w:top w:val="single" w:color="000000" w:sz="12"/>
              <w:left w:val="single" w:color="000000" w:sz="0"/>
              <w:bottom w:val="single" w:color="000000" w:sz="12"/>
              <w:right w:val="single" w:color="000000" w:sz="0"/>
            </w:tcBorders>
            <w:shd w:color="auto" w:fill="auto"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Constatou-se também que a Educação Física Escolar exclui menos a prática feminina em algumas modalidades do que há 11 anos. Possivelmente, as discussões feitas no âmbito escolar levaram a uma maior democratização da participação de meninas nas aulas. Sabe-se que algumas modalidades ainda se encontram excluídas do conteúdo escolar, no entanto, assim o são para os meninos e meninas. </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As dificuldades enfrentadas pelas atletas para praticar esportes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informantes foram questionadas sobre qual a principal dificuldade encontrada por elas para praticar esportes. As respostas mais freqüentes se referiram ao preconceito contra a prática feminina, à dificuldade financeira, à falta de apoio político e à falta de tempo disponível para se dedicar ao esporte.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Percebemos que as atletas de futsal foram as que mais citaram o preconceito como a maior dificuldade enfrentada em sua prática esportiva. É possível que este fato seja explicado pela semelhança do futsal com o futebol, um esporte que foi criado pelos homens e para os homens. As praticantes de futebol no início dos anos 80 do século XX eram constantemente taxadas de “sapatão”, sofrendo discriminação na família, na escola e na sociedade como um todo (SALLES, COSTA e SILVA, 1998). Este estereótipo era frequente na década de 90 e ainda encontra alguns ecos na atualidade.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Observa-se nas falas das informantes que ao final dos anos 90, mesmo diante da abertura conquistada pela modalidade de futsal, ainda ocorria uma rotulação dos indivíduos pela sua opção de prática esportiva.</w:t>
      </w:r>
    </w:p>
    <w:p>
      <w:pPr>
        <w:numPr>
          <w:ilvl w:val="0"/>
          <w:numId w:val="520"/>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“Em relação à prática do futsal, há uma certa discriminação no que diz respeito à prática feminina”. (Inf. 212 – 1997, 20 anos, futsal)</w:t>
      </w:r>
    </w:p>
    <w:p>
      <w:pPr>
        <w:numPr>
          <w:ilvl w:val="0"/>
          <w:numId w:val="520"/>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 falta de apoio e preconceito. Todo mundo diz que futebol é coisa de homem”. (Inf. 10 – 1997, 16 anos, futsal)</w:t>
      </w:r>
    </w:p>
    <w:p>
      <w:pPr>
        <w:numPr>
          <w:ilvl w:val="0"/>
          <w:numId w:val="520"/>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“É quando alguém chega e fala que jogar futebol ou futsal é coisa para homem, mas nessa parte já consegui me superar”. (Inf. 1 – 1997, 21 anos, futsal)</w:t>
      </w:r>
    </w:p>
    <w:p>
      <w:pPr>
        <w:numPr>
          <w:ilvl w:val="0"/>
          <w:numId w:val="520"/>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“Preconceito, a modalidade é mais aceita para os homens, há uma certa descrença na prática por mulheres”. (Inf. 331 – 2008, 24 anos, futsal)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às demais modalidades, exceto o voleibol, o preconceito também foi citado como uma barreira para se praticar esportes. O voleibol na categoria feminina faz parte dos Jogos Olímpicos desde 1964, além de que consiste em uma modalidade tradicional para as mulheres. As meninas são estimuladas a praticá-lo desde a fase escolar. Talvez, uma das justificativas para isso seja a falta de contato físico entre os oponentes nesta modalidade, diferentemente do basquetebol, handebol e futsal.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Foi verificado no ano de 2008, que o preconceito foi citado apenas por atletas praticantes de futsal. Essa constatação indica, por um lado uma flexibilização do preconceito, mas por outro, aponta que ainda há discriminação em relação à modalidades específicas, como as consideradas masculinas.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um estudo sobre preconceito no esporte feminino universitário na PUCRS, HILLEBRAND, GROSSI e MORAES (2008) entrevistaram 43 atletas, sendo 11 praticantes de futsal. Destas últimas, todas citaram o preconceito em seus depoimentos e também a falta de apoio familiar. Quanto às dificuldades encontradas para praticar esportes, a maioria das atletas respondeu a falta de apoio da universidade, tanto financeiro como no oferecimento de uma infra-estrutura adequada, a dificuldade para receber patrocínios, a ausência de campeonatos e o preconceito contra as jogadoras de futsal. Ferreti e Knijnik (2007) também obtiveram respostas referindo ao preconceito ao entrevistarem sete praticantes de lutas em nível universitário, com idade entre 20 e 36 anos. Elas também indicaram a dificuldade de conciliar o tempo da prática esportiva com obrigações e vida familiar.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JIMI são realizados em várias fases durante o decorrer do ano, sendo que cada fase em geral é sediada por uma cidade diferente. Esta característica dos JIMI requer que as equipes tenham apoio financeiro suficiente para transporte das atletas, bem como para o custeio de alimentação e de alojamentos, além da estrutura de materiais e profissionais capacitados para treinamentos e competições.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Minas Gerais, assim como em todo o país, o esporte ainda carece de condições adequadas para o seu desenvolvimento. Provavelmente, por esse motivo, a falta de apoio financeiro tenha sido citada com grande frequência nas respostas das informantes como uma dificuldade para a prática esportiva. </w:t>
      </w:r>
    </w:p>
    <w:p>
      <w:pPr>
        <w:numPr>
          <w:ilvl w:val="0"/>
          <w:numId w:val="522"/>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“Não vejo apoio financeiro para praticar esportes, tendo dificuldades para conseguir treinar”. (Inf. 195 – 1997, 29 anos, basquetebol)</w:t>
      </w:r>
    </w:p>
    <w:p>
      <w:pPr>
        <w:numPr>
          <w:ilvl w:val="0"/>
          <w:numId w:val="522"/>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“Locomoção e incentivo financeiro”. (Inf. 223 – 2008, 18 anos, basquetebol)</w:t>
      </w:r>
    </w:p>
    <w:p>
      <w:pPr>
        <w:numPr>
          <w:ilvl w:val="0"/>
          <w:numId w:val="522"/>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“Condições de treinamento e transporte”. (Inf. 407 – 2008, 20 anos, futsal)</w:t>
      </w:r>
    </w:p>
    <w:p>
      <w:pPr>
        <w:numPr>
          <w:ilvl w:val="0"/>
          <w:numId w:val="522"/>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“Incentivo, dificuldades financeiras, falta de apoio”. (Inf. 69 – 1997, 23 anos, handebol)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Pode-se observar que tantos as informantes de 1997, quanto as de 2008 continuam apontando a falta de recurso financeiro como um dos entraves para a sua prática esportiva.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JIMI constituem uma competição entre municípios, portanto a equipe representa a cidade. Dessa forma, os atletas carecem do apoio político e da representação do município para se inscreverem nos Jogos. Nas falas das atletas, encontramos a falta de apoio político como uma dificuldade para que elas pratiquem esportes.</w:t>
      </w:r>
    </w:p>
    <w:p>
      <w:pPr>
        <w:numPr>
          <w:ilvl w:val="0"/>
          <w:numId w:val="524"/>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 principal dificuldade que temos é com relação à falta de incentivo da prefeitura e da população e também da falta de verbas”. (Inf. 183 – 1997, 16 anos, basquetebol)</w:t>
      </w:r>
    </w:p>
    <w:p>
      <w:pPr>
        <w:numPr>
          <w:ilvl w:val="0"/>
          <w:numId w:val="524"/>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“Falta de incentivo das prefeituras com transporte, alimentação, material adequado, profissionais da área, etc”. (Inf. 327 – 2008, 22 anos, futsal).</w:t>
      </w:r>
    </w:p>
    <w:p>
      <w:pPr>
        <w:numPr>
          <w:ilvl w:val="0"/>
          <w:numId w:val="524"/>
        </w:numPr>
        <w:spacing w:before="0" w:after="0" w:line="36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“O pouco apoio de prefeitura, clubes, etc. que deveriam investir mais no esporte, pois atleta não falta”. (Inf. 118 – 1997, 18 anos, voleibol)</w:t>
      </w:r>
    </w:p>
    <w:p>
      <w:pPr>
        <w:spacing w:before="0" w:after="0" w:line="360"/>
        <w:ind w:right="0" w:left="72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dificuldade relatada pelas informantes é a falta de tempo disponível para treinamentos e para as viagens, uma vez que cada fase dos JIMI acontece em uma cidade diferente, com duração de aproximadamente quatro dias.</w:t>
      </w:r>
    </w:p>
    <w:p>
      <w:pPr>
        <w:numPr>
          <w:ilvl w:val="0"/>
          <w:numId w:val="527"/>
        </w:numPr>
        <w:spacing w:before="0" w:after="0" w:line="360"/>
        <w:ind w:right="0" w:left="720" w:hanging="36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“Tempo, por trabalhar o dia inteiro e estudar à noite, e falta de incentivo”. </w:t>
      </w:r>
    </w:p>
    <w:p>
      <w:pPr>
        <w:spacing w:before="0" w:after="0" w:line="360"/>
        <w:ind w:right="0" w:left="72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(Inf. 330 – 2008, 24 anos, futsal)</w:t>
      </w:r>
    </w:p>
    <w:p>
      <w:pPr>
        <w:numPr>
          <w:ilvl w:val="0"/>
          <w:numId w:val="529"/>
        </w:numPr>
        <w:spacing w:before="0" w:after="0" w:line="360"/>
        <w:ind w:right="0" w:left="720" w:hanging="36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“Conciliar os horários dos treinos com trabalho, estudo e obrigações da casa”. (Inf. 110 – 1997, 27 anos, handebol)</w:t>
      </w:r>
    </w:p>
    <w:p>
      <w:pPr>
        <w:numPr>
          <w:ilvl w:val="0"/>
          <w:numId w:val="529"/>
        </w:numPr>
        <w:spacing w:before="0" w:after="0" w:line="360"/>
        <w:ind w:right="0" w:left="720" w:hanging="36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“Hoje a falta de tempo e de patrocínio, pois somos amadoras e precisamos trabalhar”. (Inf. 128 – 1997, 29 anos, voleibol)</w:t>
      </w:r>
    </w:p>
    <w:p>
      <w:pPr>
        <w:numPr>
          <w:ilvl w:val="0"/>
          <w:numId w:val="529"/>
        </w:numPr>
        <w:spacing w:before="0" w:after="0" w:line="360"/>
        <w:ind w:right="0" w:left="720" w:hanging="36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“Não tenho disponibilidade de horários para treinar. Aliás, é o que acontece sempre com as pessoas que atingem a categoria adulto”. (Inf. 125 – 1997, 26 anos, voleibol)</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CONCLUSÕES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do presente estudo, foi possível estabelecer o perfil das atletas praticantes de esportes coletivos de quadra e participantes dos JIMI. Em geral, o perfil encontrado na maioria das atletas indica que: são mulheres jovens, solteiras, de grau de instrução de nível médio, que praticam esportes há mais de nove anos, participaram de poucas edições dos JIMI e de outros níveis mais elevados de competição.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Comparando-se o perfil das atletas de 1997 com as de 2008, verificou-se que as diferenças mais marcantes estão relacionadas com o aumento do nível de instrução, o maior tempo de prática esportiva e o maior número de participações nos JIMI das participantes dos JIMI-2008.</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à visão das atletas sobre os preconceitos incidentes na prática esportiva feminina, conclui-se que entre os anos de 1997 e 2008 houve mudanças importantes na distribuição das respostas. Foi detectada uma tendência de flexibilização do preconceito ou até mesmo do rompimento de algumas ideias presentes na sociedade e na própria visão das atletas sobre o esporte feminino. Discursos como o de que futebol é só para homens, o esporte competitivo pode masculinizar a mulher e prejudicar a sua função maternal estão enfraquecendo ao longo do tempo.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às dificuldades relatadas pelas atletas para praticar esportes, foi possível resumi-las em categorias. Sendo que, a mais frequente entre as respostas foi a falta de apoio financeiro e político por parte das prefeituras e iniciativa privada. A falta de tempo disponível para treinamentos e competições também se mostrou como uma grande dificuldade, tanto para as atletas jovens que se deparam com conflito esporte versus estudos, como para as atletas adultas que se vêem diante do conflito entre horários para a prática esportiva e para as obrigações de casa, filhos e trabalho. Ainda, identificou-se o preconceito permanece como uma barreira enfrentada principalmente pelas atletas praticantes de futsal.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processo de legitimação e aceitação das práticas esportivas femininas vem acontecendo gradativamente, porém de maneira não uniforme, com avanços e recuos, visto que algumas modalidades específicas ainda são fortemente marcadas por estereótipos e preconceitos advindos até mesmo de mulheres-atletas. Dentre as descontinuidades no movimento esportivo feminino, constatou-se que, nos dias atuais, as mulheres praticantes de futebol são mais rotuladas como homossexuais que antes. Esse resultado encontrado requer estudos mais detalhados a fim de compreender melhor a questão de preconceitos e sexualidade no esporte feminino.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as conquistas femininas no esporte e o consequente aumento da participação das mulheres nos esportes competitivos, a atleta dos JIMI hoje, sofre menos preconceito e, vem ganhando mais espaço no mundo esportivo. Porém, essas atletas ainda enfrentam barreiras que dificultam a sua sustentação nos esportes. Ainda há muito a ser feito por essas mulheres. É preciso incentivar a prática esportiva feminina e dar suporte e condições para que elas se mantenham vinculadas aos esportes.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ADELMAN, Miriam. </w:t>
      </w:r>
      <w:r>
        <w:rPr>
          <w:rFonts w:ascii="Times New Roman" w:hAnsi="Times New Roman" w:cs="Times New Roman" w:eastAsia="Times New Roman"/>
          <w:i/>
          <w:color w:val="auto"/>
          <w:spacing w:val="0"/>
          <w:position w:val="0"/>
          <w:sz w:val="22"/>
          <w:shd w:fill="auto" w:val="clear"/>
        </w:rPr>
        <w:t xml:space="preserve">Mulheres atletas: re-significações da corporalidade feminina.</w:t>
      </w:r>
      <w:r>
        <w:rPr>
          <w:rFonts w:ascii="Times New Roman" w:hAnsi="Times New Roman" w:cs="Times New Roman" w:eastAsia="Times New Roman"/>
          <w:color w:val="auto"/>
          <w:spacing w:val="0"/>
          <w:position w:val="0"/>
          <w:sz w:val="22"/>
          <w:shd w:fill="auto" w:val="clear"/>
        </w:rPr>
        <w:t xml:space="preserve"> Revista Estudos Feministas. V.11 – Nº 2. Florianópolis: jul/dez, 2003.</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CARVALHO, A. M. J. de. </w:t>
      </w:r>
      <w:r>
        <w:rPr>
          <w:rFonts w:ascii="Times New Roman" w:hAnsi="Times New Roman" w:cs="Times New Roman" w:eastAsia="Times New Roman"/>
          <w:i/>
          <w:color w:val="auto"/>
          <w:spacing w:val="0"/>
          <w:position w:val="0"/>
          <w:sz w:val="22"/>
          <w:shd w:fill="auto" w:val="clear"/>
        </w:rPr>
        <w:t xml:space="preserve">A participação feminina nos Jogos Olímpicos</w:t>
      </w:r>
      <w:r>
        <w:rPr>
          <w:rFonts w:ascii="Times New Roman" w:hAnsi="Times New Roman" w:cs="Times New Roman" w:eastAsia="Times New Roman"/>
          <w:color w:val="auto"/>
          <w:spacing w:val="0"/>
          <w:position w:val="0"/>
          <w:sz w:val="22"/>
          <w:shd w:fill="auto" w:val="clear"/>
        </w:rPr>
        <w:t xml:space="preserve">. In: TURINI, M. e DaCOSTA, L. (Orgs). Coletânea de textos em Estudos Olímpicos. Vol 2. Fórum Olímpico. Rio de Janeiro: Editora Gama Filho, 2002. Pág 181-192.</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DEVIDE, F. P. História das mulheres nos Jogos Olímpicos Modernos. In: TURINI, M. e DaCOSTA, L. (Orgs). Coletânea de textos em Estudos Olímpicos. Vol 2. Fórum Olímpico. Rio de Janeiro: Editora Gama Filho, 2002. Pág 291 – 321.</w:t>
      </w:r>
    </w:p>
    <w:p>
      <w:pPr>
        <w:spacing w:before="240" w:after="200" w:line="360"/>
        <w:ind w:right="0" w:left="360" w:firstLine="0"/>
        <w:jc w:val="both"/>
        <w:rPr>
          <w:rFonts w:ascii="Times New Roman" w:hAnsi="Times New Roman" w:cs="Times New Roman" w:eastAsia="Times New Roman"/>
          <w:color w:val="231F20"/>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FERRETI, M. A. C e KNIJNIK, J. D. </w:t>
      </w:r>
      <w:r>
        <w:rPr>
          <w:rFonts w:ascii="Times New Roman" w:hAnsi="Times New Roman" w:cs="Times New Roman" w:eastAsia="Times New Roman"/>
          <w:i/>
          <w:color w:val="auto"/>
          <w:spacing w:val="0"/>
          <w:position w:val="0"/>
          <w:sz w:val="22"/>
          <w:shd w:fill="auto" w:val="clear"/>
        </w:rPr>
        <w:t xml:space="preserve">Mulheres podem praticar lutas? Um estudo sobre as representações sociais de lutadoras universitárias</w:t>
      </w:r>
      <w:r>
        <w:rPr>
          <w:rFonts w:ascii="Times New Roman" w:hAnsi="Times New Roman" w:cs="Times New Roman" w:eastAsia="Times New Roman"/>
          <w:color w:val="auto"/>
          <w:spacing w:val="0"/>
          <w:position w:val="0"/>
          <w:sz w:val="22"/>
          <w:shd w:fill="auto" w:val="clear"/>
        </w:rPr>
        <w:t xml:space="preserve">. Movimento, </w:t>
      </w:r>
      <w:r>
        <w:rPr>
          <w:rFonts w:ascii="Times New Roman" w:hAnsi="Times New Roman" w:cs="Times New Roman" w:eastAsia="Times New Roman"/>
          <w:color w:val="231F20"/>
          <w:spacing w:val="0"/>
          <w:position w:val="0"/>
          <w:sz w:val="22"/>
          <w:shd w:fill="auto" w:val="clear"/>
        </w:rPr>
        <w:t xml:space="preserve">Porto Alegre, v.13, n. 01, p.57-80, janeiro/abril de 2007.</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GOELLNER, Silvana Vilodre. </w:t>
      </w:r>
      <w:r>
        <w:rPr>
          <w:rFonts w:ascii="Times New Roman" w:hAnsi="Times New Roman" w:cs="Times New Roman" w:eastAsia="Times New Roman"/>
          <w:i/>
          <w:color w:val="auto"/>
          <w:spacing w:val="0"/>
          <w:position w:val="0"/>
          <w:sz w:val="22"/>
          <w:shd w:fill="auto" w:val="clear"/>
        </w:rPr>
        <w:t xml:space="preserve">Mulheres e futebol no Brasil: entre sombras e visibilidades.</w:t>
      </w:r>
      <w:r>
        <w:rPr>
          <w:rFonts w:ascii="Times New Roman" w:hAnsi="Times New Roman" w:cs="Times New Roman" w:eastAsia="Times New Roman"/>
          <w:color w:val="auto"/>
          <w:spacing w:val="0"/>
          <w:position w:val="0"/>
          <w:sz w:val="22"/>
          <w:shd w:fill="auto" w:val="clear"/>
        </w:rPr>
        <w:t xml:space="preserve"> Rev. Bras. Educ. Fís. Esp. São Paulo, v.19, nº 2, P. 143-15, abr/jun, 2005.</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GOMES, Euza Maria de Paiva. </w:t>
      </w:r>
      <w:r>
        <w:rPr>
          <w:rFonts w:ascii="Times New Roman" w:hAnsi="Times New Roman" w:cs="Times New Roman" w:eastAsia="Times New Roman"/>
          <w:i/>
          <w:color w:val="auto"/>
          <w:spacing w:val="0"/>
          <w:position w:val="0"/>
          <w:sz w:val="22"/>
          <w:shd w:fill="auto" w:val="clear"/>
        </w:rPr>
        <w:t xml:space="preserve">A participação das mulheres na gestão do esporte brasileiro: desafios e perspectivas</w:t>
      </w:r>
      <w:r>
        <w:rPr>
          <w:rFonts w:ascii="Times New Roman" w:hAnsi="Times New Roman" w:cs="Times New Roman" w:eastAsia="Times New Roman"/>
          <w:color w:val="auto"/>
          <w:spacing w:val="0"/>
          <w:position w:val="0"/>
          <w:sz w:val="22"/>
          <w:shd w:fill="auto" w:val="clear"/>
        </w:rPr>
        <w:t xml:space="preserve">. Rio de Janeiro: Quartet, FAPERJ, 2008.</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HILLEBRAND, M. D., GROSSI, P. K. e MORAES, J. F. </w:t>
      </w:r>
      <w:r>
        <w:rPr>
          <w:rFonts w:ascii="Times New Roman" w:hAnsi="Times New Roman" w:cs="Times New Roman" w:eastAsia="Times New Roman"/>
          <w:i/>
          <w:color w:val="auto"/>
          <w:spacing w:val="0"/>
          <w:position w:val="0"/>
          <w:sz w:val="22"/>
          <w:shd w:fill="auto" w:val="clear"/>
        </w:rPr>
        <w:t xml:space="preserve">Preconceito de gênero em mulheres praticantes de esporte universitário.</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Psico, Porto Alegre, PUCRS, </w:t>
      </w:r>
      <w:r>
        <w:rPr>
          <w:rFonts w:ascii="Times New Roman" w:hAnsi="Times New Roman" w:cs="Times New Roman" w:eastAsia="Times New Roman"/>
          <w:i/>
          <w:color w:val="000000"/>
          <w:spacing w:val="0"/>
          <w:position w:val="0"/>
          <w:sz w:val="22"/>
          <w:shd w:fill="auto" w:val="clear"/>
        </w:rPr>
        <w:t xml:space="preserve">v. 39</w:t>
      </w:r>
      <w:r>
        <w:rPr>
          <w:rFonts w:ascii="Times New Roman" w:hAnsi="Times New Roman" w:cs="Times New Roman" w:eastAsia="Times New Roman"/>
          <w:color w:val="000000"/>
          <w:spacing w:val="0"/>
          <w:position w:val="0"/>
          <w:sz w:val="22"/>
          <w:shd w:fill="auto" w:val="clear"/>
        </w:rPr>
        <w:t xml:space="preserve">, n. 4, pp. 425-430, out./dez, 2008.</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MIRAGAYA, A. </w:t>
      </w:r>
      <w:r>
        <w:rPr>
          <w:rFonts w:ascii="Times New Roman" w:hAnsi="Times New Roman" w:cs="Times New Roman" w:eastAsia="Times New Roman"/>
          <w:i/>
          <w:color w:val="auto"/>
          <w:spacing w:val="0"/>
          <w:position w:val="0"/>
          <w:sz w:val="22"/>
          <w:shd w:fill="auto" w:val="clear"/>
        </w:rPr>
        <w:t xml:space="preserve">A mulher olímpica: tradição versus inovação</w:t>
      </w:r>
      <w:r>
        <w:rPr>
          <w:rFonts w:ascii="Times New Roman" w:hAnsi="Times New Roman" w:cs="Times New Roman" w:eastAsia="Times New Roman"/>
          <w:color w:val="auto"/>
          <w:spacing w:val="0"/>
          <w:position w:val="0"/>
          <w:sz w:val="22"/>
          <w:shd w:fill="auto" w:val="clear"/>
        </w:rPr>
        <w:t xml:space="preserve">.  In: TURINI, M. e DaCOSTA, L. (Orgs). Coletânea de textos em Estudos Olímpicos. Vol 2. Fórum Olímpico. Rio de Janeiro: Editora Gama Filho, 2002. Pág 349 – 377.</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PAIM, Maria Cristina Chimelo. </w:t>
      </w:r>
      <w:r>
        <w:rPr>
          <w:rFonts w:ascii="Times New Roman" w:hAnsi="Times New Roman" w:cs="Times New Roman" w:eastAsia="Times New Roman"/>
          <w:i/>
          <w:color w:val="auto"/>
          <w:spacing w:val="0"/>
          <w:position w:val="0"/>
          <w:sz w:val="22"/>
          <w:shd w:fill="auto" w:val="clear"/>
        </w:rPr>
        <w:t xml:space="preserve">Visões estereotipadas sobre a mulher no esporte. </w:t>
      </w:r>
      <w:r>
        <w:rPr>
          <w:rFonts w:ascii="Times New Roman" w:hAnsi="Times New Roman" w:cs="Times New Roman" w:eastAsia="Times New Roman"/>
          <w:color w:val="auto"/>
          <w:spacing w:val="0"/>
          <w:position w:val="0"/>
          <w:sz w:val="22"/>
          <w:shd w:fill="auto" w:val="clear"/>
        </w:rPr>
        <w:t xml:space="preserve">Revista Digital Efdesportes. Ano 10 - Nº 75. Buenos Aires, 2004. Disponível em: </w:t>
      </w:r>
      <w:r>
        <w:rPr>
          <w:rFonts w:ascii="Times New Roman" w:hAnsi="Times New Roman" w:cs="Times New Roman" w:eastAsia="Times New Roman"/>
          <w:color w:val="auto"/>
          <w:spacing w:val="0"/>
          <w:position w:val="0"/>
          <w:sz w:val="22"/>
          <w:u w:val="single"/>
          <w:shd w:fill="auto" w:val="clear"/>
        </w:rPr>
        <w:t xml:space="preserve">&lt;</w:t>
      </w:r>
      <w:hyperlink xmlns:r="http://schemas.openxmlformats.org/officeDocument/2006/relationships" r:id="docRId29">
        <w:r>
          <w:rPr>
            <w:rFonts w:ascii="Times New Roman" w:hAnsi="Times New Roman" w:cs="Times New Roman" w:eastAsia="Times New Roman"/>
            <w:color w:val="0000FF"/>
            <w:spacing w:val="0"/>
            <w:position w:val="0"/>
            <w:sz w:val="22"/>
            <w:u w:val="single"/>
            <w:shd w:fill="auto" w:val="clear"/>
          </w:rPr>
          <w:t xml:space="preserve">http://www.efdeportes.com</w:t>
        </w:r>
      </w:hyperlink>
      <w:r>
        <w:rPr>
          <w:rFonts w:ascii="Times New Roman" w:hAnsi="Times New Roman" w:cs="Times New Roman" w:eastAsia="Times New Roman"/>
          <w:color w:val="auto"/>
          <w:spacing w:val="0"/>
          <w:position w:val="0"/>
          <w:sz w:val="22"/>
          <w:u w:val="single"/>
          <w:shd w:fill="auto" w:val="clear"/>
        </w:rPr>
        <w:t xml:space="preserve">&gt; </w:t>
      </w:r>
      <w:r>
        <w:rPr>
          <w:rFonts w:ascii="Times New Roman" w:hAnsi="Times New Roman" w:cs="Times New Roman" w:eastAsia="Times New Roman"/>
          <w:color w:val="auto"/>
          <w:spacing w:val="0"/>
          <w:position w:val="0"/>
          <w:sz w:val="22"/>
          <w:shd w:fill="auto" w:val="clear"/>
        </w:rPr>
        <w:t xml:space="preserve">Acesso em: 02 mai 2009.</w:t>
      </w:r>
    </w:p>
    <w:p>
      <w:pPr>
        <w:spacing w:before="240" w:after="200" w:line="360"/>
        <w:ind w:right="0" w:left="3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PFISTER, G. </w:t>
      </w:r>
      <w:r>
        <w:rPr>
          <w:rFonts w:ascii="Times New Roman" w:hAnsi="Times New Roman" w:cs="Times New Roman" w:eastAsia="Times New Roman"/>
          <w:i/>
          <w:color w:val="auto"/>
          <w:spacing w:val="0"/>
          <w:position w:val="0"/>
          <w:sz w:val="22"/>
          <w:shd w:fill="auto" w:val="clear"/>
        </w:rPr>
        <w:t xml:space="preserve">As mulheres e os Jogos Olímpicos: 1900-97</w:t>
      </w:r>
      <w:r>
        <w:rPr>
          <w:rFonts w:ascii="Times New Roman" w:hAnsi="Times New Roman" w:cs="Times New Roman" w:eastAsia="Times New Roman"/>
          <w:color w:val="auto"/>
          <w:spacing w:val="0"/>
          <w:position w:val="0"/>
          <w:sz w:val="22"/>
          <w:shd w:fill="auto" w:val="clear"/>
        </w:rPr>
        <w:t xml:space="preserve">. In:</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DRINKWATER, Bárbara L. Mulheres no esporte. Rio de Janeiro: Editora Guanabara Koogan, 2004. Pág 3 – 15.</w:t>
      </w:r>
    </w:p>
    <w:p>
      <w:pPr>
        <w:spacing w:before="240" w:after="200" w:line="360"/>
        <w:ind w:right="0" w:left="357"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SALLES, COSTA E SILVA. </w:t>
      </w:r>
      <w:r>
        <w:rPr>
          <w:rFonts w:ascii="Times New Roman" w:hAnsi="Times New Roman" w:cs="Times New Roman" w:eastAsia="Times New Roman"/>
          <w:i/>
          <w:color w:val="auto"/>
          <w:spacing w:val="0"/>
          <w:position w:val="0"/>
          <w:sz w:val="22"/>
          <w:shd w:fill="auto" w:val="clear"/>
        </w:rPr>
        <w:t xml:space="preserve">Representação social do futebol feminino na imprensa brasileira</w:t>
      </w:r>
      <w:r>
        <w:rPr>
          <w:rFonts w:ascii="Times New Roman" w:hAnsi="Times New Roman" w:cs="Times New Roman" w:eastAsia="Times New Roman"/>
          <w:color w:val="auto"/>
          <w:spacing w:val="0"/>
          <w:position w:val="0"/>
          <w:sz w:val="22"/>
          <w:shd w:fill="auto" w:val="clear"/>
        </w:rPr>
        <w:t xml:space="preserve">. In: VOTRE, S; SALLES, J. G. do C. e MELO, V. A Representação social do esporte e da atividade física – Ensaio Etnográficos. Brasília: INDESP, 1998. Pág 103 – 117.</w:t>
      </w:r>
    </w:p>
    <w:p>
      <w:pPr>
        <w:spacing w:before="240" w:after="0" w:line="360"/>
        <w:ind w:right="0" w:left="357"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SANTANA, W. C. E REIS, H. H. B. </w:t>
      </w:r>
      <w:r>
        <w:rPr>
          <w:rFonts w:ascii="Times New Roman" w:hAnsi="Times New Roman" w:cs="Times New Roman" w:eastAsia="Times New Roman"/>
          <w:i/>
          <w:color w:val="auto"/>
          <w:spacing w:val="0"/>
          <w:position w:val="0"/>
          <w:sz w:val="22"/>
          <w:shd w:fill="auto" w:val="clear"/>
        </w:rPr>
        <w:t xml:space="preserve">Futsal feminino: perfil e implicações pedagógicas</w:t>
      </w:r>
      <w:r>
        <w:rPr>
          <w:rFonts w:ascii="Times New Roman" w:hAnsi="Times New Roman" w:cs="Times New Roman" w:eastAsia="Times New Roman"/>
          <w:color w:val="auto"/>
          <w:spacing w:val="0"/>
          <w:position w:val="0"/>
          <w:sz w:val="22"/>
          <w:shd w:fill="auto" w:val="clear"/>
        </w:rPr>
        <w:t xml:space="preserve">. R. Bra. Ci. E Mov. 2003; 11(4): 45-50. </w:t>
      </w:r>
    </w:p>
    <w:p>
      <w:pPr>
        <w:spacing w:before="57" w:after="0" w:line="240"/>
        <w:ind w:right="110" w:left="11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Desafio da Mulher Contemporânea: Um Balanço de suas Conquistas e Perspectivas.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1" w:after="0" w:line="240"/>
        <w:ind w:right="110" w:left="118" w:firstLine="0"/>
        <w:jc w:val="left"/>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Bibiana Stohler de Almeida</w:t>
      </w:r>
      <w:r>
        <w:rPr>
          <w:rFonts w:ascii="Times New Roman" w:hAnsi="Times New Roman" w:cs="Times New Roman" w:eastAsia="Times New Roman"/>
          <w:color w:val="auto"/>
          <w:spacing w:val="0"/>
          <w:position w:val="11"/>
          <w:sz w:val="16"/>
          <w:shd w:fill="auto" w:val="clear"/>
        </w:rPr>
        <w:t xml:space="preserve">1</w:t>
      </w:r>
    </w:p>
    <w:p>
      <w:pPr>
        <w:spacing w:before="137" w:after="0" w:line="240"/>
        <w:ind w:right="110" w:left="118"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Universidade de São Paulo (USP)</w:t>
      </w:r>
    </w:p>
    <w:p>
      <w:pPr>
        <w:spacing w:before="139" w:after="0" w:line="240"/>
        <w:ind w:right="110" w:left="118"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Orientador: Prof. Dr. Eneus Trindade Barreto Filho</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1" w:after="0" w:line="240"/>
        <w:ind w:right="110" w:left="11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artigo visa à reflexão sobre o papel da mulher na sociedade contemporânea frente à herança do feminismo. Após as conquistas do movimento, a questão de gênero foi institucionalizada, ou seja, o Estado abraçou o movimento que ganhou ares de cidadania. Dessa forma, o feminismo passou à esfera pública (última fase). A compreensão deste percurso é fundamental para lançarmos um olhar crítico sobre as facetas do movimento no Brasil, bem como suas implicações e perspectivas.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10" w:left="11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24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Feminismo; Igualdade de gênero; Desafio; Mulher; Contemporaneidade.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110" w:left="11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Feminismo e o Feminino, uma Breve Introdução...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dos anos, as mulheres vêm conquistando espaço em várias atividades de nossa sociedade, desde áreas do conhecimento, com o acesso à escolaridade e formação filosófica, até sua atuação no mercado de trabalho, com qualificação técnica e profissionalismo.</w:t>
      </w:r>
    </w:p>
    <w:p>
      <w:pPr>
        <w:spacing w:before="6"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é possível reconhecer que ainda há setores onde a presença feminina é quase inexistente, em especial, citamos, aqui, o Político (representatividade na Câmara e Senado). Também faltam políticas públicas para casos mais delicados, como por exemplo: o aborto que ainda causa polêmica devido à questão religiosa e a criação de mais delegacias especializadas no atendimento às mulheres, com corpo funcional capacitado tanto na fase do acolhimento quanto na investigação de suas denúncias.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50" w:after="0" w:line="240"/>
        <w:ind w:right="110"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1 </w:t>
      </w:r>
      <w:r>
        <w:rPr>
          <w:rFonts w:ascii="Times New Roman" w:hAnsi="Times New Roman" w:cs="Times New Roman" w:eastAsia="Times New Roman"/>
          <w:color w:val="auto"/>
          <w:spacing w:val="0"/>
          <w:position w:val="9"/>
          <w:sz w:val="20"/>
          <w:shd w:fill="auto" w:val="clear"/>
        </w:rPr>
        <w:t xml:space="preserve">Mestranda em Ciências da Comunicação da Escola de Comunicações e Artes, da Universidade de São Paulo. Pesquisadora do Grupo de Estudos em Semiótica, Comunicação, Cultura e Consumo (GESC3). Bolsista CNPq.</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2"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importante é que se garanta sua integridade física e moral e, que seus agressores sejam, efetivamente, punidos. O descaso e a impunidade precisam ser combatidos para que a violência contra a mulher possa diminuir.</w:t>
      </w:r>
    </w:p>
    <w:p>
      <w:pPr>
        <w:spacing w:before="4"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Historicamente, sua figura esteve atrelada em diversas frentes de luta, sem se  esquecer, porém, do propósito maior: a equidade de gênero, seja no voto, na educação, no trabalho ou em seus direitos como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cidadã.</w:t>
      </w:r>
    </w:p>
    <w:p>
      <w:pPr>
        <w:spacing w:before="6" w:after="0" w:line="360"/>
        <w:ind w:right="104"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estudos de Céli Regina Pinto (2003), a conquista do direito de gênero é marcada por dois períodos: final do século XIX até o ano de 1932 (primeiro momento) e pós- 68 (segundo momento). Isso porque o movimento feminista no Brasil foi difuso e incorporou várias facetas.</w:t>
      </w:r>
    </w:p>
    <w:p>
      <w:pPr>
        <w:spacing w:before="6"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primeiro momento pode ser entendido como um feminismo mais brando e conservador cujas conquistadas não incluíram aí o caráter de igualdade de gênero, apenas o de inserção da mulher na sociedade (respeito de gênero em prol de uma convivência harmoniosa).</w:t>
      </w:r>
    </w:p>
    <w:p>
      <w:pPr>
        <w:spacing w:before="6"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o segundo momento, pode ser considerado mais agressivo. O movimento feminista desse período foi composto por intelectuais, sindicalistas, líderes e simpatizantes de  ideologias políticas ligadas ao socialismo. As exigências foram pelo direito ao corpo frente à dominação masculina ou por questões religiosas, especialmente, no que tange à sexualidade, aborto e divórcio. A luta também se estendeu pelos direitos à educação e político-ideológico (partidarismo 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filiação).</w:t>
      </w:r>
    </w:p>
    <w:p>
      <w:pPr>
        <w:spacing w:before="6" w:after="0" w:line="360"/>
        <w:ind w:right="106"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Pinto (2003) descreve que as lutas das ativistas feministas foram por melhores condições aos direitos de contratos trabalhistas, direitos de propriedade, direitos ao voto, direitos da autonomia e integridade de seu corpo, direitos ao aborto, direitos  reprodutivos (pílula anticoncepcional e exame pré-natal), direitos contra a violência doméstica, assédio sexual e estupro (atendimento especializado à mulher), direitos à licença maternidade e equiparação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salarial.</w:t>
      </w:r>
    </w:p>
    <w:p>
      <w:pPr>
        <w:spacing w:before="4"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à abrangência do movimento, podemos dizer que diversos países aderiram o feminismo cujas interpretações se deram localmente e de diferentes formas: “Na Europa e nos Estados Unidos havia cenários de grande efervescência política, de revolução dos costumes, de radical renovação cultural, enquanto no Brasil o clima era de ditadura militar, repressão e morte.” (Otto, 2004: p.</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239).</w:t>
      </w:r>
    </w:p>
    <w:p>
      <w:pPr>
        <w:spacing w:before="6"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Claricia Otto (2004) acredita que no Brasil as primeiras manifestações do feminismo foram influenciadas pelo Hemisfério Norte, incorporando, posteriormente, um caráter mais agressivo, ideológico e de luta contra o regime militar.</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2" w:after="0" w:line="360"/>
        <w:ind w:right="109"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das conquistas citadas, as mulheres seguem lutando por melhores condições na igualdade de gênero e demais formas de discriminação. Na contemporaneidade, além do combate à violência física e psicológica exercida por seus parceiros, a luta feminina também se dá em um sentido mais amplo, envolvendo os campos mercadológico e pornográfico, nos quais ela é retratada como objeto sexual, geralmente, tolerante e submissa.</w:t>
      </w:r>
    </w:p>
    <w:p>
      <w:pPr>
        <w:spacing w:before="4"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isto, Frei Betto (2010) discorre: “A violência contra a mulher não ocorre apenas nas relações interpessoais. Ela é generalizada pela cultura mercantilizada em que vivemos. Basta observar a multiplicidade de anúncios televisivos que fazem da mulher isca pornográfica de</w:t>
      </w:r>
    </w:p>
    <w:p>
      <w:pPr>
        <w:spacing w:before="6" w:after="0" w:line="328"/>
        <w:ind w:right="110" w:left="118" w:firstLine="0"/>
        <w:jc w:val="left"/>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consumo. Pare diante de uma banca de revistas e confira a diversidade do “açougue” fotográfico!”</w:t>
      </w:r>
      <w:r>
        <w:rPr>
          <w:rFonts w:ascii="Times New Roman" w:hAnsi="Times New Roman" w:cs="Times New Roman" w:eastAsia="Times New Roman"/>
          <w:color w:val="auto"/>
          <w:spacing w:val="0"/>
          <w:position w:val="11"/>
          <w:sz w:val="16"/>
          <w:shd w:fill="auto" w:val="clear"/>
        </w:rPr>
        <w:t xml:space="preserve">2</w:t>
      </w:r>
    </w:p>
    <w:p>
      <w:pPr>
        <w:spacing w:before="3" w:after="0" w:line="240"/>
        <w:ind w:right="0" w:left="0" w:firstLine="0"/>
        <w:jc w:val="left"/>
        <w:rPr>
          <w:rFonts w:ascii="Times New Roman" w:hAnsi="Times New Roman" w:cs="Times New Roman" w:eastAsia="Times New Roman"/>
          <w:color w:val="auto"/>
          <w:spacing w:val="0"/>
          <w:position w:val="0"/>
          <w:sz w:val="38"/>
          <w:shd w:fill="auto" w:val="clear"/>
        </w:rPr>
      </w:pPr>
    </w:p>
    <w:p>
      <w:pPr>
        <w:spacing w:before="0" w:after="0" w:line="240"/>
        <w:ind w:right="110" w:left="2976"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1"/>
          <w:position w:val="0"/>
          <w:sz w:val="20"/>
          <w:shd w:fill="auto" w:val="clear"/>
        </w:rPr>
        <w:t xml:space="preserve">Figura </w:t>
      </w:r>
      <w:r>
        <w:object w:dxaOrig="2573" w:dyaOrig="4239">
          <v:rect xmlns:o="urn:schemas-microsoft-com:office:office" xmlns:v="urn:schemas-microsoft-com:vml" id="rectole0000000011" style="width:128.650000pt;height:211.9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1" ShapeID="rectole0000000011" r:id="docRId30"/>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9"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podemos observar que a mulher passou a desempenhar vários papéis em nossa sociedade, tais como: esposa, mãe, educadora, profissional entre outros. O chamado “desempenho de papeis” é característico do mundo globalizado e foi adequado primeiramente às relações no ambiente de trabalho, sendo desdobrado mais tarde a outros tipos de relações sociais, uma delas, voltada ao modelo de gênero que se tornou flexível e menos delimitado. Quanto a isso, o autor Marshall McLuhan (1911-1980), em seus estudos sobre a mensagem e os efeitos dos meios de comunicação, descreve uma passagem interessante: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50" w:after="0" w:line="240"/>
        <w:ind w:right="110"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2 </w:t>
      </w:r>
      <w:r>
        <w:rPr>
          <w:rFonts w:ascii="Times New Roman" w:hAnsi="Times New Roman" w:cs="Times New Roman" w:eastAsia="Times New Roman"/>
          <w:color w:val="auto"/>
          <w:spacing w:val="0"/>
          <w:position w:val="9"/>
          <w:sz w:val="20"/>
          <w:shd w:fill="auto" w:val="clear"/>
        </w:rPr>
        <w:t xml:space="preserve">Artigo publicado pelo jornal Correio Braziliense. Opinião, p. 17. Brasília, sexta-feira, 16 de julho de 2010.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2" w:after="0" w:line="360"/>
        <w:ind w:right="107" w:left="137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“Desempenhar papéis, com efeito, significa ter mais de um emprego. Uma dona de casa é uma pessoa que desempenha papéis, e o mesmo acontece com os fazendeiros e muitos outros membros da comunidade. Não são essencialmente empregados, mas pessoas que desempenham papéis.” (McLuhan e Staines, 2005: 225-226).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trabalhar fora de casa, a mulher passou a contribuir financeiramente no orçamento familiar, o que era exclusividade de seu parceiro. Em decorrência dessa ascensão econômica, houve também o compartilhamento da autoridade em casa, tarefa predominantemente masculina.</w:t>
      </w:r>
    </w:p>
    <w:p>
      <w:pPr>
        <w:spacing w:before="6" w:after="0" w:line="360"/>
        <w:ind w:right="110"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novo ambiente familiar foi marcado pelo reposicionamento da mulher, enquanto que seu parceiro (adequando-se a essa nova realidade) pôde participar mais da educação dos filhos e problemas de casa, o que era pertencente às mulheres.</w:t>
      </w:r>
    </w:p>
    <w:p>
      <w:pPr>
        <w:spacing w:before="4"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a década de 80 foi marcada por grande coletividade feminina e algumas conquistas foram alcançadas: implantação de programas assistenciais, criação de delegacias especializadas, políticas públicas dirigidas e núcleos de estudos sobre as mulheres, retorno das exiladas ao país, ingresso das primeiras mulheres na administração pública, melhores condições trabalhistas. “Surgiram grupos feministas temáticos, como também houve espaço para o surgimento e o desenvolvimento do que se poderia chamar feminismo acadêmico...” (Otto, 2004: p. 240).</w:t>
      </w:r>
    </w:p>
    <w:p>
      <w:pPr>
        <w:spacing w:before="6"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maioria das mulheres já estava no mercado de trabalho e continuava sua profissionalização. O movimento ganha notoriedade, particularmente, entre os meios de comunicação: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0" w:after="0" w:line="360"/>
        <w:ind w:right="106" w:left="137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tentativa de responder às inúmeras inquietações, sobretudo da população feminina, que ocupava espaços públicos e trabalhava remuneradamente, deslocada de seu lugar tradicional e carente de novas referências no plano pessoal e social, os meios de comunicação abriram espaço para a questão da mulher, conferindo, ainda que indiretamente, maior visibilidade e credibilidade ao movimento social.” (Sarti, 1988: p.</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década de 90, Pinto (2003) observa a ruptura do feminismo, chamando nossa atenção a seus novos rumos: a separação do pensamento feminista com o movimento, o que podemos   entender   como   interesses   internos/questões   femininas   versus   ideal  político-</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2" w:after="0" w:line="360"/>
        <w:ind w:right="107"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ideológico/bipartidarismo; E, a institucionalização do movimento, que foi abraçado pelo Estado, tanto pelo direcionamento de políticas públicas quanto pelo surgimento das organizações públicas (ONGs), propiciando a especialização dos temas e a divisão de grupos de discussão. “...a tendência para a profissionalização por meio das ONGs pode estar indicando a volta de um ‘feminismo bem-educado’.” (Otto, 2004: p. 240). No entanto, vale destacar neste período as conquistas do movimento acerca dos direitos conquistados pela mulher enquanto cidadã.</w:t>
      </w:r>
    </w:p>
    <w:p>
      <w:pPr>
        <w:spacing w:before="4"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do ano 2000, o movimento, que se encontra difundido e divido por grupos tematizados, segue profissionalizando-se com a cooperação de instituições internacionais. Marco, aqui, para a troca de informações e apresentação de ideias no que tange às ações públicas realizadas no Brasil e em países da América Latina, possibilitando um maior entendimento quanto ao processo histórico e sócio-cultural de opressão e submissão das mulheres.</w:t>
      </w:r>
    </w:p>
    <w:p>
      <w:pPr>
        <w:spacing w:before="4" w:after="0" w:line="360"/>
        <w:ind w:right="106"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 lembrar também a criação do Observatório Brasil pela Igualdade de Gênero pela Secretaria Especial de Políticas Públicas para as Mulheres, cujo monitoramento se dá em  torno de cinco eixos: Indicadores, Políticas Públicas, Legislação e Legislativo; Comunicação  e Mídia; 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Internacional.</w:t>
      </w:r>
    </w:p>
    <w:p>
      <w:pPr>
        <w:spacing w:before="4"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em 2010, podemos enfatizar o retorno da violência contra a mulher, um tema que esteve muito presente nos anos 80 e que está sendo retratado fortemente pelos meios de comunicação de massa, principalmente, na tevê e no jornal. Essa problemática nos chama a atenção por sua natureza e formas brutais em que a mulher é submetida.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0" w:left="118"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artigo tem como objetivo evidenciar as lutas das mulheres pela igualdade de gênero, respeito e cidadania. Lutas que já foram consolidadas e outras que ainda precisam vencer barreiras e preconceitos na contemporaneidade. O papel dessa nova mulher, enquanto sujeito- transformador desse processo, é de extrema importância para que novos espaços sejam garantidos e sua voz possa ser ouvida em todos os setores de nossa sociedade.</w:t>
      </w:r>
    </w:p>
    <w:p>
      <w:pPr>
        <w:spacing w:before="148" w:after="0" w:line="240"/>
        <w:ind w:right="0" w:left="118"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Análise de textos científicos produzidos por autores que percorreram a temática, tendo em vista os assuntos abordados: feminismo no Brasil, igualdade de gênero, desafio e novo papel da mulher na sociedade contemporânea. O recorte baseou-se nos estudos dos seguintes pesquisadores: Céli Regina Pinto (2003), Claricia Otto (2004) e Cynthia Sarti (1988). </w:t>
      </w:r>
    </w:p>
    <w:p>
      <w:pPr>
        <w:spacing w:before="0"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para fins ilustrativos, optou-se também pela seleção de matérias relacionadas à temática, publicadas no jornal Correio Braziliense (mídia impressa local), durante o mês de julho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0" w:left="118"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Consolidação do Feminismo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Dando continuidade ao processo de inserção feminina, podemos dizer que o terceiro milênio é marcado pela volta de um feminismo “bem-comportado” (Pinto, 2010), característica que pertenceu ao primeiro momento do movimento, de atuação mais branda, como já vimos. Isso devido ao reconhecimento do Estado já que, o feminismo passou a ser legitimado e incorporado em suas ações por meio de políticas públicas direcionadas.</w:t>
      </w:r>
    </w:p>
    <w:p>
      <w:pPr>
        <w:spacing w:before="4" w:after="0" w:line="360"/>
        <w:ind w:right="108"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lutas sociais e de caráter ideológico, defendidas pelas mulheres durante o feminismo “mal-comportado” (Pinto, 2010), correspondendo ao segundo momento, de traço mais agressivo, perderam força com o final do Regime Ditatorial. Os interesses sociais foram alinhados frente à possibilidade de instauração da Democracia: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6" w:left="137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processo, o feminismo institucionalizou-se, sobretudo através da participação no aparelho de Estado, o que traduziu seu reconhecimento, sua legitimidade e significou um canal de pressão efetivo sobre as decisões. Mas correspondeu também à sua perda de terreno enquanto movimento social, à nível de sociedade civil.” (Sarti, 1988: p. 47).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0"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 “perda de terreno”, apontada por Sarti (1988), o movimento ganhou projeção nacional, pois, questões da causa feminina passaram a fazer parte da pauta no Congresso Nacional, sendo incorporadas na Constituição de 88, tais como: melhor condição salarial, licença maternidade, creche entre outros direitos de igualdade junto ao código</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civil.</w:t>
      </w:r>
    </w:p>
    <w:p>
      <w:pPr>
        <w:spacing w:before="4"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a desigualdade entre os sexos foi reconhecida, oficialmente, em 1985, com  a criação do Conselho Nacional dos Direitos da Mulher (CNDM). O ato foi concretizado na Nova República pelo, então, presidente José Sarney, eleito por voto indireto. Sarney era vice de Tancredo Neves, que não chegou a tomar posse da Presidência da República, pois, falecera antes:</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chamada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Nova</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República,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instituiu</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ainda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pelo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voto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indireto,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teve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seu primeiro presidente um civil, José Sarney, o vice de Tancredo, pondo fim a 21 anos de governos militares.” (Sarti, 1988: p. 46).</w:t>
      </w:r>
    </w:p>
    <w:p>
      <w:pPr>
        <w:spacing w:before="4"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Nova República se fortaleceu desde o ano de 1984, com o movimento das Diretas- Já, que apesar de não ter sido aprovado pelo Congresso, foi considerado um grande marco de união e mobilização da população brasileira frente ao poder ditatorial.</w:t>
      </w:r>
    </w:p>
    <w:p>
      <w:pPr>
        <w:spacing w:before="4"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contexto de transição, a abertura do CNDM representou um importante avanço ao reconhecimento da atuação feminina no país e no mundo, especialmente, quanto à garantia de seus direitos: “O País começa, assim, a dar os primeiros passos, a nível federal, no sentido de uma política global que garanta às mulheres a plena cidadania dentro de uma estratégia global de construção de uma democracia.” (Sarti, 1988: p. 46).</w:t>
      </w:r>
    </w:p>
    <w:p>
      <w:pPr>
        <w:spacing w:before="6" w:after="0" w:line="360"/>
        <w:ind w:right="109"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mesmo período, também foram criadas as Delegacias de Defesa da Mulher  (DDM), passando a ser mais um instrumento contra a violência doméstica e demais tipos de abusos sofridos pelas mulheres já que, as agressões físicas e traumas psicológicos causados pelo parceiro, pertenciam à esfera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privada.</w:t>
      </w:r>
    </w:p>
    <w:p>
      <w:pPr>
        <w:spacing w:before="6"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à participação das mulheres na Política, destaque às Eleições de 1986 cuja presença feminina se fez maciça à composição de uma bancada política, com o objetivo de elaborar a Constituição de 88. Pela primeira vez, o Congresso Nacional foi ocupado por mulheres eleitas a deputadas, filiadas a vários partidos, entre eles: PDS, PFL, PMDB e PT, caracterizando a diversidade partidária e diferentes</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interesses: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6" w:left="137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Constituinte revela uma face nova: a presença de uma bancada feminina: 26 mulheres obtiveram uma expressiva votação entre os 559 eleitos para elaborar a nova Constituição. O fato é historicamente inédito. Em 1933, Carlota Pereira de Queiroz era a única deputada a integrar a Constituinte e, na de 1946, nenhuma mulher foi eleita. O quadro aparentemente pouco significativo de se deter 5%  das cadeiras do Congresso assume outra dimensão quando se atenta para o fato de que as mulheres constituintes eleitas em 1986 superaram o número total de mulheres que passaram pelo congresso, com mandato próprio, em toda a história da República.” (Sarti, 1988: p.</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9"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a primeira grande inclusão das mulheres nos anos 80, podemos observar que a década seguinte teve como característica a institucionalização do movimento.</w:t>
      </w:r>
    </w:p>
    <w:p>
      <w:pPr>
        <w:spacing w:before="4"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nos anos 90 que o feminismo é abraçado pelo Estado e por demais organizações civis.  Essas iniciativas deram continuidade ao tema, pondo em debate diversos assuntos,  </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tais como: a luta pela igualdade de gênero, em especial, a entrada da mulher no mercado de trabalho, seus direitos enquanto cidadã, sua integridade física frente à dominação masculina e demais formas de discriminação de gênero.</w:t>
      </w:r>
    </w:p>
    <w:p>
      <w:pPr>
        <w:spacing w:before="4" w:after="0" w:line="360"/>
        <w:ind w:right="110"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Otto (2004), é neste período que a autora Céli Pinto (como já vimos) analisa a transformação do movimento, apontando-o para novos caminhos e interesses distintos: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5" w:left="137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“Céli Pinto (...) Sinaliza dois cenários importantes para a identificação das novas formas que o pensamento e o movimento feminista tomaram: o primeiro, refere- se à dissociação entre o pensamento feminista e o movimento; o segundo, à profissionalização do movimento por meio do aparecimento de um grande número de ONGs, a mais pública expressão do feminismo na virada do século.” (Otto, 2004: p. 240).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em 2001, na entrada do século XXI, podemos verificar que o movimento  incorporou uma dimensão intelectualizada, sendo repercutido nacional e internacionalmente. Pesquisas sobre a questão de gênero, bem como estudos interdisciplinares acerca da temática passaram a considerar fatores relacionados ao sustento e modo de vida dessas mulheres, tais como: econômico, jurídico, biológico entre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outros.</w:t>
      </w:r>
    </w:p>
    <w:p>
      <w:pPr>
        <w:spacing w:before="6"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Destaque, aqui, para o ano 2003 cujas Secretarias Especiais foram criadas durante o governo do presidente Luiz Inácio Lula da Silva. Essas secretarias possuem funções específicas e são de caráter nacional, respondendo demandas imediatas à Presidência da República. Ao todo, são quatro secretarias: Secretaria Especial de Aqüicultura e Pesca; Secretaria Especial de Políticas de Promoção da Igualdade Racial; Secretaria Especial de Políticas para as Mulheres; Secretaria Especial dos Direitos Humanos.</w:t>
      </w:r>
    </w:p>
    <w:p>
      <w:pPr>
        <w:spacing w:before="0" w:after="0" w:line="280"/>
        <w:ind w:right="0" w:left="118" w:firstLine="708"/>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A Secretaria Especial de  Políticas para as Mulheres (SPM)</w:t>
      </w:r>
      <w:r>
        <w:rPr>
          <w:rFonts w:ascii="Times New Roman" w:hAnsi="Times New Roman" w:cs="Times New Roman" w:eastAsia="Times New Roman"/>
          <w:color w:val="auto"/>
          <w:spacing w:val="0"/>
          <w:position w:val="11"/>
          <w:sz w:val="16"/>
          <w:shd w:fill="auto" w:val="clear"/>
        </w:rPr>
        <w:t xml:space="preserve">3  </w:t>
      </w:r>
      <w:r>
        <w:rPr>
          <w:rFonts w:ascii="Times New Roman" w:hAnsi="Times New Roman" w:cs="Times New Roman" w:eastAsia="Times New Roman"/>
          <w:color w:val="auto"/>
          <w:spacing w:val="0"/>
          <w:position w:val="11"/>
          <w:sz w:val="24"/>
          <w:shd w:fill="auto" w:val="clear"/>
        </w:rPr>
        <w:t xml:space="preserve">está voltada  a    qualquer</w:t>
      </w:r>
    </w:p>
    <w:p>
      <w:pPr>
        <w:spacing w:before="139" w:after="0" w:line="360"/>
        <w:ind w:right="107"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tipo de promoção à igualdade de gênero cujas competências, resumidamente, são: formulação de políticas públicas voltadas às mulheres, acompanhamento de legislações e ações públicas para o cumprimento das mesmas, planejamento nacional e campanhas educacionais contra a discriminação da mulher e cooperação com organizações internacionais, fomentando o conhecimento e a troca de informação.</w:t>
      </w:r>
    </w:p>
    <w:p>
      <w:pPr>
        <w:spacing w:before="0" w:after="0" w:line="280"/>
        <w:ind w:right="0" w:left="118" w:firstLine="708"/>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Em 2006, outro importante avanço foi alcançado: a criação da Lei Maria da Penha</w:t>
      </w:r>
      <w:r>
        <w:rPr>
          <w:rFonts w:ascii="Times New Roman" w:hAnsi="Times New Roman" w:cs="Times New Roman" w:eastAsia="Times New Roman"/>
          <w:color w:val="auto"/>
          <w:spacing w:val="0"/>
          <w:position w:val="11"/>
          <w:sz w:val="16"/>
          <w:shd w:fill="auto" w:val="clear"/>
        </w:rPr>
        <w:t xml:space="preserve">4</w:t>
      </w:r>
      <w:r>
        <w:rPr>
          <w:rFonts w:ascii="Times New Roman" w:hAnsi="Times New Roman" w:cs="Times New Roman" w:eastAsia="Times New Roman"/>
          <w:color w:val="auto"/>
          <w:spacing w:val="0"/>
          <w:position w:val="11"/>
          <w:sz w:val="24"/>
          <w:shd w:fill="auto" w:val="clear"/>
        </w:rPr>
        <w:t xml:space="preserve">,</w:t>
      </w:r>
    </w:p>
    <w:p>
      <w:pPr>
        <w:spacing w:before="139" w:after="0" w:line="240"/>
        <w:ind w:right="0"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foi baseada na Convenção Interamericana para prevenir, punir e erradicar a violência</w:t>
      </w:r>
    </w:p>
    <w:p>
      <w:pPr>
        <w:spacing w:before="139" w:after="0" w:line="240"/>
        <w:ind w:right="0" w:left="118" w:firstLine="0"/>
        <w:jc w:val="both"/>
        <w:rPr>
          <w:rFonts w:ascii="Times New Roman" w:hAnsi="Times New Roman" w:cs="Times New Roman" w:eastAsia="Times New Roman"/>
          <w:color w:val="auto"/>
          <w:spacing w:val="0"/>
          <w:position w:val="0"/>
          <w:sz w:val="24"/>
          <w:shd w:fill="auto" w:val="clear"/>
        </w:rPr>
      </w:pPr>
    </w:p>
    <w:p>
      <w:pPr>
        <w:spacing w:before="139" w:after="0" w:line="240"/>
        <w:ind w:right="0" w:left="118" w:firstLine="0"/>
        <w:jc w:val="both"/>
        <w:rPr>
          <w:rFonts w:ascii="Times New Roman" w:hAnsi="Times New Roman" w:cs="Times New Roman" w:eastAsia="Times New Roman"/>
          <w:color w:val="auto"/>
          <w:spacing w:val="0"/>
          <w:position w:val="0"/>
          <w:sz w:val="24"/>
          <w:shd w:fill="auto" w:val="clear"/>
        </w:rPr>
      </w:pPr>
    </w:p>
    <w:p>
      <w:pPr>
        <w:spacing w:before="139" w:after="0" w:line="240"/>
        <w:ind w:right="0" w:left="118" w:firstLine="0"/>
        <w:jc w:val="both"/>
        <w:rPr>
          <w:rFonts w:ascii="Times New Roman" w:hAnsi="Times New Roman" w:cs="Times New Roman" w:eastAsia="Times New Roman"/>
          <w:color w:val="auto"/>
          <w:spacing w:val="0"/>
          <w:position w:val="0"/>
          <w:sz w:val="24"/>
          <w:shd w:fill="auto" w:val="clear"/>
        </w:rPr>
      </w:pPr>
    </w:p>
    <w:p>
      <w:pPr>
        <w:spacing w:before="139" w:after="0" w:line="240"/>
        <w:ind w:right="0" w:left="118" w:firstLine="0"/>
        <w:jc w:val="both"/>
        <w:rPr>
          <w:rFonts w:ascii="Times New Roman" w:hAnsi="Times New Roman" w:cs="Times New Roman" w:eastAsia="Times New Roman"/>
          <w:color w:val="auto"/>
          <w:spacing w:val="0"/>
          <w:position w:val="0"/>
          <w:sz w:val="24"/>
          <w:shd w:fill="auto" w:val="clear"/>
        </w:rPr>
      </w:pPr>
    </w:p>
    <w:p>
      <w:pPr>
        <w:spacing w:before="139" w:after="0" w:line="240"/>
        <w:ind w:right="0" w:left="118" w:firstLine="0"/>
        <w:jc w:val="both"/>
        <w:rPr>
          <w:rFonts w:ascii="Times New Roman" w:hAnsi="Times New Roman" w:cs="Times New Roman" w:eastAsia="Times New Roman"/>
          <w:color w:val="auto"/>
          <w:spacing w:val="0"/>
          <w:position w:val="0"/>
          <w:sz w:val="24"/>
          <w:shd w:fill="auto" w:val="clear"/>
        </w:rPr>
      </w:pPr>
    </w:p>
    <w:p>
      <w:pPr>
        <w:spacing w:before="139" w:after="0" w:line="240"/>
        <w:ind w:right="0" w:left="118"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0" w:after="0" w:line="243"/>
        <w:ind w:right="110" w:left="11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9"/>
          <w:sz w:val="13"/>
          <w:shd w:fill="auto" w:val="clear"/>
        </w:rPr>
        <w:t xml:space="preserve">3 </w:t>
      </w:r>
      <w:r>
        <w:rPr>
          <w:rFonts w:ascii="Times New Roman" w:hAnsi="Times New Roman" w:cs="Times New Roman" w:eastAsia="Times New Roman"/>
          <w:color w:val="auto"/>
          <w:spacing w:val="0"/>
          <w:position w:val="9"/>
          <w:sz w:val="20"/>
          <w:shd w:fill="auto" w:val="clear"/>
        </w:rPr>
        <w:t xml:space="preserve">Fonte: </w:t>
      </w:r>
      <w:hyperlink xmlns:r="http://schemas.openxmlformats.org/officeDocument/2006/relationships" r:id="docRId32">
        <w:r>
          <w:rPr>
            <w:rFonts w:ascii="Times New Roman" w:hAnsi="Times New Roman" w:cs="Times New Roman" w:eastAsia="Times New Roman"/>
            <w:color w:val="0000FF"/>
            <w:spacing w:val="0"/>
            <w:position w:val="9"/>
            <w:sz w:val="20"/>
            <w:u w:val="single"/>
            <w:shd w:fill="auto" w:val="clear"/>
          </w:rPr>
          <w:t xml:space="preserve">http://www.sepm.gov.br/sobre</w:t>
        </w:r>
      </w:hyperlink>
    </w:p>
    <w:p>
      <w:pPr>
        <w:spacing w:before="0" w:after="0" w:line="243"/>
        <w:ind w:right="110"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4 </w:t>
      </w:r>
      <w:r>
        <w:rPr>
          <w:rFonts w:ascii="Times New Roman" w:hAnsi="Times New Roman" w:cs="Times New Roman" w:eastAsia="Times New Roman"/>
          <w:color w:val="auto"/>
          <w:spacing w:val="0"/>
          <w:position w:val="9"/>
          <w:sz w:val="20"/>
          <w:shd w:fill="auto" w:val="clear"/>
        </w:rPr>
        <w:t xml:space="preserve">Lei 11.340, sancionada em 7 de agosto de 2006.</w:t>
      </w:r>
    </w:p>
    <w:p>
      <w:pPr>
        <w:spacing w:before="0" w:after="0" w:line="243"/>
        <w:ind w:right="0" w:left="0" w:firstLine="0"/>
        <w:jc w:val="left"/>
        <w:rPr>
          <w:rFonts w:ascii="Times New Roman" w:hAnsi="Times New Roman" w:cs="Times New Roman" w:eastAsia="Times New Roman"/>
          <w:color w:val="auto"/>
          <w:spacing w:val="0"/>
          <w:position w:val="0"/>
          <w:sz w:val="20"/>
          <w:shd w:fill="auto" w:val="clear"/>
        </w:rPr>
      </w:pPr>
    </w:p>
    <w:p>
      <w:pPr>
        <w:spacing w:before="52" w:after="0" w:line="360"/>
        <w:ind w:right="108"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contra a mulher e de outros tratados internacionais firmados no período, tendo como finalidade a coibição de crimes domésticos contra a mulher, praticados por seus parceiros, principalmente, envolvendo casos de violência no ambiente familiar e demais formas de discriminação de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gênero.</w:t>
      </w:r>
    </w:p>
    <w:p>
      <w:pPr>
        <w:spacing w:before="6"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lei também prevê a criação de juizados especiais que cuidem diretamente do tema, são os Juizados de Violência Doméstica e Familiar Contra a Mulher. E ainda, conta alteração no Código Penal, bem como na Lei de Execução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Penal.</w:t>
      </w:r>
    </w:p>
    <w:p>
      <w:pPr>
        <w:spacing w:before="4" w:after="0" w:line="360"/>
        <w:ind w:right="110"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Desses anos para cá (até o ano 2010), houve um aumento de parcerias e acordos internacionais num esforço coletivo de se compreender, de forma mais abrangente, as relações de gênero e suas raízes tanto no contexto nacional quanto internacional.</w:t>
      </w:r>
    </w:p>
    <w:p>
      <w:pPr>
        <w:spacing w:before="6" w:after="0" w:line="360"/>
        <w:ind w:right="109"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Brasil participa, efetivamente, da cooperação entre os países da América Latina e Caribe. Trata-se da produção de um grande banco de dados, reunindo informações diversas, entre elas: gênero, pobreza, trabalho, dependência, rendimento entre outros. O objetivo é ter um panorama da situação de gênero e de fatores que influenciam diretamente sobre ele.</w:t>
      </w:r>
    </w:p>
    <w:p>
      <w:pPr>
        <w:spacing w:before="6" w:after="0" w:line="360"/>
        <w:ind w:right="106"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Dentre as instituições de estudo, destacam-se: CEPAL (Comissão Econômica para a América Latina e Caribe), INSTRAW (Instituto Internacional de Investigações e Capacitação das Nações Unidas para Promoção da Mulher), UNIFEM (Fundo de Desenvolvimento das Nações Unidas para a Mulher), UNFPA (Fundo de Populações das Nações Unidas), OPS (Organização Pan-americana da Saúde), PNUD (Programa de las Naciones Unidas para el Desarollo), AECID (Agência Espanhola de Cooperação Internacional para o Desenvolvimento) e SEGIB (Secretaria Geral Ibero-americana).</w:t>
      </w:r>
    </w:p>
    <w:p>
      <w:pPr>
        <w:spacing w:before="0" w:after="0" w:line="280"/>
        <w:ind w:right="0" w:left="118" w:firstLine="708"/>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Ressaltamos, aqui, o documento </w:t>
      </w:r>
      <w:r>
        <w:rPr>
          <w:rFonts w:ascii="Times New Roman" w:hAnsi="Times New Roman" w:cs="Times New Roman" w:eastAsia="Times New Roman"/>
          <w:i/>
          <w:color w:val="auto"/>
          <w:spacing w:val="0"/>
          <w:position w:val="0"/>
          <w:sz w:val="24"/>
          <w:shd w:fill="auto" w:val="clear"/>
        </w:rPr>
        <w:t xml:space="preserve">Que tipo de Estado Que tipo de igualdade?</w:t>
      </w:r>
      <w:r>
        <w:rPr>
          <w:rFonts w:ascii="Times New Roman" w:hAnsi="Times New Roman" w:cs="Times New Roman" w:eastAsia="Times New Roman"/>
          <w:color w:val="auto"/>
          <w:spacing w:val="0"/>
          <w:position w:val="11"/>
          <w:sz w:val="16"/>
          <w:shd w:fill="auto" w:val="clear"/>
        </w:rPr>
        <w:t xml:space="preserve">5</w:t>
      </w:r>
      <w:r>
        <w:rPr>
          <w:rFonts w:ascii="Times New Roman" w:hAnsi="Times New Roman" w:cs="Times New Roman" w:eastAsia="Times New Roman"/>
          <w:color w:val="auto"/>
          <w:spacing w:val="0"/>
          <w:position w:val="11"/>
          <w:sz w:val="24"/>
          <w:shd w:fill="auto" w:val="clear"/>
        </w:rPr>
        <w:t xml:space="preserve">, cujo</w:t>
      </w:r>
    </w:p>
    <w:p>
      <w:pPr>
        <w:spacing w:before="139" w:after="0" w:line="360"/>
        <w:ind w:right="108"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conteúdo revela que a mulher enfrenta problemas quanto à sua autonomia econômica, ou seja, o controle dos bens materiais, o acesso ao conhecimento e a decisão sobre a renda familiar. E ainda, implica também em ultrapassar barreiras quanto à sua autonomia física, quer dizer, o direito íntegro sobre seu corpo, sua sexualidade e reprodução.</w:t>
      </w:r>
    </w:p>
    <w:p>
      <w:pPr>
        <w:spacing w:before="4"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documento foi produzido pela CEPAL, juntamente com essas instituições, e com o Observatório Brasil pela Igualdade de Gênero (instituição de monitoramento de pesquisas, pertencente à SPM). O estudo mostrou-se relevante porque traz a desigualdade de gênero sob duas perspectivas: uma, ligada à base econômica, sustentada na divisão do trabalho remunerado e não-remunerado. As mulheres acabam realizando tarefas de baixa ou nenhuma remuneração, sem reconhecimento de seus trabalhos. E outra, de base social cujos valores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50" w:after="0" w:line="240"/>
        <w:ind w:right="110" w:left="11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9"/>
          <w:sz w:val="13"/>
          <w:shd w:fill="auto" w:val="clear"/>
        </w:rPr>
        <w:t xml:space="preserve">5 </w:t>
      </w:r>
      <w:r>
        <w:rPr>
          <w:rFonts w:ascii="Times New Roman" w:hAnsi="Times New Roman" w:cs="Times New Roman" w:eastAsia="Times New Roman"/>
          <w:color w:val="auto"/>
          <w:spacing w:val="0"/>
          <w:position w:val="9"/>
          <w:sz w:val="20"/>
          <w:shd w:fill="auto" w:val="clear"/>
        </w:rPr>
        <w:t xml:space="preserve">Fonte: </w:t>
      </w:r>
      <w:hyperlink xmlns:r="http://schemas.openxmlformats.org/officeDocument/2006/relationships" r:id="docRId33">
        <w:r>
          <w:rPr>
            <w:rFonts w:ascii="Times New Roman" w:hAnsi="Times New Roman" w:cs="Times New Roman" w:eastAsia="Times New Roman"/>
            <w:color w:val="0000FF"/>
            <w:spacing w:val="0"/>
            <w:position w:val="9"/>
            <w:sz w:val="20"/>
            <w:u w:val="single"/>
            <w:shd w:fill="auto" w:val="clear"/>
          </w:rPr>
          <w:t xml:space="preserve">http://www.eclac.cl/publicaciones/xml/9/40129/Que_Estado_Que_igualdade.pdf</w:t>
        </w:r>
      </w:hyperlink>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2" w:after="0" w:line="345"/>
        <w:ind w:right="107" w:left="118" w:firstLine="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atribuídos à mulher devem ser repensados para que sua (re)inserção na sociedade possa ser igual às condições masculinas. “Queremos quebrar o paradigma de que a mulher é a  cuidadora e o homem, o provedor” - afirmou Nilcéa Freire</w:t>
      </w:r>
      <w:r>
        <w:rPr>
          <w:rFonts w:ascii="Times New Roman" w:hAnsi="Times New Roman" w:cs="Times New Roman" w:eastAsia="Times New Roman"/>
          <w:color w:val="auto"/>
          <w:spacing w:val="0"/>
          <w:position w:val="11"/>
          <w:sz w:val="16"/>
          <w:shd w:fill="auto" w:val="clear"/>
        </w:rPr>
        <w:t xml:space="preserve">6</w:t>
      </w:r>
      <w:r>
        <w:rPr>
          <w:rFonts w:ascii="Times New Roman" w:hAnsi="Times New Roman" w:cs="Times New Roman" w:eastAsia="Times New Roman"/>
          <w:color w:val="auto"/>
          <w:spacing w:val="0"/>
          <w:position w:val="11"/>
          <w:sz w:val="24"/>
          <w:shd w:fill="auto" w:val="clear"/>
        </w:rPr>
        <w:t xml:space="preserve">, ministra da</w:t>
      </w:r>
      <w:r>
        <w:rPr>
          <w:rFonts w:ascii="Times New Roman" w:hAnsi="Times New Roman" w:cs="Times New Roman" w:eastAsia="Times New Roman"/>
          <w:color w:val="auto"/>
          <w:spacing w:val="-15"/>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SPM.</w:t>
      </w:r>
    </w:p>
    <w:p>
      <w:pPr>
        <w:spacing w:before="8" w:after="0" w:line="240"/>
        <w:ind w:right="0" w:left="0" w:firstLine="0"/>
        <w:jc w:val="left"/>
        <w:rPr>
          <w:rFonts w:ascii="Times New Roman" w:hAnsi="Times New Roman" w:cs="Times New Roman" w:eastAsia="Times New Roman"/>
          <w:color w:val="auto"/>
          <w:spacing w:val="0"/>
          <w:position w:val="0"/>
          <w:sz w:val="36"/>
          <w:shd w:fill="auto" w:val="clear"/>
        </w:rPr>
      </w:pPr>
    </w:p>
    <w:p>
      <w:pPr>
        <w:spacing w:before="1" w:after="0" w:line="240"/>
        <w:ind w:right="0" w:left="118"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Desafio Continua...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0"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do percurso realizado até aqui, fizemos um breve passeio pelas principais conquistas do feminismo. No entanto, é necessário que se faça uma ressalva quanto ao avanço do mesmo ao terceiro milênio. Nessa fase, o movimento apresenta-se espalhado e agrupado em pequenas causas (interesses diversos).</w:t>
      </w:r>
    </w:p>
    <w:p>
      <w:pPr>
        <w:spacing w:before="6"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À medida que o feminismo foi sendo incorporado pelo Estado, ele foi ganhando também uma dimensão profissional. E é, justamente, aí que o Estado torna-se essencial para sua continuação já que, converte esses interesses para um bem-comum ou uma causa maior: o bem-estar social feminino.</w:t>
      </w:r>
    </w:p>
    <w:p>
      <w:pPr>
        <w:spacing w:before="6" w:after="0" w:line="360"/>
        <w:ind w:right="107"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Fica evidente que um dos caminhos possíveis para que o feminismo avance, dentro de um viés contemplado pela cidadania cujos direitos e deveres de cada cidadão é ordenado pelo Estado, é por meio de sua representatividade na Política, pois, neste campo encontram-se mecanismos à formação de legislação e políticas públicas específicas.</w:t>
      </w:r>
    </w:p>
    <w:p>
      <w:pPr>
        <w:spacing w:before="6"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a política de gênero carece de atenção, tendo em sua base pouca representação feminina para atuar no Executivo, Legislativo e Judiciário. Tal quadro faz parte de um estudo elaborado pela CEPAL e entidades parceiras, indicando a baixa participação feminina no parlamento de várias regiões do mundo. “O Brasil foi um dos países pioneiros em relação à institucionalidade da equidade entre homens e mulheres, mas é    preciso aumentar o</w:t>
      </w:r>
    </w:p>
    <w:p>
      <w:pPr>
        <w:spacing w:before="0" w:after="0" w:line="280"/>
        <w:ind w:right="0" w:left="118" w:firstLine="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tema na política” - avaliou Alicia Bárcena</w:t>
      </w:r>
      <w:r>
        <w:rPr>
          <w:rFonts w:ascii="Times New Roman" w:hAnsi="Times New Roman" w:cs="Times New Roman" w:eastAsia="Times New Roman"/>
          <w:color w:val="auto"/>
          <w:spacing w:val="0"/>
          <w:position w:val="11"/>
          <w:sz w:val="16"/>
          <w:shd w:fill="auto" w:val="clear"/>
        </w:rPr>
        <w:t xml:space="preserve">7</w:t>
      </w:r>
      <w:r>
        <w:rPr>
          <w:rFonts w:ascii="Times New Roman" w:hAnsi="Times New Roman" w:cs="Times New Roman" w:eastAsia="Times New Roman"/>
          <w:color w:val="auto"/>
          <w:spacing w:val="0"/>
          <w:position w:val="11"/>
          <w:sz w:val="24"/>
          <w:shd w:fill="auto" w:val="clear"/>
        </w:rPr>
        <w:t xml:space="preserve">, secretária executiva da CEPAL.</w:t>
      </w:r>
    </w:p>
    <w:p>
      <w:pPr>
        <w:spacing w:before="137" w:after="0" w:line="360"/>
        <w:ind w:right="106"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o mesmo estudo, que também foi publicado pelo jornal Correio Braziliense, países como Cuba, Argentina e Costa Rica lideram o ranking com maior número em percentual de mulheres atuantes no Estado, em especial, no Legislativo. E, possuem, respectivamente, 43%, 40% e 37% de participação feminina em seus governos. O Brasil conta com apenas com 9% dessa participação e está abaixo da média quando comparado a outros países. Vejamos a seguinte tabela: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0" w:after="0" w:line="243"/>
        <w:ind w:right="110"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6 </w:t>
      </w:r>
      <w:r>
        <w:rPr>
          <w:rFonts w:ascii="Times New Roman" w:hAnsi="Times New Roman" w:cs="Times New Roman" w:eastAsia="Times New Roman"/>
          <w:color w:val="auto"/>
          <w:spacing w:val="0"/>
          <w:position w:val="9"/>
          <w:sz w:val="20"/>
          <w:shd w:fill="auto" w:val="clear"/>
        </w:rPr>
        <w:t xml:space="preserve">Declaração publicada pelo jornal Correio Braziliense. Brasil, p. 10. Brasília, quarta-feira, 14 de julho de 2010.</w:t>
      </w:r>
    </w:p>
    <w:p>
      <w:pPr>
        <w:spacing w:before="0" w:after="0" w:line="243"/>
        <w:ind w:right="110"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7 </w:t>
      </w:r>
      <w:r>
        <w:rPr>
          <w:rFonts w:ascii="Times New Roman" w:hAnsi="Times New Roman" w:cs="Times New Roman" w:eastAsia="Times New Roman"/>
          <w:color w:val="auto"/>
          <w:spacing w:val="0"/>
          <w:position w:val="9"/>
          <w:sz w:val="20"/>
          <w:shd w:fill="auto" w:val="clear"/>
        </w:rPr>
        <w:t xml:space="preserve">Declaração publicada pelo jornal Correio Braziliense. Brasil, p. 10. Brasília, quarta-feira, 14 de julho de 2010.</w:t>
      </w:r>
    </w:p>
    <w:p>
      <w:pPr>
        <w:spacing w:before="0" w:after="0" w:line="243"/>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3"/>
          <w:shd w:fill="auto" w:val="clear"/>
        </w:rPr>
      </w:pPr>
    </w:p>
    <w:p>
      <w:pPr>
        <w:spacing w:before="74" w:after="0" w:line="240"/>
        <w:ind w:right="110" w:left="118" w:firstLine="0"/>
        <w:jc w:val="left"/>
        <w:rPr>
          <w:rFonts w:ascii="Times New Roman" w:hAnsi="Times New Roman" w:cs="Times New Roman" w:eastAsia="Times New Roman"/>
          <w:color w:val="auto"/>
          <w:spacing w:val="0"/>
          <w:position w:val="0"/>
          <w:sz w:val="20"/>
          <w:shd w:fill="auto" w:val="clear"/>
        </w:rPr>
      </w:pPr>
      <w:r>
        <w:object w:dxaOrig="2198" w:dyaOrig="9314">
          <v:rect xmlns:o="urn:schemas-microsoft-com:office:office" xmlns:v="urn:schemas-microsoft-com:vml" id="rectole0000000012" style="width:109.900000pt;height:465.7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2" ShapeID="rectole0000000012" r:id="docRId34"/>
        </w:object>
      </w:r>
      <w:r>
        <w:rPr>
          <w:rFonts w:ascii="Times New Roman" w:hAnsi="Times New Roman" w:cs="Times New Roman" w:eastAsia="Times New Roman"/>
          <w:color w:val="auto"/>
          <w:spacing w:val="0"/>
          <w:position w:val="0"/>
          <w:sz w:val="20"/>
          <w:shd w:fill="auto" w:val="clear"/>
        </w:rPr>
        <w:t xml:space="preserve">Figura 2</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coisa é certa: precisamos mudar essa realidade. Afinal, a não-inserção da mulher na política deve-se a quê? O feminismo já não se faz com armas ou lutas ideológicas dos tempos ditatoriais e sim, pela legitimidade de sua luta na composição de uma bancada no Congresso Nacional. Isso porque o regime democrático impõe outra dinâmica, a da representação através do voto popular.</w:t>
      </w:r>
    </w:p>
    <w:p>
      <w:pPr>
        <w:spacing w:before="4" w:after="0" w:line="360"/>
        <w:ind w:right="109"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a participação das mulheres junto aos partidos políticos, enquanto candidatas a cargos eleitorais, faz-se necessária. Em 2009, o presidente Luiz Inácio Lula da</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2" w:after="0" w:line="360"/>
        <w:ind w:right="107"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sancionou a Lei 12.034, visando à criação de normas e condutas dos partidos políticos à eleição. Esta lei substitui as leis dos partidos políticos de 1995, das normas às eleições de  1997 e também do código eleitoral de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1965.</w:t>
      </w:r>
    </w:p>
    <w:p>
      <w:pPr>
        <w:spacing w:before="4"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Dentre outros pontos, a nova lei estabelece o ingresso das mulheres aos partidos políticos e o não-cumprimento da mesma poderá penalizar os mesmos. A cota de mulheres foi uma iniciativa à promoção da participação feminina na Política.</w:t>
      </w:r>
    </w:p>
    <w:p>
      <w:pPr>
        <w:spacing w:before="6" w:after="0" w:line="350"/>
        <w:ind w:right="108" w:left="118" w:firstLine="708"/>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Todavia, o recrutamento de mulheres não parece ser tarefa fácil, pelo menos por enquanto: “Se não existe a quantidade de mulheres filiadas ao partido, nós não podemos impedir o partido de disputar as eleições” – pondera Luiz Carlos Santini</w:t>
      </w:r>
      <w:r>
        <w:rPr>
          <w:rFonts w:ascii="Times New Roman" w:hAnsi="Times New Roman" w:cs="Times New Roman" w:eastAsia="Times New Roman"/>
          <w:color w:val="auto"/>
          <w:spacing w:val="0"/>
          <w:position w:val="11"/>
          <w:sz w:val="16"/>
          <w:shd w:fill="auto" w:val="clear"/>
        </w:rPr>
        <w:t xml:space="preserve">8</w:t>
      </w:r>
      <w:r>
        <w:rPr>
          <w:rFonts w:ascii="Times New Roman" w:hAnsi="Times New Roman" w:cs="Times New Roman" w:eastAsia="Times New Roman"/>
          <w:color w:val="auto"/>
          <w:spacing w:val="0"/>
          <w:position w:val="11"/>
          <w:sz w:val="24"/>
          <w:shd w:fill="auto" w:val="clear"/>
        </w:rPr>
        <w:t xml:space="preserve">, desembargador do colégio de presidentes dos Tribunais Regionais Eleitorais.</w:t>
      </w:r>
    </w:p>
    <w:p>
      <w:pPr>
        <w:spacing w:before="17"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fato, existe um desequilíbrio na relação candidato/gênero. De acordo com um mapeamento nacional, publicado pelo jornal Correio Braziliense, podemos comprovar a diferença quantitativa entre homens e mulheres que se inscreveram para a disputa eleitoral de outubro de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0" w:left="118" w:firstLine="0"/>
        <w:jc w:val="both"/>
        <w:rPr>
          <w:rFonts w:ascii="Times New Roman" w:hAnsi="Times New Roman" w:cs="Times New Roman" w:eastAsia="Times New Roman"/>
          <w:color w:val="auto"/>
          <w:spacing w:val="0"/>
          <w:position w:val="0"/>
          <w:sz w:val="20"/>
          <w:shd w:fill="auto" w:val="clear"/>
        </w:rPr>
      </w:pPr>
      <w:r>
        <w:object w:dxaOrig="5738" w:dyaOrig="2514">
          <v:rect xmlns:o="urn:schemas-microsoft-com:office:office" xmlns:v="urn:schemas-microsoft-com:vml" id="rectole0000000013" style="width:286.900000pt;height:125.7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3" ShapeID="rectole0000000013" r:id="docRId36"/>
        </w:object>
      </w:r>
      <w:r>
        <w:rPr>
          <w:rFonts w:ascii="Times New Roman" w:hAnsi="Times New Roman" w:cs="Times New Roman" w:eastAsia="Times New Roman"/>
          <w:color w:val="auto"/>
          <w:spacing w:val="0"/>
          <w:position w:val="0"/>
          <w:sz w:val="20"/>
          <w:shd w:fill="auto" w:val="clear"/>
        </w:rPr>
        <w:t xml:space="preserve">Figura 3</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por um lado as mulheres entraram na disputa eleitoral para cumprir a legislação em vigor, numa primeira leitura, por outro, a nova lei eleitoral é mais um avanço para que a participação feminina aumente na Política e possibilite a formação de uma nova cultura e, principalmente, de consciência política. Portanto, abre-se, aí, um diálogo substancial para que a política de gênero no Brasil possa ser tratada com responsabilidade.</w:t>
      </w:r>
    </w:p>
    <w:p>
      <w:pPr>
        <w:spacing w:before="4"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 ideal político e intelectual do feminismo, podemos verificar que essas características fizeram parte da segunda fase. Para Pinto (2003), o pensamento filosófico- político estava presente desde o feminismo pós-68, classificado pela autora como </w:t>
      </w:r>
      <w:r>
        <w:rPr>
          <w:rFonts w:ascii="Times New Roman" w:hAnsi="Times New Roman" w:cs="Times New Roman" w:eastAsia="Times New Roman"/>
          <w:i/>
          <w:color w:val="auto"/>
          <w:spacing w:val="0"/>
          <w:position w:val="0"/>
          <w:sz w:val="24"/>
          <w:shd w:fill="auto" w:val="clear"/>
        </w:rPr>
        <w:t xml:space="preserve">malcomportado</w:t>
      </w:r>
      <w:r>
        <w:rPr>
          <w:rFonts w:ascii="Times New Roman" w:hAnsi="Times New Roman" w:cs="Times New Roman" w:eastAsia="Times New Roman"/>
          <w:color w:val="auto"/>
          <w:spacing w:val="0"/>
          <w:position w:val="0"/>
          <w:sz w:val="24"/>
          <w:shd w:fill="auto" w:val="clear"/>
        </w:rPr>
        <w:t xml:space="preserve">: “(...) Céli Pinto preocupa-se com a vertente dos movimentos organizados</w:t>
      </w:r>
    </w:p>
    <w:p>
      <w:pPr>
        <w:spacing w:before="9" w:after="0" w:line="240"/>
        <w:ind w:right="0" w:left="0" w:firstLine="0"/>
        <w:jc w:val="left"/>
        <w:rPr>
          <w:rFonts w:ascii="Times New Roman" w:hAnsi="Times New Roman" w:cs="Times New Roman" w:eastAsia="Times New Roman"/>
          <w:color w:val="auto"/>
          <w:spacing w:val="0"/>
          <w:position w:val="0"/>
          <w:sz w:val="15"/>
          <w:shd w:fill="auto" w:val="clear"/>
        </w:rPr>
      </w:pPr>
    </w:p>
    <w:p>
      <w:pPr>
        <w:spacing w:before="50" w:after="0" w:line="240"/>
        <w:ind w:right="110"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8 </w:t>
      </w:r>
      <w:r>
        <w:rPr>
          <w:rFonts w:ascii="Times New Roman" w:hAnsi="Times New Roman" w:cs="Times New Roman" w:eastAsia="Times New Roman"/>
          <w:color w:val="auto"/>
          <w:spacing w:val="0"/>
          <w:position w:val="9"/>
          <w:sz w:val="20"/>
          <w:shd w:fill="auto" w:val="clear"/>
        </w:rPr>
        <w:t xml:space="preserve">Declaração publicada pelo jornal Correio Braziliense. Política, p. 13. Brasília, domingo, 25 de julho de 2010.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2" w:after="0" w:line="36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vistas à conquista da cidadania – os movimentos feministas. A abordagem diz respeito às mulheres notáveis, as que se destacaram no campo da política.” (Otto, 2004: p. 241).</w:t>
      </w:r>
    </w:p>
    <w:p>
      <w:pPr>
        <w:spacing w:before="6"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cinqüenta anos do movimento, bem como de suas conquistas, é legítimo dizer que houve um afastamento da mulher, não pelo debate ao tema, mas sim, pelo agir sobre o tema, colocando-o à disposição de mecanismos legais e práticas sociais futuras. Também, aqui, ressaltam os interesses que variam de acordo com as classes sociais que cada mulher pertence. E, ainda podemos admitir a existência de preconceitos entre as próprias mulheres, a começar pelo voto.</w:t>
      </w:r>
    </w:p>
    <w:p>
      <w:pPr>
        <w:spacing w:before="6" w:after="0" w:line="350"/>
        <w:ind w:right="106" w:left="118" w:firstLine="708"/>
        <w:jc w:val="both"/>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Segundo Pinto (2010), a partir de pesquisas neste campo, mulher vota menos em mulher e mais em homem: “São muitas as possibilidades de respostas, que transitam do preconceito das mulheres em relação às próprias mulheres na política até a ideia de um voto mais consciente e estudado e não definido muitos meses antes da eleição.”</w:t>
      </w:r>
      <w:r>
        <w:rPr>
          <w:rFonts w:ascii="Times New Roman" w:hAnsi="Times New Roman" w:cs="Times New Roman" w:eastAsia="Times New Roman"/>
          <w:color w:val="auto"/>
          <w:spacing w:val="0"/>
          <w:position w:val="11"/>
          <w:sz w:val="16"/>
          <w:shd w:fill="auto" w:val="clear"/>
        </w:rPr>
        <w:t xml:space="preserve">9</w:t>
      </w:r>
    </w:p>
    <w:p>
      <w:pPr>
        <w:spacing w:before="0"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tipo de preconceito pode ser explicado, na opinião da autora, porque as  candidatas não falam diretamente às mulheres ou de mulher para mulher e sim, de um lugar que não lhes pertence, imitando o padrão masculino, ao falarem como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homens.</w:t>
      </w:r>
    </w:p>
    <w:p>
      <w:pPr>
        <w:spacing w:before="4"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 isto, podemos considerar que essa barreira é algo, primeiro, a ser entendido em seu contexto sócio-cultural e, segundo, ser transformado pelas próprias mulheres, pois, ultrapassar preconceitos implica em avançar as conquistas do feminismo, direcionando-se às condições de igualdade de gênero.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10" w:left="11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e Considerações Finais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refletirmos sobre o feminismo e suas consolidações, devemos ter em mente que o movimento do passado já não é o mesmo do presente. O primeiro, está intrinsecamente ligado à bipolarização ideológica da época (capitalistas x socialistas), apesar de trazer, em sua última fase, um caráter de reconhecimento social à mulher cujo conteúdo se adequa às questões voltadas ao regime democrático (direitos e deveres enquanto cidadãs numa relação de  contrato com o Estado). Nosso modelo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atual.</w:t>
      </w:r>
    </w:p>
    <w:p>
      <w:pPr>
        <w:spacing w:before="4" w:after="0" w:line="360"/>
        <w:ind w:right="106"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segundo, está sendo construído e, portanto, é um campo que está aberto. O movimento do presente não se preocupa mais com direita ou esquerda e sim, com temáticas que ainda são consideradas </w:t>
      </w:r>
      <w:r>
        <w:rPr>
          <w:rFonts w:ascii="Times New Roman" w:hAnsi="Times New Roman" w:cs="Times New Roman" w:eastAsia="Times New Roman"/>
          <w:i/>
          <w:color w:val="auto"/>
          <w:spacing w:val="0"/>
          <w:position w:val="0"/>
          <w:sz w:val="24"/>
          <w:shd w:fill="auto" w:val="clear"/>
        </w:rPr>
        <w:t xml:space="preserve">tabus </w:t>
      </w:r>
      <w:r>
        <w:rPr>
          <w:rFonts w:ascii="Times New Roman" w:hAnsi="Times New Roman" w:cs="Times New Roman" w:eastAsia="Times New Roman"/>
          <w:color w:val="auto"/>
          <w:spacing w:val="0"/>
          <w:position w:val="0"/>
          <w:sz w:val="24"/>
          <w:shd w:fill="auto" w:val="clear"/>
        </w:rPr>
        <w:t xml:space="preserve">e que precisam, no mínimo, de sinalização para sua resolução. Isso deve estar acima de qualquer classificação partidária.</w:t>
      </w:r>
    </w:p>
    <w:p>
      <w:pPr>
        <w:spacing w:before="5"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50" w:after="0" w:line="240"/>
        <w:ind w:right="293" w:left="11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9"/>
          <w:sz w:val="13"/>
          <w:shd w:fill="auto" w:val="clear"/>
        </w:rPr>
        <w:t xml:space="preserve">9 </w:t>
      </w:r>
      <w:r>
        <w:rPr>
          <w:rFonts w:ascii="Times New Roman" w:hAnsi="Times New Roman" w:cs="Times New Roman" w:eastAsia="Times New Roman"/>
          <w:color w:val="auto"/>
          <w:spacing w:val="0"/>
          <w:position w:val="9"/>
          <w:sz w:val="20"/>
          <w:shd w:fill="auto" w:val="clear"/>
        </w:rPr>
        <w:t xml:space="preserve">Fonte: </w:t>
      </w:r>
      <w:hyperlink xmlns:r="http://schemas.openxmlformats.org/officeDocument/2006/relationships" r:id="docRId38">
        <w:r>
          <w:rPr>
            <w:rFonts w:ascii="Times New Roman" w:hAnsi="Times New Roman" w:cs="Times New Roman" w:eastAsia="Times New Roman"/>
            <w:color w:val="0000FF"/>
            <w:spacing w:val="0"/>
            <w:position w:val="9"/>
            <w:sz w:val="20"/>
            <w:u w:val="single"/>
            <w:shd w:fill="auto" w:val="clear"/>
          </w:rPr>
          <w:t xml:space="preserve">http://www.clicrbs.com.br/especial/sc/donnadc/19,381,2894652,Por-que-mulher-nao-vota-em-mulher-</w:t>
        </w:r>
      </w:hyperlink>
      <w:r>
        <w:rPr>
          <w:rFonts w:ascii="Times New Roman" w:hAnsi="Times New Roman" w:cs="Times New Roman" w:eastAsia="Times New Roman"/>
          <w:color w:val="auto"/>
          <w:spacing w:val="0"/>
          <w:position w:val="0"/>
          <w:sz w:val="20"/>
          <w:u w:val="single"/>
          <w:shd w:fill="auto" w:val="clear"/>
        </w:rPr>
        <w:t xml:space="preserve"> por-Celi-Regina-Jardim-Pinto-.html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2"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Podemos distinguir, aí, duas modalidades: o antigo feminismo, que possui uma ponta voltada às lutas políticas de cunho ideológico e outra, ao início da democracia; E, o novo feminismo, mais complexo, que redesenha a nova relação da mulher com o Estado e a Sociedade Civil. “(...) As discussões atuais em torno das contribuições recíprocas entre a história das mulheres e a do movimento feminista e também das construções sociais acerca do gênero apontam para uma maior complexidade.” (Otto, 2004: p. 241).</w:t>
      </w:r>
    </w:p>
    <w:p>
      <w:pPr>
        <w:spacing w:before="6" w:after="0" w:line="360"/>
        <w:ind w:right="107"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do olhar das autoras Pinto, Otto e Sarti, além das matérias jornalísticas publicadas pela mídia impressa local (Correio Braziliense), como resultado desta pesquisa, foi possível identificar as seguintes problemáticas: a pouca participação das mulheres no Parlamento (1), a existência de preconceitos entre as próprias mulheres (2), a falta de controle sobre sua integridade física e aspectos reprodutivos (3), a dominação do parceiro seja pela violência física, submissão sexual ou cárcere privado (4), a falta de credibilidade ao receber  os relatos das mulheres agredidas por parte das autoridades competentes (5), a falta de assistência psicológica adequada no primeiro atendimento (6) e a falta de punição efetiva contra seus agressores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(7).</w:t>
      </w:r>
    </w:p>
    <w:p>
      <w:pPr>
        <w:spacing w:before="4" w:after="0" w:line="360"/>
        <w:ind w:right="109"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Sabemos que a cidadania da mulher foi uma importante vitória na Democracia e que, ao mesmo tempo, continua se cristalizando frente aos desafios da inserção feminina em todos os setores de nossa sociedade. Essa discussão não deve ser esvaziada pelo machismo ou pela guerra entre os sexos (mulher x homem), ela deve ser trabalhada no sentido de aprofundar e dar providências a alguns temas que ainda não foram resolvidos.</w:t>
      </w:r>
    </w:p>
    <w:p>
      <w:pPr>
        <w:spacing w:before="6" w:after="0" w:line="360"/>
        <w:ind w:right="108"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 aqui, enfatizarmos que o Estado (enquanto autoridade maior) é responsável pelo fomento de políticas públicas e implantação de programas que atendam, no caso, as demandas femininas. Nesse sentido, essas políticas (já direcionadas) devem ser locais, ou seja, aplicadas nos bairros, cidades e estados brasileiros. O planejamento dessas ações deve estar articulado em nível de União, envolvendo prefeituras, estados e governo federal.</w:t>
      </w:r>
    </w:p>
    <w:p>
      <w:pPr>
        <w:spacing w:before="6" w:after="0" w:line="360"/>
        <w:ind w:right="109"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Dessa forma, acreditamos que o desafio da mulher contemporânea (consciente de seus direitos e independente de raça, cor ou credo) é fazer-se presente nas instâncias dos três poderes, o que poderia ser um indicativo ao aumento da política de gênero e à volta de uma faceta mais intelectualizada.</w:t>
      </w:r>
    </w:p>
    <w:p>
      <w:pPr>
        <w:spacing w:before="6" w:after="0" w:line="360"/>
        <w:ind w:right="105" w:left="11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da representatividade feminina no Congresso Nacional, será possível executar, legislar e aplicar o senso de justiça em causas que avançaram pouco ou quase nada e que, por isso, merecem esforços para uma diretriz concreta. É, no mínimo, também uma forma de manter viva a luta de nossas antepassadas para que suas vozes não sejam esquecidas ou perdidas no tempo e para que possamos continuar mudando a história de nosso país.</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4"/>
          <w:shd w:fill="auto" w:val="clear"/>
        </w:rPr>
      </w:pPr>
    </w:p>
    <w:p>
      <w:pPr>
        <w:spacing w:before="69" w:after="0" w:line="240"/>
        <w:ind w:right="110" w:left="11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Bibliografia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MCLUHAN, Stephanie e STAINES, David (orgs). McLuhan por McLuhan - Entrevistas e Conferências Inéditas do Profeta da Globalização. Rio de Janeiro: Editora Ediouro, 2005; OTTO, Claricia. O Feminismo no Brasil e suas Múltiplas Faces. Estudos Feministas, Florianópolis, 12(2): 237-253, maio-agosto/2004;</w:t>
      </w:r>
    </w:p>
    <w:p>
      <w:pPr>
        <w:spacing w:before="4" w:after="0" w:line="36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PINTO, Céli Regina J. Uma História do Feminismo no Brasil. 1ª Edição. São Paulo: Perseu Abramo, 2003;</w:t>
      </w:r>
    </w:p>
    <w:p>
      <w:pPr>
        <w:spacing w:before="4" w:after="0" w:line="36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SARTI, Cynthia. Feminismo no Brasil: Uma Trajetória Particular. Cadernos de Pesquisa. São Paulo (64): 38-47, fev/1988;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10" w:left="11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24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1: Ilustração de Fernando Lopes, publicada no jornal Correio Braziliense. Opinião,   p.</w:t>
      </w:r>
    </w:p>
    <w:p>
      <w:pPr>
        <w:spacing w:before="137" w:after="0" w:line="24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17. Brasília, sexta-feira, 16 de julho de 2010;</w:t>
      </w:r>
    </w:p>
    <w:p>
      <w:pPr>
        <w:spacing w:before="139" w:after="0" w:line="36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2: Painel publicado no jornal Correio Braziliense. Brasil, p. 10. Brasília, quarta-feira, 14 de julho de 2010;</w:t>
      </w: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3: Painel publicado no jornal Correio Braziliense. Política, p. 2. Brasília, domingo, 25 de julho de 2010;</w:t>
      </w: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101" w:after="0" w:line="322"/>
        <w:ind w:right="1132" w:left="1116"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Dançamos conforme a música?</w:t>
      </w:r>
    </w:p>
    <w:p>
      <w:pPr>
        <w:spacing w:before="0" w:after="0" w:line="240"/>
        <w:ind w:right="1138" w:left="1116"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Reflexões sobre a Ação Civil Pública “Um tapinha não dói”</w:t>
      </w:r>
    </w:p>
    <w:p>
      <w:pPr>
        <w:spacing w:before="1"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1137" w:left="1116"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Daniele Prandini Ricieri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136" w:left="1116"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PONTIFÍCIA UNIVERSIDADE CATÓLICA DE SÃO PAULO</w:t>
      </w:r>
    </w:p>
    <w:p>
      <w:pPr>
        <w:spacing w:before="2" w:after="0" w:line="240"/>
        <w:ind w:right="1138" w:left="1116"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Coordenadoria Geral de Especialização, Aperfeiçoamento e Extensão</w:t>
      </w:r>
    </w:p>
    <w:p>
      <w:pPr>
        <w:spacing w:before="4"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74"/>
        <w:ind w:right="1131" w:left="1116"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Programa de Estudos Pós- Graduados em Comunicação e Semiótica Semiótica Psicanalítica – Clínica da Cultura</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472" w:left="452"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Monografia apresentada à Coordenadoria Geral de Especialização, Aperfeiçoamento e Extensão da Pontifícia Universidade Católica de São Paulo como conclusão do curso de especialização em Semiótica Psicanalítica.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57" w:left="345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Orientadora: Fani Hisgail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57" w:left="101"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INTRODUÇÃO</w:t>
      </w:r>
    </w:p>
    <w:p>
      <w:pPr>
        <w:spacing w:before="6" w:after="0" w:line="240"/>
        <w:ind w:right="0" w:left="0" w:firstLine="0"/>
        <w:jc w:val="left"/>
        <w:rPr>
          <w:rFonts w:ascii="Times New Roman" w:hAnsi="Times New Roman" w:cs="Times New Roman" w:eastAsia="Times New Roman"/>
          <w:b/>
          <w:color w:val="auto"/>
          <w:spacing w:val="0"/>
          <w:position w:val="0"/>
          <w:sz w:val="31"/>
          <w:shd w:fill="auto" w:val="clear"/>
        </w:rPr>
      </w:pPr>
    </w:p>
    <w:p>
      <w:pPr>
        <w:spacing w:before="1" w:after="0" w:line="242"/>
        <w:ind w:right="116" w:left="6428" w:firstLine="132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"Vai glamurosa Cruze os braços no ombrinho</w:t>
      </w:r>
    </w:p>
    <w:p>
      <w:pPr>
        <w:spacing w:before="0" w:after="0" w:line="240"/>
        <w:ind w:right="116" w:left="6797" w:firstLine="547"/>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Lança ele pra frente E desce bem devagarinho Dá uma quebradinha</w:t>
      </w:r>
    </w:p>
    <w:p>
      <w:pPr>
        <w:spacing w:before="7" w:after="0" w:line="274"/>
        <w:ind w:right="116" w:left="7119" w:firstLine="672"/>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sobe devagar Se te bota maluquinha</w:t>
      </w:r>
    </w:p>
    <w:p>
      <w:pPr>
        <w:spacing w:before="4" w:after="0" w:line="274"/>
        <w:ind w:right="118" w:left="4964" w:firstLine="1065"/>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tapinha eu vou te dar porque: Dói, um tapinha não dói, um tapinha não dói</w:t>
      </w:r>
    </w:p>
    <w:p>
      <w:pPr>
        <w:spacing w:before="4" w:after="0" w:line="274"/>
        <w:ind w:right="118" w:left="7709" w:hanging="356"/>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tapinha não dói Só um tapinha".</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115"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Letra da música "Tapinha", lançada por Furacão 2000 Produções</w:t>
      </w:r>
    </w:p>
    <w:p>
      <w:pPr>
        <w:spacing w:before="2" w:after="0" w:line="240"/>
        <w:ind w:right="12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Artísticas Ltda.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31"/>
          <w:shd w:fill="auto" w:val="clear"/>
        </w:rPr>
      </w:pPr>
    </w:p>
    <w:p>
      <w:pPr>
        <w:spacing w:before="0" w:after="0" w:line="360"/>
        <w:ind w:right="121" w:left="10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2008, a imprensa noticiou que a gravadora produtora da música “Um tapinha não dói”, a Furacão 2000, havia sido condenada na justiça a pagar uma indenização de meio  milhão de reais por promover a violência contra a mulher. Imediatamente percebi que este seria o objeto de estudo da minha monografia de conclusão do curso de especialização em Semiótica 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Psicanálise.</w:t>
      </w:r>
    </w:p>
    <w:p>
      <w:pPr>
        <w:spacing w:before="8" w:after="0" w:line="360"/>
        <w:ind w:right="198" w:left="101"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Afinal a oportunidade de refletir sobre este fato e, porque não, sintoma da cultura, faria com que eu revisitasse campos de meu interesse como a luta das mulheres, a indústria cultural e a participação da sociedade na construção e legislação das regras do nosso jogo civilizatório.</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0"/>
        <w:ind w:right="117"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cidade de São Paulo, em 2006, fiz parte da criação de um grupo formado somente por mulheres interessadas em refletir sobre a condição feminina por meio da arte. O grupo segue desde então e chama-se Atuadoras. De lá para cá já criamos e produzimos um livro, um espetáculo de teatro, um blog, diversas ações artísticas (seja na rua ou na internet) e acumulamos horas e horas de discussão e pensamento sobre a atualidade do feminismo hoje.</w:t>
      </w:r>
    </w:p>
    <w:p>
      <w:pPr>
        <w:spacing w:before="8" w:after="0" w:line="360"/>
        <w:ind w:right="121"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Paralelamente a isso, sou membro de uma organização não governamental chamada Intervozes que conta com colaboradores em todo o país e luta pela democratização da comunicação. Um dos eixos que mais me interessa no trabalho deste grupo é a discussão de controle social da mídia: a possibilidade de a sociedade intervir nas políticas públicas para a área da comunicação, além de monitorar o conteúdo da programação e denunciar violações de direitos humanos.</w:t>
      </w:r>
    </w:p>
    <w:p>
      <w:pPr>
        <w:spacing w:before="4"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Conheci o Intervozes por meio de um atividade de controle social do grupo. No final de 2005, esta organização junto a outras entidades e o Ministério Público ganhou na justiça uma Ação Civil Pública na qual se exigia uma punição ao apresentador João Kleber e à Rede TV! por constantes violações dos direitos humanos ocorridas em seu programa. A juíza do processo sentenciou que as organizações deveriam, então, ocupar durante 30 dias a grade da emissora e produzir programas de promoção dos direitos humanos com o dinheiro indenizatório da Rede TV!. Eu fui contratada para produzir estes programas.</w:t>
      </w:r>
    </w:p>
    <w:p>
      <w:pPr>
        <w:spacing w:before="4"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Pois bem, venho então refletindo sobre em que medida um programa de televisão, uma imagem, uma música, pode influenciar comportamentos, sobretudo comportamentos violentos. Nesta monografia apresentarei o caso da Ação Civil Pública contra a produtora da música “Um Tapinha não dói”, analisarei este fenômeno contemporâneo que é a participação da sociedade civil no controle do conteúdo que é veiculado na mídia, questionarei o poder da televisão na manutenção da ordem simbólica e na construção da violência do imaginário e por fim, levantarei algumas hipóteses sobre a participação das mulheres no sucesso que esta música obteve com o público.</w:t>
      </w:r>
    </w:p>
    <w:p>
      <w:pPr>
        <w:spacing w:before="6"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567" w:left="121"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DESENVOLVIMENTO</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345"/>
        <w:ind w:right="118" w:left="121" w:firstLine="72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Em 2001, a ONG gaúcha Themis – Assessoria Jurídica e Estudos de Gênero em parceria com o Ministério Público ajuizaram uma Ação Civil Pública contra a gravadora Sony Music</w:t>
      </w:r>
      <w:r>
        <w:rPr>
          <w:rFonts w:ascii="Times New Roman" w:hAnsi="Times New Roman" w:cs="Times New Roman" w:eastAsia="Times New Roman"/>
          <w:color w:val="auto"/>
          <w:spacing w:val="0"/>
          <w:position w:val="11"/>
          <w:sz w:val="16"/>
          <w:shd w:fill="auto" w:val="clear"/>
        </w:rPr>
        <w:t xml:space="preserve">1  </w:t>
      </w:r>
      <w:r>
        <w:rPr>
          <w:rFonts w:ascii="Times New Roman" w:hAnsi="Times New Roman" w:cs="Times New Roman" w:eastAsia="Times New Roman"/>
          <w:color w:val="auto"/>
          <w:spacing w:val="0"/>
          <w:position w:val="11"/>
          <w:sz w:val="24"/>
          <w:shd w:fill="auto" w:val="clear"/>
        </w:rPr>
        <w:t xml:space="preserve">e a produtora musical Furacão 2000</w:t>
      </w:r>
      <w:r>
        <w:rPr>
          <w:rFonts w:ascii="Times New Roman" w:hAnsi="Times New Roman" w:cs="Times New Roman" w:eastAsia="Times New Roman"/>
          <w:color w:val="auto"/>
          <w:spacing w:val="0"/>
          <w:position w:val="11"/>
          <w:sz w:val="16"/>
          <w:shd w:fill="auto" w:val="clear"/>
        </w:rPr>
        <w:t xml:space="preserve">2  </w:t>
      </w:r>
      <w:r>
        <w:rPr>
          <w:rFonts w:ascii="Times New Roman" w:hAnsi="Times New Roman" w:cs="Times New Roman" w:eastAsia="Times New Roman"/>
          <w:color w:val="auto"/>
          <w:spacing w:val="0"/>
          <w:position w:val="11"/>
          <w:sz w:val="24"/>
          <w:shd w:fill="auto" w:val="clear"/>
        </w:rPr>
        <w:t xml:space="preserve">baseada na percepção de que as músicas “Tapa</w:t>
      </w:r>
      <w:r>
        <w:rPr>
          <w:rFonts w:ascii="Times New Roman" w:hAnsi="Times New Roman" w:cs="Times New Roman" w:eastAsia="Times New Roman"/>
          <w:color w:val="auto"/>
          <w:spacing w:val="-32"/>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na</w:t>
      </w:r>
    </w:p>
    <w:p>
      <w:pPr>
        <w:spacing w:before="9"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47" w:after="0" w:line="241"/>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1 </w:t>
      </w:r>
      <w:r>
        <w:rPr>
          <w:rFonts w:ascii="Times New Roman" w:hAnsi="Times New Roman" w:cs="Times New Roman" w:eastAsia="Times New Roman"/>
          <w:color w:val="auto"/>
          <w:spacing w:val="0"/>
          <w:position w:val="9"/>
          <w:sz w:val="19"/>
          <w:shd w:fill="auto" w:val="clear"/>
        </w:rPr>
        <w:t xml:space="preserve">Sony Music Entertainment (Brasil) Indústria e Comércio Ltda</w:t>
      </w:r>
    </w:p>
    <w:p>
      <w:pPr>
        <w:spacing w:before="0" w:after="0" w:line="241"/>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2 </w:t>
      </w:r>
      <w:r>
        <w:rPr>
          <w:rFonts w:ascii="Times New Roman" w:hAnsi="Times New Roman" w:cs="Times New Roman" w:eastAsia="Times New Roman"/>
          <w:color w:val="auto"/>
          <w:spacing w:val="0"/>
          <w:position w:val="9"/>
          <w:sz w:val="19"/>
          <w:shd w:fill="auto" w:val="clear"/>
        </w:rPr>
        <w:t xml:space="preserve">Furação 2000 Produções Artísticas Ltda.</w:t>
      </w:r>
    </w:p>
    <w:p>
      <w:pPr>
        <w:spacing w:before="0" w:after="0" w:line="241"/>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48" w:after="0" w:line="350"/>
        <w:ind w:right="120" w:left="121" w:firstLine="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cara” e “Um Tapinha não dói”, das respectivas produtoras, desrespeitavam as mulheres e incentivavam e banalizavam a violência de gênero. Os autores exigiam uma indenização por danos morais difusos à mulher e acusavam o Estado de não cumprimento do disposto no artigo 8</w:t>
      </w:r>
      <w:r>
        <w:rPr>
          <w:rFonts w:ascii="Times New Roman" w:hAnsi="Times New Roman" w:cs="Times New Roman" w:eastAsia="Times New Roman"/>
          <w:color w:val="auto"/>
          <w:spacing w:val="0"/>
          <w:position w:val="11"/>
          <w:sz w:val="16"/>
          <w:shd w:fill="auto" w:val="clear"/>
        </w:rPr>
        <w:t xml:space="preserve">o </w:t>
      </w:r>
      <w:r>
        <w:rPr>
          <w:rFonts w:ascii="Times New Roman" w:hAnsi="Times New Roman" w:cs="Times New Roman" w:eastAsia="Times New Roman"/>
          <w:color w:val="auto"/>
          <w:spacing w:val="0"/>
          <w:position w:val="11"/>
          <w:sz w:val="24"/>
          <w:shd w:fill="auto" w:val="clear"/>
        </w:rPr>
        <w:t xml:space="preserve">da Convenção de Belém do Pará</w:t>
      </w:r>
      <w:r>
        <w:rPr>
          <w:rFonts w:ascii="Times New Roman" w:hAnsi="Times New Roman" w:cs="Times New Roman" w:eastAsia="Times New Roman"/>
          <w:color w:val="auto"/>
          <w:spacing w:val="0"/>
          <w:position w:val="11"/>
          <w:sz w:val="16"/>
          <w:shd w:fill="auto" w:val="clear"/>
        </w:rPr>
        <w:t xml:space="preserve">3  </w:t>
      </w:r>
      <w:r>
        <w:rPr>
          <w:rFonts w:ascii="Times New Roman" w:hAnsi="Times New Roman" w:cs="Times New Roman" w:eastAsia="Times New Roman"/>
          <w:color w:val="auto"/>
          <w:spacing w:val="0"/>
          <w:position w:val="11"/>
          <w:sz w:val="24"/>
          <w:shd w:fill="auto" w:val="clear"/>
        </w:rPr>
        <w:t xml:space="preserve">que inclui nos contratos de concessões de exploração   dos</w:t>
      </w:r>
    </w:p>
    <w:p>
      <w:pPr>
        <w:spacing w:before="0" w:after="0" w:line="362"/>
        <w:ind w:right="121" w:left="1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meios de comunicação (rádios e televisões) cláusulas que exigem a promoção da dignidade da mulher e a contribuição para a erradicação da violência de gênero.</w:t>
      </w:r>
    </w:p>
    <w:p>
      <w:pPr>
        <w:spacing w:before="1" w:after="0" w:line="360"/>
        <w:ind w:right="120"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suas defesas, a Sony afirmou que a letra da música "Tapa na Cara" não incita a violência contra a mulher, traduzindo tão-somente a manifestação cultural das classes sociais menos favorecidas. Já a Furação 2000 versou acerca da liberdade de expressão e da inexistência de dano para requerer a improcedência dos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pedidos.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52"/>
        <w:ind w:right="207" w:left="5584" w:firstLine="744"/>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“Se ela me pedir...o que vou fazer... Meu deus me ajude em mulher não vou bater</w:t>
      </w:r>
    </w:p>
    <w:p>
      <w:pPr>
        <w:spacing w:before="1" w:after="0" w:line="240"/>
        <w:ind w:right="210" w:left="0" w:firstLine="0"/>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Mas ela me pede todo dia toda hora quando a gente faz amor</w:t>
      </w:r>
    </w:p>
    <w:p>
      <w:pPr>
        <w:spacing w:before="12" w:after="0" w:line="252"/>
        <w:ind w:right="208" w:left="7079" w:firstLine="1142"/>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Pedi o quê? Tapa na cara, tapa na cara</w:t>
      </w:r>
    </w:p>
    <w:p>
      <w:pPr>
        <w:spacing w:before="1" w:after="0" w:line="240"/>
        <w:ind w:right="208" w:left="0" w:firstLine="0"/>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Tapa na cara mamãe, tapa na cara</w:t>
      </w:r>
    </w:p>
    <w:p>
      <w:pPr>
        <w:spacing w:before="12" w:after="0" w:line="252"/>
        <w:ind w:right="208" w:left="6692" w:firstLine="1257"/>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Na cara mamãe Se você quiser, ai eu vou te dar</w:t>
      </w:r>
    </w:p>
    <w:p>
      <w:pPr>
        <w:spacing w:before="1" w:after="0" w:line="252"/>
        <w:ind w:right="210" w:left="5617" w:firstLine="441"/>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Vem com Pagode Art, venha requebrar Joga a mão pra cima e bate na palma da mão</w:t>
      </w:r>
    </w:p>
    <w:p>
      <w:pPr>
        <w:spacing w:before="0" w:after="0" w:line="252"/>
        <w:ind w:right="208" w:left="7206" w:hanging="485"/>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Quero ver é balançaaaaaaaaaar E dig dig ai ai ai ai ai ai”</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116" w:left="0" w:firstLine="0"/>
        <w:jc w:val="righ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Trecho da letra da música "Tapa na cara", lançada pela Sony Music</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44" w:after="0" w:line="360"/>
        <w:ind w:right="114"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juiz Adriano Vitalino dos Santos analisou o caso e, em 2008, chegou ao seguinte entendimento (Anexo A – Sentença “Um Tapinha não dói”): as empresas, na condição de gravadoras de grande porte, com plena capacidade de seleção prévia do material a ser comercializado, devem se responsabilizar pelos produtos que porventura venham a inserir no mercado. Portanto a Furação 2000 foi condenada a pagar uma indenização de R$500.000,00 (quinhentos mil reais) ao Fundo Federal de Defesa dos Direitos.</w:t>
      </w:r>
    </w:p>
    <w:p>
      <w:pPr>
        <w:spacing w:before="4" w:after="0" w:line="360"/>
        <w:ind w:right="120"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as acusações contra a Sony e a música “Tapa na cara” foram consideradas improcedentes uma vez que, para o juiz, a letra da música conta a história de uma mulher e de sua preferência sexual e não faz apologia da violência. No texto da sentença: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47" w:after="0" w:line="240"/>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3 </w:t>
      </w:r>
      <w:r>
        <w:rPr>
          <w:rFonts w:ascii="Times New Roman" w:hAnsi="Times New Roman" w:cs="Times New Roman" w:eastAsia="Times New Roman"/>
          <w:color w:val="auto"/>
          <w:spacing w:val="0"/>
          <w:position w:val="9"/>
          <w:sz w:val="19"/>
          <w:shd w:fill="auto" w:val="clear"/>
        </w:rPr>
        <w:t xml:space="preserve">Convenção Interamericana para Prevenir, Punir e Erradicar a Violência contra a Mulher (1994)</w:t>
      </w:r>
    </w:p>
    <w:p>
      <w:pPr>
        <w:spacing w:before="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79"/>
        <w:ind w:right="240" w:left="2387" w:firstLine="57"/>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“Ora, a letra musical questionada apenas relata um encontro amoroso entre um homem e uma mulher, que implora ao parceiro para que lhe dê tapas durante o ato sexual. O compositor, por meio da obra musical, apenas relatou a existência de formas variadas de prazer, cuja realidade, ainda que de gosto questionável, não deve ser ignorada pelo Direito. De forma alguma, portanto, a música discrimina e/ou incentiva a violência contra a mulher, limitando-se a demonstrar artisticamente a existência do masoquismo como manifestação do prazer feminino”.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1" w:after="0" w:line="360"/>
        <w:ind w:right="101"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Diferentemente da música “Tapa na Cara”, “Tapinha não dói” foi considerada prejudicial à imagem da mulher: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379"/>
        <w:ind w:right="101"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“Nessa música, de forma distinta da letra anteriormente analisada, inexiste  o</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exercício de liberdade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escolha por parte </w:t>
      </w:r>
      <w:r>
        <w:rPr>
          <w:rFonts w:ascii="Times New Roman" w:hAnsi="Times New Roman" w:cs="Times New Roman" w:eastAsia="Times New Roman"/>
          <w:color w:val="auto"/>
          <w:spacing w:val="3"/>
          <w:position w:val="0"/>
          <w:sz w:val="19"/>
          <w:shd w:fill="auto" w:val="clear"/>
        </w:rPr>
        <w:t xml:space="preserve">da </w:t>
      </w:r>
      <w:r>
        <w:rPr>
          <w:rFonts w:ascii="Times New Roman" w:hAnsi="Times New Roman" w:cs="Times New Roman" w:eastAsia="Times New Roman"/>
          <w:color w:val="auto"/>
          <w:spacing w:val="0"/>
          <w:position w:val="0"/>
          <w:sz w:val="19"/>
          <w:shd w:fill="auto" w:val="clear"/>
        </w:rPr>
        <w:t xml:space="preserve">mulher, pois não há o consentimento</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da figura feminina. O interlocutor, homem ou mulher, não se sabe, </w:t>
      </w:r>
      <w:r>
        <w:rPr>
          <w:rFonts w:ascii="Times New Roman" w:hAnsi="Times New Roman" w:cs="Times New Roman" w:eastAsia="Times New Roman"/>
          <w:color w:val="auto"/>
          <w:spacing w:val="2"/>
          <w:position w:val="0"/>
          <w:sz w:val="19"/>
          <w:shd w:fill="auto" w:val="clear"/>
        </w:rPr>
        <w:t xml:space="preserve">afirma </w:t>
      </w:r>
      <w:r>
        <w:rPr>
          <w:rFonts w:ascii="Times New Roman" w:hAnsi="Times New Roman" w:cs="Times New Roman" w:eastAsia="Times New Roman"/>
          <w:color w:val="auto"/>
          <w:spacing w:val="0"/>
          <w:position w:val="0"/>
          <w:sz w:val="19"/>
          <w:shd w:fill="auto" w:val="clear"/>
        </w:rPr>
        <w:t xml:space="preserve">categoricamente que vai dar "um tapinha", porque "um tapinha não dói". Não há o pedido da mulher em relação a </w:t>
      </w:r>
      <w:r>
        <w:rPr>
          <w:rFonts w:ascii="Times New Roman" w:hAnsi="Times New Roman" w:cs="Times New Roman" w:eastAsia="Times New Roman"/>
          <w:color w:val="auto"/>
          <w:spacing w:val="2"/>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postura agressiva de seu companheiro ou companheira, de modo que a agressão resulta de decisão</w:t>
      </w:r>
      <w:r>
        <w:rPr>
          <w:rFonts w:ascii="Times New Roman" w:hAnsi="Times New Roman" w:cs="Times New Roman" w:eastAsia="Times New Roman"/>
          <w:color w:val="auto"/>
          <w:spacing w:val="-1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unilateral”.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360"/>
        <w:ind w:right="100" w:left="121" w:firstLine="72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E baseado na percepção de que a música “Um Tapinha não dói” foi um sucesso</w:t>
      </w:r>
      <w:r>
        <w:rPr>
          <w:rFonts w:ascii="Times New Roman" w:hAnsi="Times New Roman" w:cs="Times New Roman" w:eastAsia="Times New Roman"/>
          <w:color w:val="auto"/>
          <w:spacing w:val="0"/>
          <w:position w:val="11"/>
          <w:sz w:val="16"/>
          <w:shd w:fill="auto" w:val="clear"/>
        </w:rPr>
        <w:t xml:space="preserve">4</w:t>
      </w:r>
      <w:r>
        <w:rPr>
          <w:rFonts w:ascii="Times New Roman" w:hAnsi="Times New Roman" w:cs="Times New Roman" w:eastAsia="Times New Roman"/>
          <w:color w:val="auto"/>
          <w:spacing w:val="0"/>
          <w:position w:val="11"/>
          <w:sz w:val="24"/>
          <w:shd w:fill="auto" w:val="clear"/>
        </w:rPr>
        <w:t xml:space="preserve">, possuindo massiva veiculação nas rádios e televisão aberta de todo o país e gerando lucros avassaladores, o Juiz fixou o valor da indenização.</w:t>
      </w:r>
    </w:p>
    <w:p>
      <w:pPr>
        <w:spacing w:before="4" w:after="0" w:line="360"/>
        <w:ind w:right="101"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são novidade ações deste tipo. Desde e década de 90, a sociedade civil tem chamado para si a responsabilidade de garantir a defesa dos direitos humanos no Brasil. Dado que o sistema neoliberal é como uma máquina de expropriação de direitos – seja através do vale tudo econômico ou da mercantilização da vida – o chamado “terceiro setor” representado por centenas de organizações não governamentais (ONGs), importantes movimentos sociais e pessoas organizadas em coletivos demandam mais e mais do Estado exigindo que este garanta a preservação do que é bem comum, do que é</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público.</w:t>
      </w:r>
    </w:p>
    <w:p>
      <w:pPr>
        <w:spacing w:before="8" w:after="0" w:line="360"/>
        <w:ind w:right="104"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texto para sua coluna “Blog do Emir” no site da “Carta Maior”, Emir Sader  escreve,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42" w:after="0" w:line="256"/>
        <w:ind w:right="5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11"/>
          <w:sz w:val="16"/>
          <w:shd w:fill="auto" w:val="clear"/>
        </w:rPr>
        <w:t xml:space="preserve">4 </w:t>
      </w:r>
      <w:r>
        <w:rPr>
          <w:rFonts w:ascii="Times New Roman" w:hAnsi="Times New Roman" w:cs="Times New Roman" w:eastAsia="Times New Roman"/>
          <w:color w:val="auto"/>
          <w:spacing w:val="0"/>
          <w:position w:val="11"/>
          <w:sz w:val="19"/>
          <w:shd w:fill="auto" w:val="clear"/>
        </w:rPr>
        <w:t xml:space="preserve">A Revista Época, em sua edição 145, de 26 fev. 2001, divulgou que o disco da equipe Furacão 2000 intitulado </w:t>
      </w:r>
      <w:r>
        <w:rPr>
          <w:rFonts w:ascii="Times New Roman" w:hAnsi="Times New Roman" w:cs="Times New Roman" w:eastAsia="Times New Roman"/>
          <w:b/>
          <w:color w:val="auto"/>
          <w:spacing w:val="0"/>
          <w:position w:val="11"/>
          <w:sz w:val="19"/>
          <w:shd w:fill="auto" w:val="clear"/>
        </w:rPr>
        <w:t xml:space="preserve">Tornado muito nervoso 2</w:t>
      </w:r>
      <w:r>
        <w:rPr>
          <w:rFonts w:ascii="Times New Roman" w:hAnsi="Times New Roman" w:cs="Times New Roman" w:eastAsia="Times New Roman"/>
          <w:color w:val="auto"/>
          <w:spacing w:val="0"/>
          <w:position w:val="11"/>
          <w:sz w:val="19"/>
          <w:shd w:fill="auto" w:val="clear"/>
        </w:rPr>
        <w:t xml:space="preserve">, do qual a música "Tapinha" é uma das faixas, era o mais vendido em São Paulo naquela data. Revista Época. Edição 145. Disponível em: </w:t>
      </w:r>
      <w:hyperlink xmlns:r="http://schemas.openxmlformats.org/officeDocument/2006/relationships" r:id="docRId39">
        <w:r>
          <w:rPr>
            <w:rFonts w:ascii="Times New Roman" w:hAnsi="Times New Roman" w:cs="Times New Roman" w:eastAsia="Times New Roman"/>
            <w:color w:val="0000FF"/>
            <w:spacing w:val="0"/>
            <w:position w:val="11"/>
            <w:sz w:val="19"/>
            <w:u w:val="single"/>
            <w:shd w:fill="auto" w:val="clear"/>
          </w:rPr>
          <w:t xml:space="preserve">http://epoca.globo.com/edic/20010226/soci6a.htm</w:t>
        </w:r>
      </w:hyperlink>
    </w:p>
    <w:p>
      <w:pPr>
        <w:spacing w:before="0" w:after="0" w:line="256"/>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82" w:after="0" w:line="379"/>
        <w:ind w:right="125"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“A resistência ao neoliberalismo, especialmente ao longo da década de 90, foi protagonizada particularmente pelos movimentos sociais, seja pela renúncia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muitas forças partidárias a desempenhar esse papel, seja </w:t>
      </w:r>
      <w:r>
        <w:rPr>
          <w:rFonts w:ascii="Times New Roman" w:hAnsi="Times New Roman" w:cs="Times New Roman" w:eastAsia="Times New Roman"/>
          <w:color w:val="auto"/>
          <w:spacing w:val="2"/>
          <w:position w:val="0"/>
          <w:sz w:val="19"/>
          <w:shd w:fill="auto" w:val="clear"/>
        </w:rPr>
        <w:t xml:space="preserve">porque </w:t>
      </w:r>
      <w:r>
        <w:rPr>
          <w:rFonts w:ascii="Times New Roman" w:hAnsi="Times New Roman" w:cs="Times New Roman" w:eastAsia="Times New Roman"/>
          <w:color w:val="auto"/>
          <w:spacing w:val="0"/>
          <w:position w:val="0"/>
          <w:sz w:val="19"/>
          <w:shd w:fill="auto" w:val="clear"/>
        </w:rPr>
        <w:t xml:space="preserve">os efeitos mais</w:t>
      </w:r>
      <w:r>
        <w:rPr>
          <w:rFonts w:ascii="Times New Roman" w:hAnsi="Times New Roman" w:cs="Times New Roman" w:eastAsia="Times New Roman"/>
          <w:color w:val="auto"/>
          <w:spacing w:val="-1"/>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cruéis</w:t>
      </w:r>
    </w:p>
    <w:p>
      <w:pPr>
        <w:spacing w:before="0" w:after="0" w:line="240"/>
        <w:ind w:right="0" w:left="2387" w:firstLine="0"/>
        <w:jc w:val="both"/>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0"/>
          <w:sz w:val="19"/>
          <w:shd w:fill="auto" w:val="clear"/>
        </w:rPr>
        <w:t xml:space="preserve">do neoliberalismo se dão exatamente no plano social.”</w:t>
      </w:r>
      <w:r>
        <w:rPr>
          <w:rFonts w:ascii="Times New Roman" w:hAnsi="Times New Roman" w:cs="Times New Roman" w:eastAsia="Times New Roman"/>
          <w:color w:val="auto"/>
          <w:spacing w:val="0"/>
          <w:position w:val="9"/>
          <w:sz w:val="13"/>
          <w:shd w:fill="auto" w:val="clear"/>
        </w:rPr>
        <w:t xml:space="preserve">5</w:t>
      </w:r>
      <w:r>
        <w:rPr>
          <w:rFonts w:ascii="Times New Roman" w:hAnsi="Times New Roman" w:cs="Times New Roman" w:eastAsia="Times New Roman"/>
          <w:color w:val="auto"/>
          <w:spacing w:val="0"/>
          <w:position w:val="9"/>
          <w:sz w:val="19"/>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85" w:after="0" w:line="360"/>
        <w:ind w:right="117"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Atualmente poderíamos analisar, de um vôo panorâmico, que o campo da esquerda no Brasil e na América Latina, se dividiu em dois enormes grupos: os que defendem reformas no sistema capitalista e os que apostam na disputa de uma nova direção política.</w:t>
      </w:r>
    </w:p>
    <w:p>
      <w:pPr>
        <w:spacing w:before="4"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Olhemos mais de perto o campo reformista. A sociedade civil atenta às causas humanistas encontrou na fiscalização e no controle das regras sociais a forma de atenuar o impacto das relações pautadas pelo capitalismo. Com isso, centenas de grupos de pessoas que se sentiam excluídas multiplicam-se erguendo bandeiras com suas lutas e reivindicando suas pautas: negros, homossexuais, portadores de deficiência, defensores do meio ambiente, indigenistas, entre outros tantos e, é claro, as mulheres. O intuito é radicalizar a pauta neoliberal lutando pela democracia e igualdade de direitos para assim,  quem  sabe, percebermos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mesmo</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limite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democracia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burguesa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ainda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será</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melhor</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lutarmos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p>
    <w:p>
      <w:pPr>
        <w:spacing w:before="0" w:after="0" w:line="280"/>
        <w:ind w:right="0" w:left="121" w:firstLine="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outro</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mundo”</w:t>
      </w:r>
      <w:r>
        <w:rPr>
          <w:rFonts w:ascii="Times New Roman" w:hAnsi="Times New Roman" w:cs="Times New Roman" w:eastAsia="Times New Roman"/>
          <w:color w:val="auto"/>
          <w:spacing w:val="0"/>
          <w:position w:val="11"/>
          <w:sz w:val="16"/>
          <w:shd w:fill="auto" w:val="clear"/>
        </w:rPr>
        <w:t xml:space="preserve">6</w:t>
      </w:r>
      <w:r>
        <w:rPr>
          <w:rFonts w:ascii="Times New Roman" w:hAnsi="Times New Roman" w:cs="Times New Roman" w:eastAsia="Times New Roman"/>
          <w:color w:val="auto"/>
          <w:spacing w:val="0"/>
          <w:position w:val="11"/>
          <w:sz w:val="24"/>
          <w:shd w:fill="auto" w:val="clear"/>
        </w:rPr>
        <w:t xml:space="preserve">.</w:t>
      </w:r>
      <w:r>
        <w:rPr>
          <w:rFonts w:ascii="Times New Roman" w:hAnsi="Times New Roman" w:cs="Times New Roman" w:eastAsia="Times New Roman"/>
          <w:color w:val="auto"/>
          <w:spacing w:val="55"/>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Histericamente</w:t>
      </w:r>
      <w:r>
        <w:rPr>
          <w:rFonts w:ascii="Times New Roman" w:hAnsi="Times New Roman" w:cs="Times New Roman" w:eastAsia="Times New Roman"/>
          <w:color w:val="auto"/>
          <w:spacing w:val="52"/>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demandamos</w:t>
      </w:r>
      <w:r>
        <w:rPr>
          <w:rFonts w:ascii="Times New Roman" w:hAnsi="Times New Roman" w:cs="Times New Roman" w:eastAsia="Times New Roman"/>
          <w:color w:val="auto"/>
          <w:spacing w:val="51"/>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mais</w:t>
      </w:r>
      <w:r>
        <w:rPr>
          <w:rFonts w:ascii="Times New Roman" w:hAnsi="Times New Roman" w:cs="Times New Roman" w:eastAsia="Times New Roman"/>
          <w:color w:val="auto"/>
          <w:spacing w:val="51"/>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e</w:t>
      </w:r>
      <w:r>
        <w:rPr>
          <w:rFonts w:ascii="Times New Roman" w:hAnsi="Times New Roman" w:cs="Times New Roman" w:eastAsia="Times New Roman"/>
          <w:color w:val="auto"/>
          <w:spacing w:val="52"/>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mais</w:t>
      </w:r>
      <w:r>
        <w:rPr>
          <w:rFonts w:ascii="Times New Roman" w:hAnsi="Times New Roman" w:cs="Times New Roman" w:eastAsia="Times New Roman"/>
          <w:color w:val="auto"/>
          <w:spacing w:val="51"/>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do</w:t>
      </w:r>
      <w:r>
        <w:rPr>
          <w:rFonts w:ascii="Times New Roman" w:hAnsi="Times New Roman" w:cs="Times New Roman" w:eastAsia="Times New Roman"/>
          <w:color w:val="auto"/>
          <w:spacing w:val="53"/>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Estado</w:t>
      </w:r>
      <w:r>
        <w:rPr>
          <w:rFonts w:ascii="Times New Roman" w:hAnsi="Times New Roman" w:cs="Times New Roman" w:eastAsia="Times New Roman"/>
          <w:color w:val="auto"/>
          <w:spacing w:val="53"/>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a</w:t>
      </w:r>
      <w:r>
        <w:rPr>
          <w:rFonts w:ascii="Times New Roman" w:hAnsi="Times New Roman" w:cs="Times New Roman" w:eastAsia="Times New Roman"/>
          <w:color w:val="auto"/>
          <w:spacing w:val="52"/>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fim</w:t>
      </w:r>
      <w:r>
        <w:rPr>
          <w:rFonts w:ascii="Times New Roman" w:hAnsi="Times New Roman" w:cs="Times New Roman" w:eastAsia="Times New Roman"/>
          <w:color w:val="auto"/>
          <w:spacing w:val="53"/>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de</w:t>
      </w:r>
      <w:r>
        <w:rPr>
          <w:rFonts w:ascii="Times New Roman" w:hAnsi="Times New Roman" w:cs="Times New Roman" w:eastAsia="Times New Roman"/>
          <w:color w:val="auto"/>
          <w:spacing w:val="52"/>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que</w:t>
      </w:r>
      <w:r>
        <w:rPr>
          <w:rFonts w:ascii="Times New Roman" w:hAnsi="Times New Roman" w:cs="Times New Roman" w:eastAsia="Times New Roman"/>
          <w:color w:val="auto"/>
          <w:spacing w:val="52"/>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se</w:t>
      </w:r>
    </w:p>
    <w:p>
      <w:pPr>
        <w:spacing w:before="137" w:after="0" w:line="360"/>
        <w:ind w:right="121" w:left="1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explicite a insuficiência deste modelo econômico. Conscientemente ou não, a Sociedade Civil confronta os ocupantes do poder com reivindicações prometidas pelo </w:t>
      </w:r>
      <w:r>
        <w:rPr>
          <w:rFonts w:ascii="Times New Roman" w:hAnsi="Times New Roman" w:cs="Times New Roman" w:eastAsia="Times New Roman"/>
          <w:i/>
          <w:color w:val="auto"/>
          <w:spacing w:val="0"/>
          <w:position w:val="0"/>
          <w:sz w:val="24"/>
          <w:shd w:fill="auto" w:val="clear"/>
        </w:rPr>
        <w:t xml:space="preserve">Welfare State</w:t>
      </w:r>
      <w:r>
        <w:rPr>
          <w:rFonts w:ascii="Times New Roman" w:hAnsi="Times New Roman" w:cs="Times New Roman" w:eastAsia="Times New Roman"/>
          <w:color w:val="auto"/>
          <w:spacing w:val="0"/>
          <w:position w:val="0"/>
          <w:sz w:val="24"/>
          <w:shd w:fill="auto" w:val="clear"/>
        </w:rPr>
        <w:t xml:space="preserve">, como a igualdade, mas que o Estado não tem condições de cumprir.</w:t>
      </w:r>
    </w:p>
    <w:p>
      <w:pPr>
        <w:spacing w:before="4" w:after="0" w:line="360"/>
        <w:ind w:right="119"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filósofo esloveno Slavoj Žižek comenta, em artigo publicado na revista Piauí, o livro de Simon Critchley, </w:t>
      </w:r>
      <w:r>
        <w:rPr>
          <w:rFonts w:ascii="Times New Roman" w:hAnsi="Times New Roman" w:cs="Times New Roman" w:eastAsia="Times New Roman"/>
          <w:b/>
          <w:color w:val="auto"/>
          <w:spacing w:val="0"/>
          <w:position w:val="0"/>
          <w:sz w:val="24"/>
          <w:shd w:fill="auto" w:val="clear"/>
        </w:rPr>
        <w:t xml:space="preserve">Infinitely Demanding: Ethics of Commitment, Politics of Resistance </w:t>
      </w:r>
      <w:r>
        <w:rPr>
          <w:rFonts w:ascii="Times New Roman" w:hAnsi="Times New Roman" w:cs="Times New Roman" w:eastAsia="Times New Roman"/>
          <w:color w:val="auto"/>
          <w:spacing w:val="0"/>
          <w:position w:val="0"/>
          <w:sz w:val="24"/>
          <w:shd w:fill="auto" w:val="clear"/>
        </w:rPr>
        <w:t xml:space="preserve">(“Demandas Infinitas: Ética do Compromisso, Políticas de Resistência”, London: Verso, 2007. 168 p) e resume o nosso argumento: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0" w:after="0" w:line="379"/>
        <w:ind w:right="121"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“Como as tentativas de abolir o Estado fracassaram miseravelmente, a nova política deve </w:t>
      </w:r>
      <w:r>
        <w:rPr>
          <w:rFonts w:ascii="Times New Roman" w:hAnsi="Times New Roman" w:cs="Times New Roman" w:eastAsia="Times New Roman"/>
          <w:color w:val="auto"/>
          <w:spacing w:val="2"/>
          <w:position w:val="0"/>
          <w:sz w:val="19"/>
          <w:shd w:fill="auto" w:val="clear"/>
        </w:rPr>
        <w:t xml:space="preserve">se </w:t>
      </w:r>
      <w:r>
        <w:rPr>
          <w:rFonts w:ascii="Times New Roman" w:hAnsi="Times New Roman" w:cs="Times New Roman" w:eastAsia="Times New Roman"/>
          <w:color w:val="auto"/>
          <w:spacing w:val="0"/>
          <w:position w:val="0"/>
          <w:sz w:val="19"/>
          <w:shd w:fill="auto" w:val="clear"/>
        </w:rPr>
        <w:t xml:space="preserve">concentrar a </w:t>
      </w:r>
      <w:r>
        <w:rPr>
          <w:rFonts w:ascii="Times New Roman" w:hAnsi="Times New Roman" w:cs="Times New Roman" w:eastAsia="Times New Roman"/>
          <w:color w:val="auto"/>
          <w:spacing w:val="2"/>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certa distância dele: nos movimentos contra a guerra, </w:t>
      </w:r>
      <w:r>
        <w:rPr>
          <w:rFonts w:ascii="Times New Roman" w:hAnsi="Times New Roman" w:cs="Times New Roman" w:eastAsia="Times New Roman"/>
          <w:color w:val="auto"/>
          <w:spacing w:val="3"/>
          <w:position w:val="0"/>
          <w:sz w:val="19"/>
          <w:shd w:fill="auto" w:val="clear"/>
        </w:rPr>
        <w:t xml:space="preserve">nas </w:t>
      </w:r>
      <w:r>
        <w:rPr>
          <w:rFonts w:ascii="Times New Roman" w:hAnsi="Times New Roman" w:cs="Times New Roman" w:eastAsia="Times New Roman"/>
          <w:color w:val="auto"/>
          <w:spacing w:val="0"/>
          <w:position w:val="0"/>
          <w:sz w:val="19"/>
          <w:shd w:fill="auto" w:val="clear"/>
        </w:rPr>
        <w:t xml:space="preserve">organizações ecológicas, nos grupos que protestam contra abusos racistas ou sexuais, e em outras formas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organização espontânea local. Ela deve ser </w:t>
      </w:r>
      <w:r>
        <w:rPr>
          <w:rFonts w:ascii="Times New Roman" w:hAnsi="Times New Roman" w:cs="Times New Roman" w:eastAsia="Times New Roman"/>
          <w:color w:val="auto"/>
          <w:spacing w:val="2"/>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política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resistência  ao  Estado,  de  denúncia  das  suas  limitações,  de  seu  bombardeio </w:t>
      </w:r>
      <w:r>
        <w:rPr>
          <w:rFonts w:ascii="Times New Roman" w:hAnsi="Times New Roman" w:cs="Times New Roman" w:eastAsia="Times New Roman"/>
          <w:color w:val="auto"/>
          <w:spacing w:val="4"/>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com</w:t>
      </w:r>
    </w:p>
    <w:p>
      <w:pPr>
        <w:spacing w:before="2"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5" w:after="0" w:line="240"/>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5 </w:t>
      </w:r>
      <w:r>
        <w:rPr>
          <w:rFonts w:ascii="Times New Roman" w:hAnsi="Times New Roman" w:cs="Times New Roman" w:eastAsia="Times New Roman"/>
          <w:color w:val="auto"/>
          <w:spacing w:val="0"/>
          <w:position w:val="9"/>
          <w:sz w:val="19"/>
          <w:shd w:fill="auto" w:val="clear"/>
        </w:rPr>
        <w:t xml:space="preserve">SADER, Emir. </w:t>
      </w:r>
      <w:r>
        <w:rPr>
          <w:rFonts w:ascii="Times New Roman" w:hAnsi="Times New Roman" w:cs="Times New Roman" w:eastAsia="Times New Roman"/>
          <w:b/>
          <w:color w:val="auto"/>
          <w:spacing w:val="0"/>
          <w:position w:val="9"/>
          <w:sz w:val="19"/>
          <w:shd w:fill="auto" w:val="clear"/>
        </w:rPr>
        <w:t xml:space="preserve">Autonomia ou hegemonia?</w:t>
      </w:r>
      <w:r>
        <w:rPr>
          <w:rFonts w:ascii="Times New Roman" w:hAnsi="Times New Roman" w:cs="Times New Roman" w:eastAsia="Times New Roman"/>
          <w:color w:val="auto"/>
          <w:spacing w:val="0"/>
          <w:position w:val="9"/>
          <w:sz w:val="19"/>
          <w:shd w:fill="auto" w:val="clear"/>
        </w:rPr>
        <w:t xml:space="preserve">. Disponível em: </w:t>
      </w:r>
      <w:hyperlink xmlns:r="http://schemas.openxmlformats.org/officeDocument/2006/relationships" r:id="docRId40">
        <w:r>
          <w:rPr>
            <w:rFonts w:ascii="Times New Roman" w:hAnsi="Times New Roman" w:cs="Times New Roman" w:eastAsia="Times New Roman"/>
            <w:color w:val="0000FF"/>
            <w:spacing w:val="0"/>
            <w:position w:val="9"/>
            <w:sz w:val="19"/>
            <w:u w:val="single"/>
            <w:shd w:fill="auto" w:val="clear"/>
          </w:rPr>
          <w:t xml:space="preserve">http://www.cartamaior.com.br/templates/postMostrar.cfm?blog_id=1</w:t>
        </w:r>
        <w:r>
          <w:rPr>
            <w:rFonts w:ascii="Times New Roman" w:hAnsi="Times New Roman" w:cs="Times New Roman" w:eastAsia="Times New Roman"/>
            <w:vanish/>
            <w:color w:val="0000FF"/>
            <w:spacing w:val="0"/>
            <w:position w:val="0"/>
            <w:sz w:val="19"/>
            <w:u w:val="single"/>
            <w:shd w:fill="auto" w:val="clear"/>
          </w:rPr>
          <w:t xml:space="preserve">HYPERLINK "http://www.cartamaior.com.br/templates/postMostrar.cfm?blog_id=1&amp;amp;post_id=192"</w:t>
        </w:r>
        <w:r>
          <w:rPr>
            <w:rFonts w:ascii="Times New Roman" w:hAnsi="Times New Roman" w:cs="Times New Roman" w:eastAsia="Times New Roman"/>
            <w:color w:val="0000FF"/>
            <w:spacing w:val="0"/>
            <w:position w:val="0"/>
            <w:sz w:val="19"/>
            <w:u w:val="single"/>
            <w:shd w:fill="auto" w:val="clear"/>
          </w:rPr>
          <w:t xml:space="preserve">&amp;</w:t>
        </w:r>
        <w:r>
          <w:rPr>
            <w:rFonts w:ascii="Times New Roman" w:hAnsi="Times New Roman" w:cs="Times New Roman" w:eastAsia="Times New Roman"/>
            <w:vanish/>
            <w:color w:val="0000FF"/>
            <w:spacing w:val="0"/>
            <w:position w:val="0"/>
            <w:sz w:val="19"/>
            <w:u w:val="single"/>
            <w:shd w:fill="auto" w:val="clear"/>
          </w:rPr>
          <w:t xml:space="preserve">HYPERLINK "http://www.cartamaior.com.br/templates/postMostrar.cfm?blog_id=1&amp;amp;post_id=192"</w:t>
        </w:r>
        <w:r>
          <w:rPr>
            <w:rFonts w:ascii="Times New Roman" w:hAnsi="Times New Roman" w:cs="Times New Roman" w:eastAsia="Times New Roman"/>
            <w:color w:val="0000FF"/>
            <w:spacing w:val="0"/>
            <w:position w:val="0"/>
            <w:sz w:val="19"/>
            <w:u w:val="single"/>
            <w:shd w:fill="auto" w:val="clear"/>
          </w:rPr>
          <w:t xml:space="preserve">post_id=192</w:t>
        </w:r>
      </w:hyperlink>
      <w:r>
        <w:rPr>
          <w:rFonts w:ascii="Times New Roman" w:hAnsi="Times New Roman" w:cs="Times New Roman" w:eastAsia="Times New Roman"/>
          <w:color w:val="auto"/>
          <w:spacing w:val="0"/>
          <w:position w:val="0"/>
          <w:sz w:val="19"/>
          <w:shd w:fill="auto" w:val="clear"/>
        </w:rPr>
        <w:t xml:space="preserve"> Acesso em 07 jul. 2008. </w:t>
      </w:r>
      <w:r>
        <w:rPr>
          <w:rFonts w:ascii="Times New Roman" w:hAnsi="Times New Roman" w:cs="Times New Roman" w:eastAsia="Times New Roman"/>
          <w:color w:val="auto"/>
          <w:spacing w:val="0"/>
          <w:position w:val="9"/>
          <w:sz w:val="13"/>
          <w:shd w:fill="auto" w:val="clear"/>
        </w:rPr>
        <w:t xml:space="preserve">6 </w:t>
      </w:r>
      <w:r>
        <w:rPr>
          <w:rFonts w:ascii="Times New Roman" w:hAnsi="Times New Roman" w:cs="Times New Roman" w:eastAsia="Times New Roman"/>
          <w:color w:val="auto"/>
          <w:spacing w:val="0"/>
          <w:position w:val="9"/>
          <w:sz w:val="19"/>
          <w:shd w:fill="auto" w:val="clear"/>
        </w:rPr>
        <w:t xml:space="preserve">Referência ao Fórum Social Mundial e à frase “Um outro mundo é possível”.</w:t>
      </w:r>
    </w:p>
    <w:p>
      <w:pPr>
        <w:spacing w:before="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79"/>
        <w:ind w:right="121"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demandas impossíveis. (...) Essas palavras demonstram, simplesmente, que tanto o Estado liberal-democrático de hoje quanto o sonho de uma política anárquica de “reivindicações infinitas” existem numa relação de mútuo parasitismo: os militantes anárquicos produzem o pensamento ético, enquanto o Estado cumpre o papel de gerir e regular a sociedade. O militante anárquico ético-político de Critchley atua como um superego, bombardeando o Estado de demandas a partir de uma posição   confortável.</w:t>
      </w:r>
    </w:p>
    <w:p>
      <w:pPr>
        <w:spacing w:before="5" w:after="0" w:line="336"/>
        <w:ind w:right="121"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E quanto mais o Estado tenta satisfazer essas demandas, mais culpada é a aparência que ele assume.”</w:t>
      </w:r>
      <w:r>
        <w:rPr>
          <w:rFonts w:ascii="Times New Roman" w:hAnsi="Times New Roman" w:cs="Times New Roman" w:eastAsia="Times New Roman"/>
          <w:color w:val="auto"/>
          <w:spacing w:val="0"/>
          <w:position w:val="9"/>
          <w:sz w:val="13"/>
          <w:shd w:fill="auto" w:val="clear"/>
        </w:rPr>
        <w:t xml:space="preserve">7</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1" w:after="0" w:line="240"/>
        <w:ind w:right="0" w:left="0" w:firstLine="0"/>
        <w:jc w:val="left"/>
        <w:rPr>
          <w:rFonts w:ascii="Times New Roman" w:hAnsi="Times New Roman" w:cs="Times New Roman" w:eastAsia="Times New Roman"/>
          <w:color w:val="auto"/>
          <w:spacing w:val="0"/>
          <w:position w:val="0"/>
          <w:sz w:val="29"/>
          <w:shd w:fill="auto" w:val="clear"/>
        </w:rPr>
      </w:pPr>
    </w:p>
    <w:p>
      <w:pPr>
        <w:spacing w:before="0" w:after="0" w:line="360"/>
        <w:ind w:right="116"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decorrer de seu texto, Žižek discorda desta atitude do “militante anárquico ético- político” e propõe que a decisão realmente subversiva não está em insistir em reivindicações “infinitas”, que não podem ser atendidas pelos ocupantes do poder. “Como eles sabem que sabemos disso, essa atitude de promover ‘demandas infinitas’ não representa o menor  problema para os poderosos: ‘É ótimo que, com as suas demandas críticas, vocês nos lembrem em que tipo de mundo todos gostaríamos de viver. Infelizmente, vivemos no mundo real, onde temos de nos contentar com o que é possível’. Segundo o pensador o que devemos fazer é,  pelo  contrário,  bombardear  os  ocupantes  do  poder  com  demandas  estrategicamente  </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bem</w:t>
      </w:r>
    </w:p>
    <w:p>
      <w:pPr>
        <w:spacing w:before="0" w:after="0" w:line="280"/>
        <w:ind w:right="567" w:left="121" w:firstLine="0"/>
        <w:jc w:val="left"/>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escolhidas, precisas e finitas, que não possam ter como resposta essa mesma desculpa.”</w:t>
      </w:r>
      <w:r>
        <w:rPr>
          <w:rFonts w:ascii="Times New Roman" w:hAnsi="Times New Roman" w:cs="Times New Roman" w:eastAsia="Times New Roman"/>
          <w:color w:val="auto"/>
          <w:spacing w:val="0"/>
          <w:position w:val="11"/>
          <w:sz w:val="16"/>
          <w:shd w:fill="auto" w:val="clear"/>
        </w:rPr>
        <w:t xml:space="preserve">8</w:t>
      </w:r>
    </w:p>
    <w:p>
      <w:pPr>
        <w:spacing w:before="137" w:after="0" w:line="360"/>
        <w:ind w:right="120"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das formas encontradas pelas pessoas organizadas em coletivos e lutas e interessadas em uma democracia mais participativa são as Ações Civis Públicas: instrumento democrático que incentiva a participação social no controle e na fiscalização de temas, gestos, e ações que por ventura firam a coisa pública, sempre em parceria com o Ministério</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Público.</w:t>
      </w:r>
    </w:p>
    <w:p>
      <w:pPr>
        <w:spacing w:before="4" w:after="0" w:line="360"/>
        <w:ind w:right="120"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 seja, ousaríamos dizer que tomamos para nós, membros da sociedade em condições (ao menos imaginária) de disputa, o lugar da censura, no sentido freudiano: ao invés do Estado zelar pelo bem comum, somos nós, da sociedade civil, que apontamos as faltas e demandamos do Estado uma maior regulamentação e um maior controle.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379"/>
        <w:ind w:right="210"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“No lugar de enfatizar a falta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proibição na sociedade hoje, eu ressaltaria </w:t>
      </w:r>
      <w:r>
        <w:rPr>
          <w:rFonts w:ascii="Times New Roman" w:hAnsi="Times New Roman" w:cs="Times New Roman" w:eastAsia="Times New Roman"/>
          <w:color w:val="auto"/>
          <w:spacing w:val="3"/>
          <w:position w:val="0"/>
          <w:sz w:val="19"/>
          <w:shd w:fill="auto" w:val="clear"/>
        </w:rPr>
        <w:t xml:space="preserve">que </w:t>
      </w:r>
      <w:r>
        <w:rPr>
          <w:rFonts w:ascii="Times New Roman" w:hAnsi="Times New Roman" w:cs="Times New Roman" w:eastAsia="Times New Roman"/>
          <w:color w:val="auto"/>
          <w:spacing w:val="0"/>
          <w:position w:val="0"/>
          <w:sz w:val="19"/>
          <w:shd w:fill="auto" w:val="clear"/>
        </w:rPr>
        <w:t xml:space="preserve">a natureza da proibição mudou. De um lado, o sujeito cada  vez mais procura por</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novas formas de prazer e assim está sob a constante pressão do consumo (que tristemente, muitas vezes o leva ao consumo de si mesmo), mas, por outro, o sujeito procura desesperadamente novas formas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limites sociais. A autoproibição abre  </w:t>
      </w:r>
      <w:r>
        <w:rPr>
          <w:rFonts w:ascii="Times New Roman" w:hAnsi="Times New Roman" w:cs="Times New Roman" w:eastAsia="Times New Roman"/>
          <w:color w:val="auto"/>
          <w:spacing w:val="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as</w:t>
      </w:r>
    </w:p>
    <w:p>
      <w:pPr>
        <w:spacing w:before="3"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47" w:after="0" w:line="241"/>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7 </w:t>
      </w:r>
      <w:r>
        <w:rPr>
          <w:rFonts w:ascii="Times New Roman" w:hAnsi="Times New Roman" w:cs="Times New Roman" w:eastAsia="Times New Roman"/>
          <w:color w:val="auto"/>
          <w:spacing w:val="0"/>
          <w:position w:val="9"/>
          <w:sz w:val="19"/>
          <w:shd w:fill="auto" w:val="clear"/>
        </w:rPr>
        <w:t xml:space="preserve">ŽIŽEK, Slavoj “Resistir é capitular” revista Piauí, janeiro de 2008</w:t>
      </w:r>
    </w:p>
    <w:p>
      <w:pPr>
        <w:spacing w:before="0" w:after="0" w:line="241"/>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8 </w:t>
      </w:r>
      <w:r>
        <w:rPr>
          <w:rFonts w:ascii="Times New Roman" w:hAnsi="Times New Roman" w:cs="Times New Roman" w:eastAsia="Times New Roman"/>
          <w:color w:val="auto"/>
          <w:spacing w:val="0"/>
          <w:position w:val="9"/>
          <w:sz w:val="19"/>
          <w:shd w:fill="auto" w:val="clear"/>
        </w:rPr>
        <w:t xml:space="preserve">ŽIŽEK, Slavoj. Resistir é capitular. Revista Piauí, janeiro de 2008.</w:t>
      </w:r>
    </w:p>
    <w:p>
      <w:pPr>
        <w:spacing w:before="0" w:after="0" w:line="241"/>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60"/>
        <w:ind w:right="215"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portas para novas formas de desespero. E com a falta de autoridades tradicionais, o sujeito não parece estar próximo da “felicidade”. Ele procura desesperadamente por novas autoridades.”</w:t>
      </w:r>
      <w:r>
        <w:rPr>
          <w:rFonts w:ascii="Times New Roman" w:hAnsi="Times New Roman" w:cs="Times New Roman" w:eastAsia="Times New Roman"/>
          <w:color w:val="auto"/>
          <w:spacing w:val="0"/>
          <w:position w:val="9"/>
          <w:sz w:val="13"/>
          <w:shd w:fill="auto" w:val="clear"/>
        </w:rPr>
        <w:t xml:space="preserve">9</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27"/>
          <w:shd w:fill="auto" w:val="clear"/>
        </w:rPr>
      </w:pPr>
    </w:p>
    <w:p>
      <w:pPr>
        <w:spacing w:before="0" w:after="0" w:line="350"/>
        <w:ind w:right="115" w:left="121" w:firstLine="720"/>
        <w:jc w:val="both"/>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De acordo com Freud seria impossível passarmos sem o controle da massa por uma minoria: “já que as massas são preguiçosas e pouco inteligentes; não têm amor à renúncia instintual e que não podem ser convencidas pelo argumento de sua inevitabilidade; os indivíduos que as compõem apóiam-se uns aos outros em dar rédea livre a sua indisciplina.”</w:t>
      </w:r>
      <w:r>
        <w:rPr>
          <w:rFonts w:ascii="Times New Roman" w:hAnsi="Times New Roman" w:cs="Times New Roman" w:eastAsia="Times New Roman"/>
          <w:color w:val="auto"/>
          <w:spacing w:val="0"/>
          <w:position w:val="11"/>
          <w:sz w:val="16"/>
          <w:shd w:fill="auto" w:val="clear"/>
        </w:rPr>
        <w:t xml:space="preserve">10</w:t>
      </w:r>
    </w:p>
    <w:p>
      <w:pPr>
        <w:spacing w:before="0" w:after="0" w:line="360"/>
        <w:ind w:right="120"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Parece-nos, então, inevitável, diríamos “desejável”, que a liberdade do indivíduo e das massas seja regulada por ideologias que pouco tem a ver com nossos desejos mas que  garantem minimamente que o outro não terá a liberdade de fazer comigo o que eu renuncio em fazer com ele. Sacrificamos gozo e satisfação individual em nome de um projeto de civilização menos bom para mim como indivíduo mas melhor para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todos.</w:t>
      </w:r>
    </w:p>
    <w:p>
      <w:pPr>
        <w:spacing w:before="8" w:after="0" w:line="360"/>
        <w:ind w:right="121"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não é pouco o quanto custa à economia psíquica a inevitável escolha de vivermos em civilização. Em “O Futuro de uma ilusão”, o psicanalista afirma: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340"/>
        <w:ind w:right="121" w:left="2387" w:firstLine="48"/>
        <w:jc w:val="both"/>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0"/>
          <w:sz w:val="19"/>
          <w:shd w:fill="auto" w:val="clear"/>
        </w:rPr>
        <w:t xml:space="preserve">“... é digno de nota que, por pouco que os homens sejam capazes de existir isoladamente, sintam, não obstante, como um pesado fardo os sacrifícios que a civilização deles espera, a fim de tornar possível a vida comunitária. A civilização, portanto, tem de ser defendida contra o indivíduo, e seus regulamentos, instituições e ordens dirigem-se a essa tarefa.</w:t>
      </w:r>
      <w:r>
        <w:rPr>
          <w:rFonts w:ascii="Times New Roman" w:hAnsi="Times New Roman" w:cs="Times New Roman" w:eastAsia="Times New Roman"/>
          <w:color w:val="auto"/>
          <w:spacing w:val="0"/>
          <w:position w:val="9"/>
          <w:sz w:val="13"/>
          <w:shd w:fill="auto" w:val="clear"/>
        </w:rPr>
        <w:t xml:space="preserve">11</w:t>
      </w:r>
      <w:r>
        <w:rPr>
          <w:rFonts w:ascii="Times New Roman" w:hAnsi="Times New Roman" w:cs="Times New Roman" w:eastAsia="Times New Roman"/>
          <w:color w:val="auto"/>
          <w:spacing w:val="0"/>
          <w:position w:val="9"/>
          <w:sz w:val="19"/>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85" w:after="0" w:line="360"/>
        <w:ind w:right="121"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nossa sociedade hoje difere muito da cultura vitoriana em que nasceu e se criou Freud. Analisando de perto a diferença histórica percebemos que o pensamento do proto psicanalista dialoga com uma sociedade na qual gozo e satisfação pessoal deveriam ser reprimidos em nome de um projeto melhor de sociedade. Hoje, na nossa sociedade de  consumo</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espetáculo,</w:t>
      </w:r>
      <w:r>
        <w:rPr>
          <w:rFonts w:ascii="Times New Roman" w:hAnsi="Times New Roman" w:cs="Times New Roman" w:eastAsia="Times New Roman"/>
          <w:color w:val="auto"/>
          <w:spacing w:val="4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gozo</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imperativo</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4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deve</w:t>
      </w:r>
      <w:r>
        <w:rPr>
          <w:rFonts w:ascii="Times New Roman" w:hAnsi="Times New Roman" w:cs="Times New Roman" w:eastAsia="Times New Roman"/>
          <w:color w:val="auto"/>
          <w:spacing w:val="4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w:t>
      </w:r>
      <w:r>
        <w:rPr>
          <w:rFonts w:ascii="Times New Roman" w:hAnsi="Times New Roman" w:cs="Times New Roman" w:eastAsia="Times New Roman"/>
          <w:color w:val="auto"/>
          <w:spacing w:val="4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renunciado.</w:t>
      </w:r>
      <w:r>
        <w:rPr>
          <w:rFonts w:ascii="Times New Roman" w:hAnsi="Times New Roman" w:cs="Times New Roman" w:eastAsia="Times New Roman"/>
          <w:color w:val="auto"/>
          <w:spacing w:val="4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gozo,</w:t>
      </w:r>
      <w:r>
        <w:rPr>
          <w:rFonts w:ascii="Times New Roman" w:hAnsi="Times New Roman" w:cs="Times New Roman" w:eastAsia="Times New Roman"/>
          <w:color w:val="auto"/>
          <w:spacing w:val="4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1"/>
          <w:shd w:fill="auto" w:val="clear"/>
        </w:rPr>
      </w:pPr>
    </w:p>
    <w:p>
      <w:pPr>
        <w:spacing w:before="52" w:after="0" w:line="247"/>
        <w:ind w:right="10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9 </w:t>
      </w:r>
      <w:r>
        <w:rPr>
          <w:rFonts w:ascii="Times New Roman" w:hAnsi="Times New Roman" w:cs="Times New Roman" w:eastAsia="Times New Roman"/>
          <w:color w:val="auto"/>
          <w:spacing w:val="0"/>
          <w:position w:val="9"/>
          <w:sz w:val="19"/>
          <w:shd w:fill="auto" w:val="clear"/>
        </w:rPr>
        <w:t xml:space="preserve">SALECL, Renata. Sobre a felicidade - Ansiedade e Consumo na Era do Hipercapitalismo. São Paulo: Alameda, 2005. P. 49</w:t>
      </w:r>
    </w:p>
    <w:p>
      <w:pPr>
        <w:spacing w:before="0" w:after="0" w:line="240"/>
        <w:ind w:right="567" w:left="121" w:firstLine="0"/>
        <w:jc w:val="left"/>
        <w:rPr>
          <w:rFonts w:ascii="Times New Roman" w:hAnsi="Times New Roman" w:cs="Times New Roman" w:eastAsia="Times New Roman"/>
          <w:b/>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10 </w:t>
      </w:r>
      <w:r>
        <w:rPr>
          <w:rFonts w:ascii="Times New Roman" w:hAnsi="Times New Roman" w:cs="Times New Roman" w:eastAsia="Times New Roman"/>
          <w:color w:val="auto"/>
          <w:spacing w:val="0"/>
          <w:position w:val="9"/>
          <w:sz w:val="19"/>
          <w:shd w:fill="auto" w:val="clear"/>
        </w:rPr>
        <w:t xml:space="preserve">FREUD, Sigmund. O Futuro de uma ilusão (1927). In: </w:t>
      </w:r>
      <w:r>
        <w:rPr>
          <w:rFonts w:ascii="Times New Roman" w:hAnsi="Times New Roman" w:cs="Times New Roman" w:eastAsia="Times New Roman"/>
          <w:b/>
          <w:color w:val="auto"/>
          <w:spacing w:val="0"/>
          <w:position w:val="9"/>
          <w:sz w:val="19"/>
          <w:shd w:fill="auto" w:val="clear"/>
        </w:rPr>
        <w:t xml:space="preserve">Obras completas de Sigmund Freud: edição</w:t>
      </w:r>
    </w:p>
    <w:p>
      <w:pPr>
        <w:spacing w:before="12"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standard brasileira</w:t>
      </w:r>
      <w:r>
        <w:rPr>
          <w:rFonts w:ascii="Times New Roman" w:hAnsi="Times New Roman" w:cs="Times New Roman" w:eastAsia="Times New Roman"/>
          <w:color w:val="auto"/>
          <w:spacing w:val="0"/>
          <w:position w:val="0"/>
          <w:sz w:val="19"/>
          <w:shd w:fill="auto" w:val="clear"/>
        </w:rPr>
        <w:t xml:space="preserve">, volume XXI – Rio de Janeiro: Imago, 1996. P.17</w:t>
      </w:r>
    </w:p>
    <w:p>
      <w:pPr>
        <w:spacing w:before="5" w:after="0" w:line="240"/>
        <w:ind w:right="0" w:left="0" w:firstLine="0"/>
        <w:jc w:val="left"/>
        <w:rPr>
          <w:rFonts w:ascii="Times New Roman" w:hAnsi="Times New Roman" w:cs="Times New Roman" w:eastAsia="Times New Roman"/>
          <w:color w:val="auto"/>
          <w:spacing w:val="0"/>
          <w:position w:val="0"/>
          <w:sz w:val="21"/>
          <w:shd w:fill="auto" w:val="clear"/>
        </w:rPr>
      </w:pPr>
    </w:p>
    <w:p>
      <w:pPr>
        <w:numPr>
          <w:ilvl w:val="0"/>
          <w:numId w:val="856"/>
        </w:numPr>
        <w:tabs>
          <w:tab w:val="left" w:pos="343" w:leader="none"/>
        </w:tabs>
        <w:spacing w:before="0" w:after="0" w:line="259"/>
        <w:ind w:right="902"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FREUD,</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Sigmund.</w:t>
      </w:r>
      <w:r>
        <w:rPr>
          <w:rFonts w:ascii="Times New Roman" w:hAnsi="Times New Roman" w:cs="Times New Roman" w:eastAsia="Times New Roman"/>
          <w:color w:val="auto"/>
          <w:spacing w:val="-6"/>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O</w:t>
      </w:r>
      <w:r>
        <w:rPr>
          <w:rFonts w:ascii="Times New Roman" w:hAnsi="Times New Roman" w:cs="Times New Roman" w:eastAsia="Times New Roman"/>
          <w:color w:val="auto"/>
          <w:spacing w:val="1"/>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Futuro</w:t>
      </w:r>
      <w:r>
        <w:rPr>
          <w:rFonts w:ascii="Times New Roman" w:hAnsi="Times New Roman" w:cs="Times New Roman" w:eastAsia="Times New Roman"/>
          <w:color w:val="auto"/>
          <w:spacing w:val="-3"/>
          <w:position w:val="0"/>
          <w:sz w:val="19"/>
          <w:shd w:fill="auto" w:val="clear"/>
        </w:rPr>
        <w:t xml:space="preserve"> </w:t>
      </w:r>
      <w:r>
        <w:rPr>
          <w:rFonts w:ascii="Times New Roman" w:hAnsi="Times New Roman" w:cs="Times New Roman" w:eastAsia="Times New Roman"/>
          <w:color w:val="auto"/>
          <w:spacing w:val="3"/>
          <w:position w:val="0"/>
          <w:sz w:val="19"/>
          <w:shd w:fill="auto" w:val="clear"/>
        </w:rPr>
        <w:t xml:space="preserve">de</w:t>
      </w:r>
      <w:r>
        <w:rPr>
          <w:rFonts w:ascii="Times New Roman" w:hAnsi="Times New Roman" w:cs="Times New Roman" w:eastAsia="Times New Roman"/>
          <w:color w:val="auto"/>
          <w:spacing w:val="-6"/>
          <w:position w:val="0"/>
          <w:sz w:val="19"/>
          <w:shd w:fill="auto" w:val="clear"/>
        </w:rPr>
        <w:t xml:space="preserve"> </w:t>
      </w:r>
      <w:r>
        <w:rPr>
          <w:rFonts w:ascii="Times New Roman" w:hAnsi="Times New Roman" w:cs="Times New Roman" w:eastAsia="Times New Roman"/>
          <w:color w:val="auto"/>
          <w:spacing w:val="2"/>
          <w:position w:val="0"/>
          <w:sz w:val="19"/>
          <w:shd w:fill="auto" w:val="clear"/>
        </w:rPr>
        <w:t xml:space="preserve">uma</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ilusão</w:t>
      </w:r>
      <w:r>
        <w:rPr>
          <w:rFonts w:ascii="Times New Roman" w:hAnsi="Times New Roman" w:cs="Times New Roman" w:eastAsia="Times New Roman"/>
          <w:color w:val="auto"/>
          <w:spacing w:val="-3"/>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(1927).</w:t>
      </w:r>
      <w:r>
        <w:rPr>
          <w:rFonts w:ascii="Times New Roman" w:hAnsi="Times New Roman" w:cs="Times New Roman" w:eastAsia="Times New Roman"/>
          <w:color w:val="auto"/>
          <w:spacing w:val="-6"/>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In:</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Obras</w:t>
      </w:r>
      <w:r>
        <w:rPr>
          <w:rFonts w:ascii="Times New Roman" w:hAnsi="Times New Roman" w:cs="Times New Roman" w:eastAsia="Times New Roman"/>
          <w:b/>
          <w:color w:val="auto"/>
          <w:spacing w:val="-5"/>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completas</w:t>
      </w:r>
      <w:r>
        <w:rPr>
          <w:rFonts w:ascii="Times New Roman" w:hAnsi="Times New Roman" w:cs="Times New Roman" w:eastAsia="Times New Roman"/>
          <w:b/>
          <w:color w:val="auto"/>
          <w:spacing w:val="-5"/>
          <w:position w:val="0"/>
          <w:sz w:val="19"/>
          <w:shd w:fill="auto" w:val="clear"/>
        </w:rPr>
        <w:t xml:space="preserve"> </w:t>
      </w:r>
      <w:r>
        <w:rPr>
          <w:rFonts w:ascii="Times New Roman" w:hAnsi="Times New Roman" w:cs="Times New Roman" w:eastAsia="Times New Roman"/>
          <w:b/>
          <w:color w:val="auto"/>
          <w:spacing w:val="2"/>
          <w:position w:val="0"/>
          <w:sz w:val="19"/>
          <w:shd w:fill="auto" w:val="clear"/>
        </w:rPr>
        <w:t xml:space="preserve">de</w:t>
      </w:r>
      <w:r>
        <w:rPr>
          <w:rFonts w:ascii="Times New Roman" w:hAnsi="Times New Roman" w:cs="Times New Roman" w:eastAsia="Times New Roman"/>
          <w:b/>
          <w:color w:val="auto"/>
          <w:spacing w:val="-6"/>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Sigmund Freud: edição standard brasileira</w:t>
      </w:r>
      <w:r>
        <w:rPr>
          <w:rFonts w:ascii="Times New Roman" w:hAnsi="Times New Roman" w:cs="Times New Roman" w:eastAsia="Times New Roman"/>
          <w:color w:val="auto"/>
          <w:spacing w:val="0"/>
          <w:position w:val="0"/>
          <w:sz w:val="19"/>
          <w:shd w:fill="auto" w:val="clear"/>
        </w:rPr>
        <w:t xml:space="preserve">, volume XXI – Rio de Janeiro: Imago, 1996.</w:t>
      </w:r>
      <w:r>
        <w:rPr>
          <w:rFonts w:ascii="Times New Roman" w:hAnsi="Times New Roman" w:cs="Times New Roman" w:eastAsia="Times New Roman"/>
          <w:color w:val="auto"/>
          <w:spacing w:val="-16"/>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P.16</w:t>
      </w:r>
    </w:p>
    <w:p>
      <w:pPr>
        <w:spacing w:before="0" w:after="0" w:line="259"/>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0"/>
        <w:ind w:right="116" w:left="1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excesso, o máximo de prazer e o flerte com a morte, deve ser procurado, vivido e, se tivermos oportunidade, vivido na esfera pública midiatizada. Somos bombardeados com ordens para que tiremos o máximo de proveito das pessoas, objetos, situações, experiências. Esta é a demanda do Outro de nosso tempo: gozar, sem se preocupar com a amanhã.</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379"/>
        <w:ind w:right="121"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“A idéia de permissão, no inconsciente, associa-se imediatamente a um imperativo.</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Se tudo é permitido, tudo é possível – e, </w:t>
      </w:r>
      <w:r>
        <w:rPr>
          <w:rFonts w:ascii="Times New Roman" w:hAnsi="Times New Roman" w:cs="Times New Roman" w:eastAsia="Times New Roman"/>
          <w:color w:val="auto"/>
          <w:spacing w:val="2"/>
          <w:position w:val="0"/>
          <w:sz w:val="19"/>
          <w:shd w:fill="auto" w:val="clear"/>
        </w:rPr>
        <w:t xml:space="preserve">se </w:t>
      </w:r>
      <w:r>
        <w:rPr>
          <w:rFonts w:ascii="Times New Roman" w:hAnsi="Times New Roman" w:cs="Times New Roman" w:eastAsia="Times New Roman"/>
          <w:color w:val="auto"/>
          <w:spacing w:val="0"/>
          <w:position w:val="0"/>
          <w:sz w:val="19"/>
          <w:shd w:fill="auto" w:val="clear"/>
        </w:rPr>
        <w:t xml:space="preserve">você </w:t>
      </w:r>
      <w:r>
        <w:rPr>
          <w:rFonts w:ascii="Times New Roman" w:hAnsi="Times New Roman" w:cs="Times New Roman" w:eastAsia="Times New Roman"/>
          <w:i/>
          <w:color w:val="auto"/>
          <w:spacing w:val="0"/>
          <w:position w:val="0"/>
          <w:sz w:val="19"/>
          <w:shd w:fill="auto" w:val="clear"/>
        </w:rPr>
        <w:t xml:space="preserve">pode</w:t>
      </w:r>
      <w:r>
        <w:rPr>
          <w:rFonts w:ascii="Times New Roman" w:hAnsi="Times New Roman" w:cs="Times New Roman" w:eastAsia="Times New Roman"/>
          <w:color w:val="auto"/>
          <w:spacing w:val="0"/>
          <w:position w:val="0"/>
          <w:sz w:val="19"/>
          <w:shd w:fill="auto" w:val="clear"/>
        </w:rPr>
        <w:t xml:space="preserve">, você </w:t>
      </w:r>
      <w:r>
        <w:rPr>
          <w:rFonts w:ascii="Times New Roman" w:hAnsi="Times New Roman" w:cs="Times New Roman" w:eastAsia="Times New Roman"/>
          <w:i/>
          <w:color w:val="auto"/>
          <w:spacing w:val="0"/>
          <w:position w:val="0"/>
          <w:sz w:val="19"/>
          <w:shd w:fill="auto" w:val="clear"/>
        </w:rPr>
        <w:t xml:space="preserve">deve</w:t>
      </w:r>
      <w:r>
        <w:rPr>
          <w:rFonts w:ascii="Times New Roman" w:hAnsi="Times New Roman" w:cs="Times New Roman" w:eastAsia="Times New Roman"/>
          <w:color w:val="auto"/>
          <w:spacing w:val="0"/>
          <w:position w:val="0"/>
          <w:sz w:val="19"/>
          <w:shd w:fill="auto" w:val="clear"/>
        </w:rPr>
        <w:t xml:space="preserve">. </w:t>
      </w:r>
      <w:r>
        <w:rPr>
          <w:rFonts w:ascii="Times New Roman" w:hAnsi="Times New Roman" w:cs="Times New Roman" w:eastAsia="Times New Roman"/>
          <w:color w:val="auto"/>
          <w:spacing w:val="2"/>
          <w:position w:val="0"/>
          <w:sz w:val="19"/>
          <w:shd w:fill="auto" w:val="clear"/>
        </w:rPr>
        <w:t xml:space="preserve">Se </w:t>
      </w:r>
      <w:r>
        <w:rPr>
          <w:rFonts w:ascii="Times New Roman" w:hAnsi="Times New Roman" w:cs="Times New Roman" w:eastAsia="Times New Roman"/>
          <w:color w:val="auto"/>
          <w:spacing w:val="0"/>
          <w:position w:val="0"/>
          <w:sz w:val="19"/>
          <w:shd w:fill="auto" w:val="clear"/>
        </w:rPr>
        <w:t xml:space="preserve">você </w:t>
      </w:r>
      <w:r>
        <w:rPr>
          <w:rFonts w:ascii="Times New Roman" w:hAnsi="Times New Roman" w:cs="Times New Roman" w:eastAsia="Times New Roman"/>
          <w:color w:val="auto"/>
          <w:spacing w:val="2"/>
          <w:position w:val="0"/>
          <w:sz w:val="19"/>
          <w:shd w:fill="auto" w:val="clear"/>
        </w:rPr>
        <w:t xml:space="preserve">pode </w:t>
      </w:r>
      <w:r>
        <w:rPr>
          <w:rFonts w:ascii="Times New Roman" w:hAnsi="Times New Roman" w:cs="Times New Roman" w:eastAsia="Times New Roman"/>
          <w:color w:val="auto"/>
          <w:spacing w:val="0"/>
          <w:position w:val="0"/>
          <w:sz w:val="19"/>
          <w:shd w:fill="auto" w:val="clear"/>
        </w:rPr>
        <w:t xml:space="preserve">expressar que você deseja estuprar uma criancinha e isso não causa escândalo, se não há no senso comum, no consenso produzido pela sociedade, nenhum limite para essa idéia, </w:t>
      </w:r>
      <w:r>
        <w:rPr>
          <w:rFonts w:ascii="Times New Roman" w:hAnsi="Times New Roman" w:cs="Times New Roman" w:eastAsia="Times New Roman"/>
          <w:color w:val="auto"/>
          <w:spacing w:val="2"/>
          <w:position w:val="0"/>
          <w:sz w:val="19"/>
          <w:shd w:fill="auto" w:val="clear"/>
        </w:rPr>
        <w:t xml:space="preserve">nenhum </w:t>
      </w:r>
      <w:r>
        <w:rPr>
          <w:rFonts w:ascii="Times New Roman" w:hAnsi="Times New Roman" w:cs="Times New Roman" w:eastAsia="Times New Roman"/>
          <w:color w:val="auto"/>
          <w:spacing w:val="0"/>
          <w:position w:val="0"/>
          <w:sz w:val="19"/>
          <w:shd w:fill="auto" w:val="clear"/>
        </w:rPr>
        <w:t xml:space="preserve">discurso forte que a circunscreva como intolerável, a “publicidade” </w:t>
      </w:r>
      <w:r>
        <w:rPr>
          <w:rFonts w:ascii="Times New Roman" w:hAnsi="Times New Roman" w:cs="Times New Roman" w:eastAsia="Times New Roman"/>
          <w:color w:val="auto"/>
          <w:spacing w:val="5"/>
          <w:position w:val="0"/>
          <w:sz w:val="19"/>
          <w:shd w:fill="auto" w:val="clear"/>
        </w:rPr>
        <w:t xml:space="preserve"> </w:t>
      </w:r>
      <w:r>
        <w:rPr>
          <w:rFonts w:ascii="Times New Roman" w:hAnsi="Times New Roman" w:cs="Times New Roman" w:eastAsia="Times New Roman"/>
          <w:color w:val="auto"/>
          <w:spacing w:val="3"/>
          <w:position w:val="0"/>
          <w:sz w:val="19"/>
          <w:shd w:fill="auto" w:val="clear"/>
        </w:rPr>
        <w:t xml:space="preserve">de</w:t>
      </w:r>
    </w:p>
    <w:p>
      <w:pPr>
        <w:spacing w:before="5" w:after="0" w:line="343"/>
        <w:ind w:right="121"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uma fantasia equivale a um incentivo para a sua realização: vá lá e faça, é a sua obrigação, é o mínimo que você pode fazer.”</w:t>
      </w:r>
      <w:r>
        <w:rPr>
          <w:rFonts w:ascii="Times New Roman" w:hAnsi="Times New Roman" w:cs="Times New Roman" w:eastAsia="Times New Roman"/>
          <w:color w:val="auto"/>
          <w:spacing w:val="0"/>
          <w:position w:val="9"/>
          <w:sz w:val="13"/>
          <w:shd w:fill="auto" w:val="clear"/>
        </w:rPr>
        <w:t xml:space="preserve">12</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45"/>
        <w:ind w:right="212" w:left="121" w:firstLine="720"/>
        <w:jc w:val="both"/>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Segundo o crítico de televisão Eugenio Bucci e a psicanalista Maria Rita Kelh no livro </w:t>
      </w:r>
      <w:r>
        <w:rPr>
          <w:rFonts w:ascii="Times New Roman" w:hAnsi="Times New Roman" w:cs="Times New Roman" w:eastAsia="Times New Roman"/>
          <w:b/>
          <w:color w:val="auto"/>
          <w:spacing w:val="0"/>
          <w:position w:val="0"/>
          <w:sz w:val="24"/>
          <w:shd w:fill="auto" w:val="clear"/>
        </w:rPr>
        <w:t xml:space="preserve">Videologias</w:t>
      </w:r>
      <w:r>
        <w:rPr>
          <w:rFonts w:ascii="Times New Roman" w:hAnsi="Times New Roman" w:cs="Times New Roman" w:eastAsia="Times New Roman"/>
          <w:b/>
          <w:color w:val="auto"/>
          <w:spacing w:val="0"/>
          <w:position w:val="11"/>
          <w:sz w:val="16"/>
          <w:shd w:fill="auto" w:val="clear"/>
        </w:rPr>
        <w:t xml:space="preserve">13 </w:t>
      </w:r>
      <w:r>
        <w:rPr>
          <w:rFonts w:ascii="Times New Roman" w:hAnsi="Times New Roman" w:cs="Times New Roman" w:eastAsia="Times New Roman"/>
          <w:color w:val="auto"/>
          <w:spacing w:val="0"/>
          <w:position w:val="11"/>
          <w:sz w:val="24"/>
          <w:shd w:fill="auto" w:val="clear"/>
        </w:rPr>
        <w:t xml:space="preserve">“vivemos uma era em que tudo concorre para a imagem, para a visibilidade e para a composição de sentidos no plano do olhar. (...) a comunicação e mesmo a linguagem passam a necessitar do suporte das imagens num grau que não se registrou em outro período histórico.”</w:t>
      </w:r>
      <w:r>
        <w:rPr>
          <w:rFonts w:ascii="Times New Roman" w:hAnsi="Times New Roman" w:cs="Times New Roman" w:eastAsia="Times New Roman"/>
          <w:color w:val="auto"/>
          <w:spacing w:val="0"/>
          <w:position w:val="11"/>
          <w:sz w:val="16"/>
          <w:shd w:fill="auto" w:val="clear"/>
        </w:rPr>
        <w:t xml:space="preserve">14</w:t>
      </w:r>
    </w:p>
    <w:p>
      <w:pPr>
        <w:spacing w:before="7" w:after="0" w:line="360"/>
        <w:ind w:right="117"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a televisão, entre todas as mídias, tem um destaque no nosso tempo. Sobretudo no caso brasileiro, é a televisão quem instaura o espaço púbico. Segundo dados do IBGE (PNAD/2205), o televisor está em 90,3% dos domicílio brasileiros – número que supera o de casas com geladeira e o de residências atendidas por serviços de saneamento</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básico.</w:t>
      </w:r>
    </w:p>
    <w:p>
      <w:pPr>
        <w:spacing w:before="8" w:after="0" w:line="348"/>
        <w:ind w:right="210" w:left="121" w:firstLine="72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Devemos à TV a integração nacional sonhada pelos militares. Desde a década de 60, a TV teve contribuição decisiva na padronização dos costumes no Brasil. “Durante o governo Figueiredo (1979-1985), foram concedidos nada menos do que 634 canais de radiodifusão, 295 rádios AM, 299 rádios FM e 40 emissoras de TV”.</w:t>
      </w:r>
      <w:r>
        <w:rPr>
          <w:rFonts w:ascii="Times New Roman" w:hAnsi="Times New Roman" w:cs="Times New Roman" w:eastAsia="Times New Roman"/>
          <w:color w:val="auto"/>
          <w:spacing w:val="0"/>
          <w:position w:val="11"/>
          <w:sz w:val="16"/>
          <w:shd w:fill="auto" w:val="clear"/>
        </w:rPr>
        <w:t xml:space="preserve">15 </w:t>
      </w:r>
      <w:r>
        <w:rPr>
          <w:rFonts w:ascii="Times New Roman" w:hAnsi="Times New Roman" w:cs="Times New Roman" w:eastAsia="Times New Roman"/>
          <w:color w:val="auto"/>
          <w:spacing w:val="0"/>
          <w:position w:val="11"/>
          <w:sz w:val="24"/>
          <w:shd w:fill="auto" w:val="clear"/>
        </w:rPr>
        <w:t xml:space="preserve">Desde o Acre até o Rio Grande do</w:t>
      </w:r>
    </w:p>
    <w:p>
      <w:pPr>
        <w:spacing w:before="4" w:after="0" w:line="360"/>
        <w:ind w:right="211" w:left="1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Sul, nos reconhecemos brasileiros e pertencentes a mesmo cultura veiculada na TV – “Globo, a gente se vê por aqui”, diz o slogan.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3"/>
          <w:shd w:fill="auto" w:val="clear"/>
        </w:rPr>
      </w:pPr>
    </w:p>
    <w:p>
      <w:pPr>
        <w:numPr>
          <w:ilvl w:val="0"/>
          <w:numId w:val="873"/>
        </w:numPr>
        <w:tabs>
          <w:tab w:val="left" w:pos="343" w:leader="none"/>
        </w:tabs>
        <w:spacing w:before="38" w:after="0" w:line="240"/>
        <w:ind w:right="0" w:left="342" w:hanging="221"/>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KEHL, Maria Rita. Televisão e violência do Imaginário. In BUCCI, Eugênio; KEHL, Maria</w:t>
      </w:r>
      <w:r>
        <w:rPr>
          <w:rFonts w:ascii="Times New Roman" w:hAnsi="Times New Roman" w:cs="Times New Roman" w:eastAsia="Times New Roman"/>
          <w:color w:val="auto"/>
          <w:spacing w:val="-18"/>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Rita.</w:t>
      </w:r>
    </w:p>
    <w:p>
      <w:pPr>
        <w:spacing w:before="21"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87</w:t>
      </w:r>
    </w:p>
    <w:p>
      <w:pPr>
        <w:spacing w:before="0" w:after="0" w:line="240"/>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13 </w:t>
      </w:r>
      <w:r>
        <w:rPr>
          <w:rFonts w:ascii="Times New Roman" w:hAnsi="Times New Roman" w:cs="Times New Roman" w:eastAsia="Times New Roman"/>
          <w:color w:val="auto"/>
          <w:spacing w:val="0"/>
          <w:position w:val="9"/>
          <w:sz w:val="19"/>
          <w:shd w:fill="auto" w:val="clear"/>
        </w:rPr>
        <w:t xml:space="preserve">BUCCI, Eugênio; KEHL, Maria Rita. </w:t>
      </w:r>
      <w:r>
        <w:rPr>
          <w:rFonts w:ascii="Times New Roman" w:hAnsi="Times New Roman" w:cs="Times New Roman" w:eastAsia="Times New Roman"/>
          <w:b/>
          <w:color w:val="auto"/>
          <w:spacing w:val="0"/>
          <w:position w:val="9"/>
          <w:sz w:val="19"/>
          <w:shd w:fill="auto" w:val="clear"/>
        </w:rPr>
        <w:t xml:space="preserve">Videologias</w:t>
      </w:r>
      <w:r>
        <w:rPr>
          <w:rFonts w:ascii="Times New Roman" w:hAnsi="Times New Roman" w:cs="Times New Roman" w:eastAsia="Times New Roman"/>
          <w:color w:val="auto"/>
          <w:spacing w:val="0"/>
          <w:position w:val="9"/>
          <w:sz w:val="19"/>
          <w:shd w:fill="auto" w:val="clear"/>
        </w:rPr>
        <w:t xml:space="preserve">. São Paulo: Boitempo, 2004.</w:t>
      </w:r>
    </w:p>
    <w:p>
      <w:pPr>
        <w:spacing w:before="0" w:after="0" w:line="241"/>
        <w:ind w:right="10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14 </w:t>
      </w:r>
      <w:r>
        <w:rPr>
          <w:rFonts w:ascii="Times New Roman" w:hAnsi="Times New Roman" w:cs="Times New Roman" w:eastAsia="Times New Roman"/>
          <w:color w:val="auto"/>
          <w:spacing w:val="0"/>
          <w:position w:val="9"/>
          <w:sz w:val="19"/>
          <w:shd w:fill="auto" w:val="clear"/>
        </w:rPr>
        <w:t xml:space="preserve">BUCCI, Eugênio; KEHL, Maria Rita. Introdução: o Mito não Pára. In: BUCCI, Eugênio; KEHL, Maria Rita.</w:t>
      </w:r>
    </w:p>
    <w:p>
      <w:pPr>
        <w:spacing w:before="12"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16</w:t>
      </w:r>
    </w:p>
    <w:p>
      <w:pPr>
        <w:spacing w:before="0" w:after="0" w:line="241"/>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15 </w:t>
      </w:r>
      <w:r>
        <w:rPr>
          <w:rFonts w:ascii="Times New Roman" w:hAnsi="Times New Roman" w:cs="Times New Roman" w:eastAsia="Times New Roman"/>
          <w:color w:val="auto"/>
          <w:spacing w:val="0"/>
          <w:position w:val="9"/>
          <w:sz w:val="19"/>
          <w:shd w:fill="auto" w:val="clear"/>
        </w:rPr>
        <w:t xml:space="preserve">“Concessões de Rádio e TV” informativo do Intervozes, novembro de 2007. Link para o site</w:t>
      </w:r>
    </w:p>
    <w:p>
      <w:pPr>
        <w:spacing w:before="0" w:after="0" w:line="241"/>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2"/>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Pois bem, é nesta televisão e rádios que a música </w:t>
      </w:r>
      <w:r>
        <w:rPr>
          <w:rFonts w:ascii="Times New Roman" w:hAnsi="Times New Roman" w:cs="Times New Roman" w:eastAsia="Times New Roman"/>
          <w:i/>
          <w:color w:val="auto"/>
          <w:spacing w:val="0"/>
          <w:position w:val="0"/>
          <w:sz w:val="24"/>
          <w:shd w:fill="auto" w:val="clear"/>
        </w:rPr>
        <w:t xml:space="preserve">Um Tapinha não dói </w:t>
      </w:r>
      <w:r>
        <w:rPr>
          <w:rFonts w:ascii="Times New Roman" w:hAnsi="Times New Roman" w:cs="Times New Roman" w:eastAsia="Times New Roman"/>
          <w:color w:val="auto"/>
          <w:spacing w:val="0"/>
          <w:position w:val="0"/>
          <w:sz w:val="24"/>
          <w:shd w:fill="auto" w:val="clear"/>
        </w:rPr>
        <w:t xml:space="preserve">foi veiculada até o excesso.</w:t>
      </w:r>
    </w:p>
    <w:p>
      <w:pPr>
        <w:spacing w:before="1"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primeira pergunta que talvez nos caiba é se uma música pode incentivar alguma ação? Ou seja, uma das causas da violência concreta seria a violência no imaginário? Deveríamos reforçar nosso super ego e portanto, triplicar a vigilância, para sobrevivermos aos apelos da violência da imagem?</w:t>
      </w:r>
    </w:p>
    <w:p>
      <w:pPr>
        <w:spacing w:before="4" w:after="0" w:line="348"/>
        <w:ind w:right="120" w:left="121" w:firstLine="720"/>
        <w:jc w:val="both"/>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Bucci e Maria Rita, na introdução do livro, afirmam que a televisão não cria nada,  antes autoriza o que já acontece no campo da vida. “Autoriza e legitima práticas de linguagem que se tornam confortáveis e indiscutíveis para a sociedade, pelo efeito da enorme circulação e da constante repetição que ela promove.”</w:t>
      </w:r>
      <w:r>
        <w:rPr>
          <w:rFonts w:ascii="Times New Roman" w:hAnsi="Times New Roman" w:cs="Times New Roman" w:eastAsia="Times New Roman"/>
          <w:color w:val="auto"/>
          <w:spacing w:val="0"/>
          <w:position w:val="11"/>
          <w:sz w:val="16"/>
          <w:shd w:fill="auto" w:val="clear"/>
        </w:rPr>
        <w:t xml:space="preserve">16 </w:t>
      </w:r>
      <w:r>
        <w:rPr>
          <w:rFonts w:ascii="Times New Roman" w:hAnsi="Times New Roman" w:cs="Times New Roman" w:eastAsia="Times New Roman"/>
          <w:color w:val="auto"/>
          <w:spacing w:val="0"/>
          <w:position w:val="11"/>
          <w:sz w:val="24"/>
          <w:shd w:fill="auto" w:val="clear"/>
        </w:rPr>
        <w:t xml:space="preserve">E Bucci prossegue e aprofunda este pensamento no texto “A Crítica de Televisão”: “o real (realidade) só é admitido enquanto argumento a partir de sua absorção pelo simbólico (...) o que não aparece na TV não acontece de</w:t>
      </w:r>
      <w:r>
        <w:rPr>
          <w:rFonts w:ascii="Times New Roman" w:hAnsi="Times New Roman" w:cs="Times New Roman" w:eastAsia="Times New Roman"/>
          <w:color w:val="auto"/>
          <w:spacing w:val="-23"/>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fato.”</w:t>
      </w:r>
      <w:r>
        <w:rPr>
          <w:rFonts w:ascii="Times New Roman" w:hAnsi="Times New Roman" w:cs="Times New Roman" w:eastAsia="Times New Roman"/>
          <w:color w:val="auto"/>
          <w:spacing w:val="0"/>
          <w:position w:val="11"/>
          <w:sz w:val="16"/>
          <w:shd w:fill="auto" w:val="clear"/>
        </w:rPr>
        <w:t xml:space="preserve">17</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194" w:after="0" w:line="379"/>
        <w:ind w:right="2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“Uns ainda crêem que a TV “influencia” a platéia, como se ela desse ordens de conduta para a platéia, como se fosse urdida, arquitetada, premeditada, num espaço exterior ao da própria linguagem compartilhada com os falantes. Não é bem isso. Se a Tv “influencia”, ela influencia exatamente na medida em que precipita o mito, que já estava lá, na fala roubada, pressuposto. Em outras palavras, a TV só influencia porque é o elo que industrializa a confecção do mito e o recoloca na comunidade falante. A TV não manda ninguém fazer o que faz; antes autoriza, como espelho premonitório, que seja feito o que já é feito. Autoriza e legitima práticas de linguagem que se tornam confortáveis e indiscutíveis para a sociedade, pelo efeito</w:t>
      </w:r>
    </w:p>
    <w:p>
      <w:pPr>
        <w:spacing w:before="5" w:after="0" w:line="336"/>
        <w:ind w:right="216"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da enorme circulação e da constante repetição que ela promove. A TV sintetiza o mito.”</w:t>
      </w:r>
      <w:r>
        <w:rPr>
          <w:rFonts w:ascii="Times New Roman" w:hAnsi="Times New Roman" w:cs="Times New Roman" w:eastAsia="Times New Roman"/>
          <w:color w:val="auto"/>
          <w:spacing w:val="0"/>
          <w:position w:val="9"/>
          <w:sz w:val="13"/>
          <w:shd w:fill="auto" w:val="clear"/>
        </w:rPr>
        <w:t xml:space="preserve">18</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1" w:after="0" w:line="240"/>
        <w:ind w:right="0" w:left="0" w:firstLine="0"/>
        <w:jc w:val="left"/>
        <w:rPr>
          <w:rFonts w:ascii="Times New Roman" w:hAnsi="Times New Roman" w:cs="Times New Roman" w:eastAsia="Times New Roman"/>
          <w:color w:val="auto"/>
          <w:spacing w:val="0"/>
          <w:position w:val="0"/>
          <w:sz w:val="29"/>
          <w:shd w:fill="auto" w:val="clear"/>
        </w:rPr>
      </w:pPr>
    </w:p>
    <w:p>
      <w:pPr>
        <w:spacing w:before="0" w:after="0" w:line="240"/>
        <w:ind w:right="107" w:left="90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é uma visão bastante semelhante ao ponto de vista da marxista Cecília Toledo: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893"/>
        </w:numPr>
        <w:tabs>
          <w:tab w:val="left" w:pos="343" w:leader="none"/>
        </w:tabs>
        <w:spacing w:before="42" w:after="0" w:line="240"/>
        <w:ind w:right="0" w:left="342" w:hanging="221"/>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BUCCI, Eugênio; KEHL, Maria Rita. Introdução: o Mito não Pára. In: BUCCI, Eugênio; KEHL, Maria</w:t>
      </w:r>
      <w:r>
        <w:rPr>
          <w:rFonts w:ascii="Times New Roman" w:hAnsi="Times New Roman" w:cs="Times New Roman" w:eastAsia="Times New Roman"/>
          <w:color w:val="auto"/>
          <w:spacing w:val="-2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Rita.</w:t>
      </w:r>
    </w:p>
    <w:p>
      <w:pPr>
        <w:spacing w:before="16"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19</w:t>
      </w:r>
    </w:p>
    <w:p>
      <w:pPr>
        <w:numPr>
          <w:ilvl w:val="0"/>
          <w:numId w:val="895"/>
        </w:numPr>
        <w:tabs>
          <w:tab w:val="left" w:pos="343" w:leader="none"/>
        </w:tabs>
        <w:spacing w:before="0" w:after="0" w:line="285"/>
        <w:ind w:right="0" w:left="342" w:hanging="221"/>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BUCCI, Eugênio; A Crítica de Televisão. </w:t>
      </w:r>
      <w:r>
        <w:rPr>
          <w:rFonts w:ascii="Times New Roman" w:hAnsi="Times New Roman" w:cs="Times New Roman" w:eastAsia="Times New Roman"/>
          <w:color w:val="auto"/>
          <w:spacing w:val="2"/>
          <w:position w:val="0"/>
          <w:sz w:val="19"/>
          <w:shd w:fill="auto" w:val="clear"/>
        </w:rPr>
        <w:t xml:space="preserve">In: </w:t>
      </w:r>
      <w:r>
        <w:rPr>
          <w:rFonts w:ascii="Times New Roman" w:hAnsi="Times New Roman" w:cs="Times New Roman" w:eastAsia="Times New Roman"/>
          <w:color w:val="auto"/>
          <w:spacing w:val="0"/>
          <w:position w:val="0"/>
          <w:sz w:val="19"/>
          <w:shd w:fill="auto" w:val="clear"/>
        </w:rPr>
        <w:t xml:space="preserve">BUCCI, Eugênio; KEHL, Maria Rita. </w:t>
      </w: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w:t>
      </w:r>
      <w:r>
        <w:rPr>
          <w:rFonts w:ascii="Times New Roman" w:hAnsi="Times New Roman" w:cs="Times New Roman" w:eastAsia="Times New Roman"/>
          <w:color w:val="auto"/>
          <w:spacing w:val="-30"/>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Paulo:</w:t>
      </w:r>
    </w:p>
    <w:p>
      <w:pPr>
        <w:spacing w:before="21"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Boitempo, 2004. P.33</w:t>
      </w:r>
    </w:p>
    <w:p>
      <w:pPr>
        <w:numPr>
          <w:ilvl w:val="0"/>
          <w:numId w:val="897"/>
        </w:numPr>
        <w:tabs>
          <w:tab w:val="left" w:pos="343" w:leader="none"/>
        </w:tabs>
        <w:spacing w:before="0" w:after="0" w:line="285"/>
        <w:ind w:right="0" w:left="342" w:hanging="221"/>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BUCCI, Eugênio; KEHL, Maria Rita. Introdução: o Mito não Pára. In: BUCCI, Eugênio; KEHL, Maria</w:t>
      </w:r>
      <w:r>
        <w:rPr>
          <w:rFonts w:ascii="Times New Roman" w:hAnsi="Times New Roman" w:cs="Times New Roman" w:eastAsia="Times New Roman"/>
          <w:color w:val="auto"/>
          <w:spacing w:val="-2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Rita.</w:t>
      </w:r>
    </w:p>
    <w:p>
      <w:pPr>
        <w:spacing w:before="16"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P.19</w:t>
      </w:r>
    </w:p>
    <w:p>
      <w:pPr>
        <w:spacing w:before="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79"/>
        <w:ind w:right="2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“É muito importante lutar para mudar o signo das coisas, a forma como se representam homens e mulheres, quando este signo é fonte de sofrimento. Mas os signos são forjados em um meio social determinado e são os impulsos da vida concreta que os criam. Não o contrário. Não são os signos que determinam a vida concreta, mas a vida concreta que produz os signos e os transformam de tempos em tempos. Sendo assim, para mudar os signos dos gêneros e tirar do gênero feminino</w:t>
      </w:r>
    </w:p>
    <w:p>
      <w:pPr>
        <w:spacing w:before="5" w:after="0" w:line="336"/>
        <w:ind w:right="217"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seu caráter de inferioridade é preciso mudar as condições social que produzem e mantém este signo desta maneira.”</w:t>
      </w:r>
      <w:r>
        <w:rPr>
          <w:rFonts w:ascii="Times New Roman" w:hAnsi="Times New Roman" w:cs="Times New Roman" w:eastAsia="Times New Roman"/>
          <w:color w:val="auto"/>
          <w:spacing w:val="0"/>
          <w:position w:val="9"/>
          <w:sz w:val="13"/>
          <w:shd w:fill="auto" w:val="clear"/>
        </w:rPr>
        <w:t xml:space="preserve">19</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350"/>
        <w:ind w:right="121" w:left="121" w:firstLine="71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Por outro lado, podemos pensar se a televisão não amplia nossa possibilidade de agressão. Para isso tomaremos os argumentos da psicanalista Maria Rita Kehl no texto “Televisão e Violência do Imaginário”</w:t>
      </w:r>
      <w:r>
        <w:rPr>
          <w:rFonts w:ascii="Times New Roman" w:hAnsi="Times New Roman" w:cs="Times New Roman" w:eastAsia="Times New Roman"/>
          <w:color w:val="auto"/>
          <w:spacing w:val="0"/>
          <w:position w:val="11"/>
          <w:sz w:val="16"/>
          <w:shd w:fill="auto" w:val="clear"/>
        </w:rPr>
        <w:t xml:space="preserve">20</w:t>
      </w:r>
      <w:r>
        <w:rPr>
          <w:rFonts w:ascii="Times New Roman" w:hAnsi="Times New Roman" w:cs="Times New Roman" w:eastAsia="Times New Roman"/>
          <w:color w:val="auto"/>
          <w:spacing w:val="0"/>
          <w:position w:val="11"/>
          <w:sz w:val="24"/>
          <w:shd w:fill="auto" w:val="clear"/>
        </w:rPr>
        <w:t xml:space="preserve">, onde a autora afirma que a violência da imagem, do imaginário, é causa da violência concreta, real, em nossa sociedade.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379"/>
        <w:ind w:right="121"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 nas sociedades regidas pela cultura de massas – a cultura de massa é </w:t>
      </w:r>
      <w:r>
        <w:rPr>
          <w:rFonts w:ascii="Times New Roman" w:hAnsi="Times New Roman" w:cs="Times New Roman" w:eastAsia="Times New Roman"/>
          <w:color w:val="auto"/>
          <w:spacing w:val="4"/>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formação predominante na nossa sociedade e, nela, a tirania da imagem é</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avassaladora -, há, sim, um tipo de violência que </w:t>
      </w:r>
      <w:r>
        <w:rPr>
          <w:rFonts w:ascii="Times New Roman" w:hAnsi="Times New Roman" w:cs="Times New Roman" w:eastAsia="Times New Roman"/>
          <w:i/>
          <w:color w:val="auto"/>
          <w:spacing w:val="0"/>
          <w:position w:val="0"/>
          <w:sz w:val="19"/>
          <w:shd w:fill="auto" w:val="clear"/>
        </w:rPr>
        <w:t xml:space="preserve">é própria do funcionamento </w:t>
      </w:r>
      <w:r>
        <w:rPr>
          <w:rFonts w:ascii="Times New Roman" w:hAnsi="Times New Roman" w:cs="Times New Roman" w:eastAsia="Times New Roman"/>
          <w:i/>
          <w:color w:val="auto"/>
          <w:spacing w:val="3"/>
          <w:position w:val="0"/>
          <w:sz w:val="19"/>
          <w:shd w:fill="auto" w:val="clear"/>
        </w:rPr>
        <w:t xml:space="preserve">do </w:t>
      </w:r>
      <w:r>
        <w:rPr>
          <w:rFonts w:ascii="Times New Roman" w:hAnsi="Times New Roman" w:cs="Times New Roman" w:eastAsia="Times New Roman"/>
          <w:i/>
          <w:color w:val="auto"/>
          <w:spacing w:val="0"/>
          <w:position w:val="0"/>
          <w:sz w:val="19"/>
          <w:shd w:fill="auto" w:val="clear"/>
        </w:rPr>
        <w:t xml:space="preserve">imaginário em si</w:t>
      </w:r>
      <w:r>
        <w:rPr>
          <w:rFonts w:ascii="Times New Roman" w:hAnsi="Times New Roman" w:cs="Times New Roman" w:eastAsia="Times New Roman"/>
          <w:color w:val="auto"/>
          <w:spacing w:val="0"/>
          <w:position w:val="0"/>
          <w:sz w:val="19"/>
          <w:shd w:fill="auto" w:val="clear"/>
        </w:rPr>
        <w:t xml:space="preserve">. Essa violência do imaginário tem, sim, relações com os padrões </w:t>
      </w:r>
      <w:r>
        <w:rPr>
          <w:rFonts w:ascii="Times New Roman" w:hAnsi="Times New Roman" w:cs="Times New Roman" w:eastAsia="Times New Roman"/>
          <w:color w:val="auto"/>
          <w:spacing w:val="6"/>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comportamento na vida real, mas não há aí </w:t>
      </w:r>
      <w:r>
        <w:rPr>
          <w:rFonts w:ascii="Times New Roman" w:hAnsi="Times New Roman" w:cs="Times New Roman" w:eastAsia="Times New Roman"/>
          <w:color w:val="auto"/>
          <w:spacing w:val="2"/>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relação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causa e efeito. E, mais ainda, a violência do imaginário independe dos </w:t>
      </w:r>
      <w:r>
        <w:rPr>
          <w:rFonts w:ascii="Times New Roman" w:hAnsi="Times New Roman" w:cs="Times New Roman" w:eastAsia="Times New Roman"/>
          <w:i/>
          <w:color w:val="auto"/>
          <w:spacing w:val="0"/>
          <w:position w:val="0"/>
          <w:sz w:val="19"/>
          <w:shd w:fill="auto" w:val="clear"/>
        </w:rPr>
        <w:t xml:space="preserve">conteúdos </w:t>
      </w:r>
      <w:r>
        <w:rPr>
          <w:rFonts w:ascii="Times New Roman" w:hAnsi="Times New Roman" w:cs="Times New Roman" w:eastAsia="Times New Roman"/>
          <w:color w:val="auto"/>
          <w:spacing w:val="3"/>
          <w:position w:val="0"/>
          <w:sz w:val="19"/>
          <w:shd w:fill="auto" w:val="clear"/>
        </w:rPr>
        <w:t xml:space="preserve">que </w:t>
      </w:r>
      <w:r>
        <w:rPr>
          <w:rFonts w:ascii="Times New Roman" w:hAnsi="Times New Roman" w:cs="Times New Roman" w:eastAsia="Times New Roman"/>
          <w:color w:val="auto"/>
          <w:spacing w:val="0"/>
          <w:position w:val="0"/>
          <w:sz w:val="19"/>
          <w:shd w:fill="auto" w:val="clear"/>
        </w:rPr>
        <w:t xml:space="preserve">as imagens da cultura de massa apresentam. (...) Evidentemente, a qualidade e o conteúdo das imagens fazem alguma diferença (...) vai aumentando cada vez mais o nosso limiar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tolerância diante da truculência. Isso não quer dizer que as pessoas saiam imitando  </w:t>
      </w:r>
      <w:r>
        <w:rPr>
          <w:rFonts w:ascii="Times New Roman" w:hAnsi="Times New Roman" w:cs="Times New Roman" w:eastAsia="Times New Roman"/>
          <w:color w:val="auto"/>
          <w:spacing w:val="2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a</w:t>
      </w:r>
    </w:p>
    <w:p>
      <w:pPr>
        <w:spacing w:before="0" w:after="0" w:line="240"/>
        <w:ind w:right="0" w:left="2387" w:firstLine="0"/>
        <w:jc w:val="both"/>
        <w:rPr>
          <w:rFonts w:ascii="Times New Roman" w:hAnsi="Times New Roman" w:cs="Times New Roman" w:eastAsia="Times New Roman"/>
          <w:color w:val="auto"/>
          <w:spacing w:val="0"/>
          <w:position w:val="10"/>
          <w:sz w:val="19"/>
          <w:shd w:fill="auto" w:val="clear"/>
        </w:rPr>
      </w:pPr>
      <w:r>
        <w:rPr>
          <w:rFonts w:ascii="Times New Roman" w:hAnsi="Times New Roman" w:cs="Times New Roman" w:eastAsia="Times New Roman"/>
          <w:color w:val="auto"/>
          <w:spacing w:val="0"/>
          <w:position w:val="0"/>
          <w:sz w:val="19"/>
          <w:shd w:fill="auto" w:val="clear"/>
        </w:rPr>
        <w:t xml:space="preserve">violência; dá-se algo menos mecânico</w:t>
      </w:r>
      <w:r>
        <w:rPr>
          <w:rFonts w:ascii="Arial" w:hAnsi="Arial" w:cs="Arial" w:eastAsia="Arial"/>
          <w:color w:val="auto"/>
          <w:spacing w:val="0"/>
          <w:position w:val="10"/>
          <w:sz w:val="13"/>
          <w:shd w:fill="auto" w:val="clear"/>
        </w:rPr>
        <w:t xml:space="preserve">21</w:t>
      </w:r>
      <w:r>
        <w:rPr>
          <w:rFonts w:ascii="Times New Roman" w:hAnsi="Times New Roman" w:cs="Times New Roman" w:eastAsia="Times New Roman"/>
          <w:color w:val="auto"/>
          <w:spacing w:val="0"/>
          <w:position w:val="10"/>
          <w:sz w:val="19"/>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7"/>
          <w:shd w:fill="auto" w:val="clear"/>
        </w:rPr>
      </w:pPr>
    </w:p>
    <w:p>
      <w:pPr>
        <w:spacing w:before="0" w:after="0" w:line="360"/>
        <w:ind w:right="117"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parece uma ressalva importante: “isso não quer dizer que as pessoas saiam imitando a violência; dá-se algo menos mecânico”. Afinal apologia ao crime não é o próprio crime. Há uma distância psíquica entre a fantasia, ou até mesmo entre fala, a expressão de uma fantasia, e a passagem de uma idéia ou desejo para a prática. É inclusive, sob esta percepção que se constrói parte da teoria psicanalítica. Nossa castração primeira, e fundamental, é sermos</w:t>
      </w:r>
    </w:p>
    <w:p>
      <w:pPr>
        <w:spacing w:before="0" w:after="0" w:line="240"/>
        <w:ind w:right="0" w:left="0" w:firstLine="0"/>
        <w:jc w:val="left"/>
        <w:rPr>
          <w:rFonts w:ascii="Times New Roman" w:hAnsi="Times New Roman" w:cs="Times New Roman" w:eastAsia="Times New Roman"/>
          <w:color w:val="auto"/>
          <w:spacing w:val="0"/>
          <w:position w:val="0"/>
          <w:sz w:val="13"/>
          <w:shd w:fill="auto" w:val="clear"/>
        </w:rPr>
      </w:pPr>
    </w:p>
    <w:p>
      <w:pPr>
        <w:spacing w:before="47" w:after="0" w:line="252"/>
        <w:ind w:right="10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19 </w:t>
      </w:r>
      <w:r>
        <w:rPr>
          <w:rFonts w:ascii="Times New Roman" w:hAnsi="Times New Roman" w:cs="Times New Roman" w:eastAsia="Times New Roman"/>
          <w:color w:val="auto"/>
          <w:spacing w:val="0"/>
          <w:position w:val="9"/>
          <w:sz w:val="19"/>
          <w:shd w:fill="auto" w:val="clear"/>
        </w:rPr>
        <w:t xml:space="preserve">TOLEDO, Cecília. </w:t>
      </w:r>
      <w:r>
        <w:rPr>
          <w:rFonts w:ascii="Times New Roman" w:hAnsi="Times New Roman" w:cs="Times New Roman" w:eastAsia="Times New Roman"/>
          <w:b/>
          <w:color w:val="auto"/>
          <w:spacing w:val="0"/>
          <w:position w:val="9"/>
          <w:sz w:val="19"/>
          <w:shd w:fill="auto" w:val="clear"/>
        </w:rPr>
        <w:t xml:space="preserve">Mulheres: o gênero nos une, a classe nos divide</w:t>
      </w:r>
      <w:r>
        <w:rPr>
          <w:rFonts w:ascii="Times New Roman" w:hAnsi="Times New Roman" w:cs="Times New Roman" w:eastAsia="Times New Roman"/>
          <w:color w:val="auto"/>
          <w:spacing w:val="0"/>
          <w:position w:val="9"/>
          <w:sz w:val="19"/>
          <w:shd w:fill="auto" w:val="clear"/>
        </w:rPr>
        <w:t xml:space="preserve">. 2. ed. São Paulo: Sundermann, 2008. P. 21</w:t>
      </w:r>
    </w:p>
    <w:p>
      <w:pPr>
        <w:spacing w:before="0" w:after="0" w:line="258"/>
        <w:ind w:right="567" w:left="121" w:firstLine="0"/>
        <w:jc w:val="left"/>
        <w:rPr>
          <w:rFonts w:ascii="Times New Roman" w:hAnsi="Times New Roman" w:cs="Times New Roman" w:eastAsia="Times New Roman"/>
          <w:color w:val="auto"/>
          <w:spacing w:val="0"/>
          <w:position w:val="11"/>
          <w:sz w:val="19"/>
          <w:shd w:fill="auto" w:val="clear"/>
        </w:rPr>
      </w:pPr>
      <w:r>
        <w:rPr>
          <w:rFonts w:ascii="Times New Roman" w:hAnsi="Times New Roman" w:cs="Times New Roman" w:eastAsia="Times New Roman"/>
          <w:color w:val="auto"/>
          <w:spacing w:val="0"/>
          <w:position w:val="11"/>
          <w:sz w:val="16"/>
          <w:shd w:fill="auto" w:val="clear"/>
        </w:rPr>
        <w:t xml:space="preserve">20 </w:t>
      </w:r>
      <w:r>
        <w:rPr>
          <w:rFonts w:ascii="Times New Roman" w:hAnsi="Times New Roman" w:cs="Times New Roman" w:eastAsia="Times New Roman"/>
          <w:color w:val="auto"/>
          <w:spacing w:val="0"/>
          <w:position w:val="11"/>
          <w:sz w:val="19"/>
          <w:shd w:fill="auto" w:val="clear"/>
        </w:rPr>
        <w:t xml:space="preserve">KEHL, Maria Rita. Televisão e violência do Imaginário. In: BUCCI, Eugênio; KEHL, Maria Rita.</w:t>
      </w:r>
    </w:p>
    <w:p>
      <w:pPr>
        <w:spacing w:before="16"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87-106.</w:t>
      </w:r>
    </w:p>
    <w:p>
      <w:pPr>
        <w:spacing w:before="0" w:after="0" w:line="241"/>
        <w:ind w:right="56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21 </w:t>
      </w:r>
      <w:r>
        <w:rPr>
          <w:rFonts w:ascii="Times New Roman" w:hAnsi="Times New Roman" w:cs="Times New Roman" w:eastAsia="Times New Roman"/>
          <w:color w:val="auto"/>
          <w:spacing w:val="0"/>
          <w:position w:val="9"/>
          <w:sz w:val="19"/>
          <w:shd w:fill="auto" w:val="clear"/>
        </w:rPr>
        <w:t xml:space="preserve">KEHL, Maria Rita. Televisão e violência do Imaginário. In: BUCCI, Eugênio; KEHL, Maria Rita.</w:t>
      </w:r>
    </w:p>
    <w:p>
      <w:pPr>
        <w:spacing w:before="12"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88-89.</w:t>
      </w:r>
    </w:p>
    <w:p>
      <w:pPr>
        <w:spacing w:before="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2"/>
        <w:ind w:right="107" w:left="12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seres inscritos na linguagem, no simbólico. E por mais poética, e frutífera, que possa ser nossa expressão lingüística, entre falar “comida” e comer, há o hiato da realidade.</w:t>
      </w:r>
    </w:p>
    <w:p>
      <w:pPr>
        <w:spacing w:before="1" w:after="0" w:line="360"/>
        <w:ind w:right="122"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por outro lado, somos seres sociais. Escreve Freud no texto “Psicologia de Grupo e Análise do Ego”: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379"/>
        <w:ind w:right="256" w:left="2387"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“O que posteriormente aparece </w:t>
      </w:r>
      <w:r>
        <w:rPr>
          <w:rFonts w:ascii="Times New Roman" w:hAnsi="Times New Roman" w:cs="Times New Roman" w:eastAsia="Times New Roman"/>
          <w:color w:val="auto"/>
          <w:spacing w:val="3"/>
          <w:position w:val="0"/>
          <w:sz w:val="19"/>
          <w:shd w:fill="auto" w:val="clear"/>
        </w:rPr>
        <w:t xml:space="preserve">na </w:t>
      </w:r>
      <w:r>
        <w:rPr>
          <w:rFonts w:ascii="Times New Roman" w:hAnsi="Times New Roman" w:cs="Times New Roman" w:eastAsia="Times New Roman"/>
          <w:color w:val="auto"/>
          <w:spacing w:val="0"/>
          <w:position w:val="0"/>
          <w:sz w:val="19"/>
          <w:shd w:fill="auto" w:val="clear"/>
        </w:rPr>
        <w:t xml:space="preserve">sociedade sob a forma de </w:t>
      </w:r>
      <w:r>
        <w:rPr>
          <w:rFonts w:ascii="Times New Roman" w:hAnsi="Times New Roman" w:cs="Times New Roman" w:eastAsia="Times New Roman"/>
          <w:i/>
          <w:color w:val="auto"/>
          <w:spacing w:val="0"/>
          <w:position w:val="0"/>
          <w:sz w:val="19"/>
          <w:shd w:fill="auto" w:val="clear"/>
        </w:rPr>
        <w:t xml:space="preserve">Gemeingeist</w:t>
      </w:r>
      <w:r>
        <w:rPr>
          <w:rFonts w:ascii="Times New Roman" w:hAnsi="Times New Roman" w:cs="Times New Roman" w:eastAsia="Times New Roman"/>
          <w:color w:val="auto"/>
          <w:spacing w:val="0"/>
          <w:position w:val="0"/>
          <w:sz w:val="19"/>
          <w:shd w:fill="auto" w:val="clear"/>
        </w:rPr>
        <w:t xml:space="preserve">, esprit de corps, ‘espírito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grupo’ etc. não desmente a </w:t>
      </w:r>
      <w:r>
        <w:rPr>
          <w:rFonts w:ascii="Times New Roman" w:hAnsi="Times New Roman" w:cs="Times New Roman" w:eastAsia="Times New Roman"/>
          <w:color w:val="auto"/>
          <w:spacing w:val="2"/>
          <w:position w:val="0"/>
          <w:sz w:val="19"/>
          <w:shd w:fill="auto" w:val="clear"/>
        </w:rPr>
        <w:t xml:space="preserve">sua </w:t>
      </w:r>
      <w:r>
        <w:rPr>
          <w:rFonts w:ascii="Times New Roman" w:hAnsi="Times New Roman" w:cs="Times New Roman" w:eastAsia="Times New Roman"/>
          <w:color w:val="auto"/>
          <w:spacing w:val="0"/>
          <w:position w:val="0"/>
          <w:sz w:val="19"/>
          <w:shd w:fill="auto" w:val="clear"/>
        </w:rPr>
        <w:t xml:space="preserve">derivação do que foi originalmente inveja. Ninguém deve querer salientar-se, todos devem ser o mesmo e ter o mesmo. A justiça social significa que nos negamos muitas coisas a fim de que os outros tenham de passar sem elas, também, </w:t>
      </w:r>
      <w:r>
        <w:rPr>
          <w:rFonts w:ascii="Times New Roman" w:hAnsi="Times New Roman" w:cs="Times New Roman" w:eastAsia="Times New Roman"/>
          <w:color w:val="auto"/>
          <w:spacing w:val="3"/>
          <w:position w:val="0"/>
          <w:sz w:val="19"/>
          <w:shd w:fill="auto" w:val="clear"/>
        </w:rPr>
        <w:t xml:space="preserve">ou, </w:t>
      </w:r>
      <w:r>
        <w:rPr>
          <w:rFonts w:ascii="Times New Roman" w:hAnsi="Times New Roman" w:cs="Times New Roman" w:eastAsia="Times New Roman"/>
          <w:color w:val="auto"/>
          <w:spacing w:val="0"/>
          <w:position w:val="0"/>
          <w:sz w:val="19"/>
          <w:shd w:fill="auto" w:val="clear"/>
        </w:rPr>
        <w:t xml:space="preserve">o que dá no mesmo, não</w:t>
      </w:r>
      <w:r>
        <w:rPr>
          <w:rFonts w:ascii="Times New Roman" w:hAnsi="Times New Roman" w:cs="Times New Roman" w:eastAsia="Times New Roman"/>
          <w:color w:val="auto"/>
          <w:spacing w:val="-28"/>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possam</w:t>
      </w:r>
    </w:p>
    <w:p>
      <w:pPr>
        <w:spacing w:before="5" w:after="0" w:line="343"/>
        <w:ind w:right="539" w:left="2387" w:firstLine="0"/>
        <w:jc w:val="left"/>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pedi-las. Essa exigência de igualdade é a raiz da consciência social e do senso de dever.”</w:t>
      </w:r>
      <w:r>
        <w:rPr>
          <w:rFonts w:ascii="Times New Roman" w:hAnsi="Times New Roman" w:cs="Times New Roman" w:eastAsia="Times New Roman"/>
          <w:color w:val="auto"/>
          <w:spacing w:val="0"/>
          <w:position w:val="9"/>
          <w:sz w:val="13"/>
          <w:shd w:fill="auto" w:val="clear"/>
        </w:rPr>
        <w:t xml:space="preserve">22</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 seja, queremos ser amados e fazer parte do grupo, tememos uma aniquilação caso sejamos diferentes. Sobretudo se somos diferentes em desejos que coloquem coisas, pensamentos e pessoas que nos são caras em risco. No caso de um pedófilo, por exemplo e para tomarmos um argumento bastante convincente, ninguém grita em praça pública que teve relações sexuais com a neta, seguida de estrangulamento da criança. Isso nos soaria abominável. Portanto, há desejos e pensamentos que como grupo não</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toleramos.</w:t>
      </w:r>
    </w:p>
    <w:p>
      <w:pPr>
        <w:spacing w:before="4" w:after="0" w:line="360"/>
        <w:ind w:right="118"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isso importa admitir que as palavras e as imagens da mídia e da cultura influenciam nossos atos. Nem que seja para reprimirmos desejos que, em outra cultura, seria natural demonstrá-los. Ou para autorizar desejos que talvez não admitamos para nós mesmo. No texto de Maria Rita a autora nos lembra um dos artigos do psicanalista Contardo Caligaris para o jornal Folha de São Paulo que tratava, justamente, de um caso  de pedofilia incentivada por uma página na internet de compartilhamento desta fantasia. Ele conclui: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376"/>
        <w:ind w:right="2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 contrariamente ao que aparece em nossas freqüentes lamentações, nós, modernos, dispomos de uma moral comum bem compartilhada. Concordamos facilmente sobre o que é certo ou errado. E o fundamento desta moral comum somos nós mesmos, nosso diálogo, nossa comunidade.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47" w:after="0" w:line="252"/>
        <w:ind w:right="107"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22 </w:t>
      </w:r>
      <w:r>
        <w:rPr>
          <w:rFonts w:ascii="Times New Roman" w:hAnsi="Times New Roman" w:cs="Times New Roman" w:eastAsia="Times New Roman"/>
          <w:color w:val="auto"/>
          <w:spacing w:val="0"/>
          <w:position w:val="9"/>
          <w:sz w:val="19"/>
          <w:shd w:fill="auto" w:val="clear"/>
        </w:rPr>
        <w:t xml:space="preserve">FREUD, Sigmund. Psicologia de Grupo e Análise do Ego (1925-1926). In: </w:t>
      </w:r>
      <w:r>
        <w:rPr>
          <w:rFonts w:ascii="Times New Roman" w:hAnsi="Times New Roman" w:cs="Times New Roman" w:eastAsia="Times New Roman"/>
          <w:b/>
          <w:color w:val="auto"/>
          <w:spacing w:val="0"/>
          <w:position w:val="9"/>
          <w:sz w:val="19"/>
          <w:shd w:fill="auto" w:val="clear"/>
        </w:rPr>
        <w:t xml:space="preserve">Obras completas de Sigmund Freud: edição standard brasileira</w:t>
      </w:r>
      <w:r>
        <w:rPr>
          <w:rFonts w:ascii="Times New Roman" w:hAnsi="Times New Roman" w:cs="Times New Roman" w:eastAsia="Times New Roman"/>
          <w:color w:val="auto"/>
          <w:spacing w:val="0"/>
          <w:position w:val="9"/>
          <w:sz w:val="19"/>
          <w:shd w:fill="auto" w:val="clear"/>
        </w:rPr>
        <w:t xml:space="preserve">, volume XVIII – Rio de Janeiro: Imago, 1996.</w:t>
      </w:r>
    </w:p>
    <w:p>
      <w:pPr>
        <w:spacing w:before="0" w:after="0" w:line="252"/>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79"/>
        <w:ind w:right="2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Por exemplo, estuprar meninos é errado porque concordamos que é. Não porque assim diria alguma autoridade acima da gente.</w:t>
      </w:r>
    </w:p>
    <w:p>
      <w:pPr>
        <w:spacing w:before="5" w:after="0" w:line="379"/>
        <w:ind w:right="2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Nesta situação, em que a comunidade é a fonte da autoridade moral, é suficiente que uma opção ou uma conduta tenha destaque público para que ganhe alguma forma de legitimidade com isso.</w:t>
      </w:r>
    </w:p>
    <w:p>
      <w:pPr>
        <w:spacing w:before="5" w:after="0" w:line="379"/>
        <w:ind w:right="217"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Se algo está no cinema, na televisão, na Internet ou na imprensa, se está entre nós, se faz parte de nosso diálogo público, então tem algum direito de cidadania.</w:t>
      </w:r>
    </w:p>
    <w:p>
      <w:pPr>
        <w:spacing w:before="0" w:after="0" w:line="343"/>
        <w:ind w:right="216"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Que uma fantasia, uma conduta ou um desejo possam ser ditos, narrados ou defendidos publicamente, é suficiente para autorizá-los.”</w:t>
      </w:r>
      <w:r>
        <w:rPr>
          <w:rFonts w:ascii="Times New Roman" w:hAnsi="Times New Roman" w:cs="Times New Roman" w:eastAsia="Times New Roman"/>
          <w:color w:val="auto"/>
          <w:spacing w:val="0"/>
          <w:position w:val="9"/>
          <w:sz w:val="13"/>
          <w:shd w:fill="auto" w:val="clear"/>
        </w:rPr>
        <w:t xml:space="preserve">23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9"/>
          <w:shd w:fill="auto" w:val="clear"/>
        </w:rPr>
      </w:pPr>
    </w:p>
    <w:p>
      <w:pPr>
        <w:spacing w:before="0" w:after="0" w:line="360"/>
        <w:ind w:right="121"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Eis um ponto importante que reflete também o modo como nos relacionamos com a arte, ou com os produtos da indústria cultural. Nos diz Freud que embora seja imprescindível, fundamental, que simbolizemos desejos por meio da arte, como o de subjugar uma mulher no caso do “Tapinha não dói”, tendemos a nos identificar com os conteúdos produzidos por nossa cultura. Para o bem e para o mal.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64" w:after="0" w:line="340"/>
        <w:ind w:right="121"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“Como já descobrimos a muito tempo, a arte oferece satisfações substitutivas para as mais antigas e mais profundamente sentidas renúncias culturais, e, por esse motivo,</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ela serve, como nenhuma outra coisa, para reconciliar o homem com os sacrifícios que tem de fazer em benefício </w:t>
      </w:r>
      <w:r>
        <w:rPr>
          <w:rFonts w:ascii="Times New Roman" w:hAnsi="Times New Roman" w:cs="Times New Roman" w:eastAsia="Times New Roman"/>
          <w:color w:val="auto"/>
          <w:spacing w:val="3"/>
          <w:position w:val="0"/>
          <w:sz w:val="19"/>
          <w:shd w:fill="auto" w:val="clear"/>
        </w:rPr>
        <w:t xml:space="preserve">da </w:t>
      </w:r>
      <w:r>
        <w:rPr>
          <w:rFonts w:ascii="Times New Roman" w:hAnsi="Times New Roman" w:cs="Times New Roman" w:eastAsia="Times New Roman"/>
          <w:color w:val="auto"/>
          <w:spacing w:val="0"/>
          <w:position w:val="0"/>
          <w:sz w:val="19"/>
          <w:shd w:fill="auto" w:val="clear"/>
        </w:rPr>
        <w:t xml:space="preserve">civilização. Por outro lado, as criações da arte elevam seus sentimentos de identificação,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que toda unidade cultural carece </w:t>
      </w:r>
      <w:r>
        <w:rPr>
          <w:rFonts w:ascii="Times New Roman" w:hAnsi="Times New Roman" w:cs="Times New Roman" w:eastAsia="Times New Roman"/>
          <w:color w:val="auto"/>
          <w:spacing w:val="2"/>
          <w:position w:val="0"/>
          <w:sz w:val="19"/>
          <w:shd w:fill="auto" w:val="clear"/>
        </w:rPr>
        <w:t xml:space="preserve">tanto, </w:t>
      </w:r>
      <w:r>
        <w:rPr>
          <w:rFonts w:ascii="Times New Roman" w:hAnsi="Times New Roman" w:cs="Times New Roman" w:eastAsia="Times New Roman"/>
          <w:color w:val="auto"/>
          <w:spacing w:val="0"/>
          <w:position w:val="0"/>
          <w:sz w:val="19"/>
          <w:shd w:fill="auto" w:val="clear"/>
        </w:rPr>
        <w:t xml:space="preserve">proporcionando uma ocasião para a partilha de experiências emocionais altamente valorizadas.”</w:t>
      </w:r>
      <w:r>
        <w:rPr>
          <w:rFonts w:ascii="Times New Roman" w:hAnsi="Times New Roman" w:cs="Times New Roman" w:eastAsia="Times New Roman"/>
          <w:color w:val="auto"/>
          <w:spacing w:val="0"/>
          <w:position w:val="9"/>
          <w:sz w:val="13"/>
          <w:shd w:fill="auto" w:val="clear"/>
        </w:rPr>
        <w:t xml:space="preserve">24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85"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Voltemos, agora, ao pensamento de Maria Rita no seu texto, e pensemos em como se opera, então, a construção da violência do imaginário? Ao longo do texto, a psicanalista constrói argumentos que explicam porque uma sociedade regida por formações imaginárias como a nossa torna-se uma sociedade violenta. Para a autora, a violência do imaginário é a resposta à ausência de sentido na nossa vida quando o pensamento é dispensado e, portanto, nossos únicos lugares de existência são o corpo e o ato.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3"/>
          <w:shd w:fill="auto" w:val="clear"/>
        </w:rPr>
      </w:pPr>
    </w:p>
    <w:p>
      <w:pPr>
        <w:spacing w:before="47" w:after="0" w:line="252"/>
        <w:ind w:right="316"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23 </w:t>
      </w:r>
      <w:r>
        <w:rPr>
          <w:rFonts w:ascii="Times New Roman" w:hAnsi="Times New Roman" w:cs="Times New Roman" w:eastAsia="Times New Roman"/>
          <w:color w:val="auto"/>
          <w:spacing w:val="0"/>
          <w:position w:val="9"/>
          <w:sz w:val="19"/>
          <w:shd w:fill="auto" w:val="clear"/>
        </w:rPr>
        <w:t xml:space="preserve">CALLIGARIS, Contardo. Disponível em </w:t>
      </w:r>
      <w:hyperlink xmlns:r="http://schemas.openxmlformats.org/officeDocument/2006/relationships" r:id="docRId41">
        <w:r>
          <w:rPr>
            <w:rFonts w:ascii="Times New Roman" w:hAnsi="Times New Roman" w:cs="Times New Roman" w:eastAsia="Times New Roman"/>
            <w:color w:val="0000FF"/>
            <w:spacing w:val="0"/>
            <w:position w:val="9"/>
            <w:sz w:val="19"/>
            <w:u w:val="single"/>
            <w:shd w:fill="auto" w:val="clear"/>
          </w:rPr>
          <w:t xml:space="preserve">http://contardocalligaris.blogspot.com/2000/06/o-insustentvel-peso</w:t>
        </w:r>
      </w:hyperlink>
      <w:r>
        <w:rPr>
          <w:rFonts w:ascii="Times New Roman" w:hAnsi="Times New Roman" w:cs="Times New Roman" w:eastAsia="Times New Roman"/>
          <w:color w:val="auto"/>
          <w:spacing w:val="0"/>
          <w:position w:val="9"/>
          <w:sz w:val="19"/>
          <w:shd w:fill="auto" w:val="clear"/>
        </w:rPr>
        <w:t xml:space="preserve">-</w:t>
      </w:r>
      <w:r>
        <w:rPr>
          <w:rFonts w:ascii="Times New Roman" w:hAnsi="Times New Roman" w:cs="Times New Roman" w:eastAsia="Times New Roman"/>
          <w:color w:val="auto"/>
          <w:spacing w:val="0"/>
          <w:position w:val="9"/>
          <w:sz w:val="19"/>
          <w:shd w:fill="auto" w:val="clear"/>
        </w:rPr>
        <w:t xml:space="preserve"> das-palavras-e-das.html Acesso em fev. de 2009.</w:t>
      </w:r>
    </w:p>
    <w:p>
      <w:pPr>
        <w:spacing w:before="0" w:after="0" w:line="240"/>
        <w:ind w:right="567" w:left="121" w:firstLine="0"/>
        <w:jc w:val="left"/>
        <w:rPr>
          <w:rFonts w:ascii="Times New Roman" w:hAnsi="Times New Roman" w:cs="Times New Roman" w:eastAsia="Times New Roman"/>
          <w:b/>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24 </w:t>
      </w:r>
      <w:r>
        <w:rPr>
          <w:rFonts w:ascii="Times New Roman" w:hAnsi="Times New Roman" w:cs="Times New Roman" w:eastAsia="Times New Roman"/>
          <w:color w:val="auto"/>
          <w:spacing w:val="0"/>
          <w:position w:val="9"/>
          <w:sz w:val="19"/>
          <w:shd w:fill="auto" w:val="clear"/>
        </w:rPr>
        <w:t xml:space="preserve">FREUD, Sigmund. O Futuro de uma ilusão (1927). In: </w:t>
      </w:r>
      <w:r>
        <w:rPr>
          <w:rFonts w:ascii="Times New Roman" w:hAnsi="Times New Roman" w:cs="Times New Roman" w:eastAsia="Times New Roman"/>
          <w:b/>
          <w:color w:val="auto"/>
          <w:spacing w:val="0"/>
          <w:position w:val="9"/>
          <w:sz w:val="19"/>
          <w:shd w:fill="auto" w:val="clear"/>
        </w:rPr>
        <w:t xml:space="preserve">Obras completas de Sigmund Freud: edição</w:t>
      </w:r>
    </w:p>
    <w:p>
      <w:pPr>
        <w:spacing w:before="12"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standard brasileira</w:t>
      </w:r>
      <w:r>
        <w:rPr>
          <w:rFonts w:ascii="Times New Roman" w:hAnsi="Times New Roman" w:cs="Times New Roman" w:eastAsia="Times New Roman"/>
          <w:color w:val="auto"/>
          <w:spacing w:val="0"/>
          <w:position w:val="0"/>
          <w:sz w:val="19"/>
          <w:shd w:fill="auto" w:val="clear"/>
        </w:rPr>
        <w:t xml:space="preserve">, volume XXI – Rio de Janeiro: Imago, 1996. P.23.</w:t>
      </w:r>
    </w:p>
    <w:p>
      <w:pPr>
        <w:spacing w:before="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nossa sociedade a imagem é construída de modo a representar a realidade mas  acaba substituindo a realidade, ou melhor, ela é a realidade, sem (aparente) mediação. A filósofa Marilena Chauí, no prefácio do livro </w:t>
      </w:r>
      <w:r>
        <w:rPr>
          <w:rFonts w:ascii="Times New Roman" w:hAnsi="Times New Roman" w:cs="Times New Roman" w:eastAsia="Times New Roman"/>
          <w:b/>
          <w:color w:val="auto"/>
          <w:spacing w:val="0"/>
          <w:position w:val="0"/>
          <w:sz w:val="24"/>
          <w:shd w:fill="auto" w:val="clear"/>
        </w:rPr>
        <w:t xml:space="preserve">Videologias </w:t>
      </w:r>
      <w:r>
        <w:rPr>
          <w:rFonts w:ascii="Times New Roman" w:hAnsi="Times New Roman" w:cs="Times New Roman" w:eastAsia="Times New Roman"/>
          <w:color w:val="auto"/>
          <w:spacing w:val="0"/>
          <w:position w:val="0"/>
          <w:sz w:val="24"/>
          <w:shd w:fill="auto" w:val="clear"/>
        </w:rPr>
        <w:t xml:space="preserve">diz que Eugênio Bucci afirma que </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p>
    <w:p>
      <w:pPr>
        <w:spacing w:before="4" w:after="0" w:line="345"/>
        <w:ind w:right="116" w:left="121" w:firstLine="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televisão é fetichista na medida em que a operação central da TV é ocultar-se a si mesma como veículo ou meio de transmissão</w:t>
      </w:r>
      <w:r>
        <w:rPr>
          <w:rFonts w:ascii="Times New Roman" w:hAnsi="Times New Roman" w:cs="Times New Roman" w:eastAsia="Times New Roman"/>
          <w:color w:val="auto"/>
          <w:spacing w:val="0"/>
          <w:position w:val="11"/>
          <w:sz w:val="16"/>
          <w:shd w:fill="auto" w:val="clear"/>
        </w:rPr>
        <w:t xml:space="preserve">25</w:t>
      </w:r>
      <w:r>
        <w:rPr>
          <w:rFonts w:ascii="Times New Roman" w:hAnsi="Times New Roman" w:cs="Times New Roman" w:eastAsia="Times New Roman"/>
          <w:color w:val="auto"/>
          <w:spacing w:val="0"/>
          <w:position w:val="11"/>
          <w:sz w:val="24"/>
          <w:shd w:fill="auto" w:val="clear"/>
        </w:rPr>
        <w:t xml:space="preserve">. O que não acontece na tv não acontece de fato, e o que vemos na televisão tem status de verdade. Por causa disso, a imagem nos oferece uma </w:t>
      </w:r>
      <w:r>
        <w:rPr>
          <w:rFonts w:ascii="Times New Roman" w:hAnsi="Times New Roman" w:cs="Times New Roman" w:eastAsia="Times New Roman"/>
          <w:color w:val="auto"/>
          <w:spacing w:val="53"/>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espécie</w:t>
      </w:r>
    </w:p>
    <w:p>
      <w:pPr>
        <w:spacing w:before="20" w:after="0" w:line="360"/>
        <w:ind w:right="118" w:left="1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gozo momentâneo e temporário que prescinde de pensamento. Portanto, diante da imagem não há necessidade e espaço para a crítica e a reflexão, não há espaço para o simbólico. E  como diz Lacan: o que não está no simbólico, volta no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real.</w:t>
      </w:r>
    </w:p>
    <w:p>
      <w:pPr>
        <w:spacing w:before="8" w:after="0" w:line="360"/>
        <w:ind w:right="11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Vejamos. Desde Freud entendemos que a fonte primeira de angustia, de castração, nas nossas vidas é a entrada no mundo simbólico, da linguagem. Diferentemente dos animais somos atravessados pela linguagem e embora possamos dizer nossos desejos, isso não equivale a realizar nossas vontades. É verdade que muitas vezes há uma realização parcial de desejo por meio da linguagem, não sendo necessário passagens ao ato, mas lembre-mos que é uma realização parcial.</w:t>
      </w:r>
    </w:p>
    <w:p>
      <w:pPr>
        <w:spacing w:before="4" w:after="0" w:line="360"/>
        <w:ind w:right="118"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pensamento dá trabalho pois o tempo todo deve produzir significações já que nunca chegamos na realização pura do desejo. No entanto, diante de uma imagem podemos ter a sensação momentânea de encontramos um representante para o desejo, cessando assim o trabalho psíquico. Neste sentido, conclui a autora: “Diante da TV ligada, isto é, diante de um</w:t>
      </w:r>
    </w:p>
    <w:p>
      <w:pPr>
        <w:spacing w:before="0" w:after="0" w:line="280"/>
        <w:ind w:right="0" w:left="121" w:firstLine="0"/>
        <w:jc w:val="both"/>
        <w:rPr>
          <w:rFonts w:ascii="Arial" w:hAnsi="Arial" w:cs="Arial" w:eastAsia="Arial"/>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fluxo contínuo de imagens que nos oferecem o puro gozo, não é necessário pensar.”</w:t>
      </w:r>
      <w:r>
        <w:rPr>
          <w:rFonts w:ascii="Arial" w:hAnsi="Arial" w:cs="Arial" w:eastAsia="Arial"/>
          <w:color w:val="auto"/>
          <w:spacing w:val="0"/>
          <w:position w:val="11"/>
          <w:sz w:val="16"/>
          <w:shd w:fill="auto" w:val="clear"/>
        </w:rPr>
        <w:t xml:space="preserve">26</w:t>
      </w:r>
    </w:p>
    <w:p>
      <w:pPr>
        <w:spacing w:before="137" w:after="0" w:line="240"/>
        <w:ind w:right="567" w:left="84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onde não pensamos, agimos. O que não está no simbólico, volta no real.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7" w:after="0" w:line="379"/>
        <w:ind w:right="121" w:left="2387" w:firstLine="48"/>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“o funcionamento do imaginário incita a passagens ao ato, pois onde o pensamento não opera, o sujeito, incapaz de simbolizar aquilo que vê, é compelido de certa forma a intervir, a existir </w:t>
      </w:r>
      <w:r>
        <w:rPr>
          <w:rFonts w:ascii="Times New Roman" w:hAnsi="Times New Roman" w:cs="Times New Roman" w:eastAsia="Times New Roman"/>
          <w:i/>
          <w:color w:val="auto"/>
          <w:spacing w:val="0"/>
          <w:position w:val="0"/>
          <w:sz w:val="19"/>
          <w:shd w:fill="auto" w:val="clear"/>
        </w:rPr>
        <w:t xml:space="preserve">em ato </w:t>
      </w:r>
      <w:r>
        <w:rPr>
          <w:rFonts w:ascii="Times New Roman" w:hAnsi="Times New Roman" w:cs="Times New Roman" w:eastAsia="Times New Roman"/>
          <w:color w:val="auto"/>
          <w:spacing w:val="0"/>
          <w:position w:val="0"/>
          <w:sz w:val="19"/>
          <w:shd w:fill="auto" w:val="clear"/>
        </w:rPr>
        <w:t xml:space="preserve">onde não pode existir enquanto sujeito simbólico. Ou  seja,</w:t>
      </w:r>
    </w:p>
    <w:p>
      <w:pPr>
        <w:spacing w:before="0" w:after="0" w:line="240"/>
        <w:ind w:right="0" w:left="2387" w:firstLine="0"/>
        <w:jc w:val="both"/>
        <w:rPr>
          <w:rFonts w:ascii="Times New Roman" w:hAnsi="Times New Roman" w:cs="Times New Roman" w:eastAsia="Times New Roman"/>
          <w:color w:val="auto"/>
          <w:spacing w:val="0"/>
          <w:position w:val="10"/>
          <w:sz w:val="19"/>
          <w:shd w:fill="auto" w:val="clear"/>
        </w:rPr>
      </w:pPr>
      <w:r>
        <w:rPr>
          <w:rFonts w:ascii="Times New Roman" w:hAnsi="Times New Roman" w:cs="Times New Roman" w:eastAsia="Times New Roman"/>
          <w:color w:val="auto"/>
          <w:spacing w:val="0"/>
          <w:position w:val="0"/>
          <w:sz w:val="19"/>
          <w:shd w:fill="auto" w:val="clear"/>
        </w:rPr>
        <w:t xml:space="preserve">quando perdemos a possibilidade de reflexão, agimos de acordo com o desejo.” </w:t>
      </w:r>
      <w:r>
        <w:rPr>
          <w:rFonts w:ascii="Arial" w:hAnsi="Arial" w:cs="Arial" w:eastAsia="Arial"/>
          <w:color w:val="auto"/>
          <w:spacing w:val="0"/>
          <w:position w:val="10"/>
          <w:sz w:val="13"/>
          <w:shd w:fill="auto" w:val="clear"/>
        </w:rPr>
        <w:t xml:space="preserve">27</w:t>
      </w:r>
      <w:r>
        <w:rPr>
          <w:rFonts w:ascii="Times New Roman" w:hAnsi="Times New Roman" w:cs="Times New Roman" w:eastAsia="Times New Roman"/>
          <w:color w:val="auto"/>
          <w:spacing w:val="0"/>
          <w:position w:val="10"/>
          <w:sz w:val="19"/>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4"/>
          <w:shd w:fill="auto" w:val="clear"/>
        </w:rPr>
      </w:pPr>
    </w:p>
    <w:p>
      <w:pPr>
        <w:numPr>
          <w:ilvl w:val="0"/>
          <w:numId w:val="970"/>
        </w:numPr>
        <w:tabs>
          <w:tab w:val="left" w:pos="343" w:leader="none"/>
        </w:tabs>
        <w:spacing w:before="42" w:after="0" w:line="259"/>
        <w:ind w:right="234"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CHAUI, Marilena. Prefácio. In: Eugênio; KEHL, Maria Rita. </w:t>
      </w: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P.12- 13.</w:t>
      </w:r>
    </w:p>
    <w:p>
      <w:pPr>
        <w:numPr>
          <w:ilvl w:val="0"/>
          <w:numId w:val="970"/>
        </w:numPr>
        <w:tabs>
          <w:tab w:val="left" w:pos="343" w:leader="none"/>
        </w:tabs>
        <w:spacing w:before="0" w:after="0" w:line="252"/>
        <w:ind w:right="0" w:left="342" w:hanging="221"/>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KEHL, Maria Rita. Televisão e violência do Imaginário. In: BUCCI, Eugênio; KEHL, Maria</w:t>
      </w:r>
      <w:r>
        <w:rPr>
          <w:rFonts w:ascii="Times New Roman" w:hAnsi="Times New Roman" w:cs="Times New Roman" w:eastAsia="Times New Roman"/>
          <w:color w:val="auto"/>
          <w:spacing w:val="-21"/>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Rita.</w:t>
      </w:r>
    </w:p>
    <w:p>
      <w:pPr>
        <w:spacing w:before="21"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89-90.</w:t>
      </w:r>
    </w:p>
    <w:p>
      <w:pPr>
        <w:numPr>
          <w:ilvl w:val="0"/>
          <w:numId w:val="973"/>
        </w:numPr>
        <w:tabs>
          <w:tab w:val="left" w:pos="343" w:leader="none"/>
        </w:tabs>
        <w:spacing w:before="0" w:after="0" w:line="285"/>
        <w:ind w:right="0" w:left="342" w:hanging="221"/>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KEHL, Maria Rita. Televisão e violência do Imaginário. In: BUCCI, Eugênio; KEHL, Maria</w:t>
      </w:r>
      <w:r>
        <w:rPr>
          <w:rFonts w:ascii="Times New Roman" w:hAnsi="Times New Roman" w:cs="Times New Roman" w:eastAsia="Times New Roman"/>
          <w:color w:val="auto"/>
          <w:spacing w:val="-21"/>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Rita.</w:t>
      </w:r>
    </w:p>
    <w:p>
      <w:pPr>
        <w:spacing w:before="16" w:after="0" w:line="240"/>
        <w:ind w:right="567"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93.</w:t>
      </w:r>
    </w:p>
    <w:p>
      <w:pPr>
        <w:spacing w:before="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0"/>
        <w:ind w:right="103" w:left="304" w:firstLine="59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Tomemos, então, o fato de que o fluxo incessante de imagens na televisão, organizados segundo a lógica de realização dos desejos, dispensa o telespectador da necessidade de pensamento. Mesmo assim, temos que formular a questão central: qual é a diferença de registro psíquico de uma idéia que é apresentada somente como idéia, e uma idéia que é expressa como um imperativo de passagem ao ato? E se não é, então, suficiente que eu realize diante da televisão alguns desejos, porque deveria agir na minha realidade?</w:t>
      </w:r>
    </w:p>
    <w:p>
      <w:pPr>
        <w:spacing w:before="4" w:after="0" w:line="360"/>
        <w:ind w:right="110" w:left="304" w:firstLine="53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Maria Rita Kehl quem responde: “A diferença está na cultura, na sociedade (...).  Está numa cultura em que a nossa existência psíquica depende de uma passagem ao ato, e  de preferência de uma passagem ao ato </w:t>
      </w:r>
      <w:r>
        <w:rPr>
          <w:rFonts w:ascii="Times New Roman" w:hAnsi="Times New Roman" w:cs="Times New Roman" w:eastAsia="Times New Roman"/>
          <w:i/>
          <w:color w:val="auto"/>
          <w:spacing w:val="0"/>
          <w:position w:val="0"/>
          <w:sz w:val="24"/>
          <w:shd w:fill="auto" w:val="clear"/>
        </w:rPr>
        <w:t xml:space="preserve">em público</w:t>
      </w:r>
      <w:r>
        <w:rPr>
          <w:rFonts w:ascii="Times New Roman" w:hAnsi="Times New Roman" w:cs="Times New Roman" w:eastAsia="Times New Roman"/>
          <w:color w:val="auto"/>
          <w:spacing w:val="0"/>
          <w:position w:val="0"/>
          <w:sz w:val="24"/>
          <w:shd w:fill="auto" w:val="clear"/>
        </w:rPr>
        <w:t xml:space="preserve">. Onde nós possamos também fazer nosso corpo, imagem, e imagem para o outro assistir e para o outro</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fruir”.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379"/>
        <w:ind w:right="111"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“Vivemos </w:t>
      </w:r>
      <w:r>
        <w:rPr>
          <w:rFonts w:ascii="Times New Roman" w:hAnsi="Times New Roman" w:cs="Times New Roman" w:eastAsia="Times New Roman"/>
          <w:color w:val="auto"/>
          <w:spacing w:val="2"/>
          <w:position w:val="0"/>
          <w:sz w:val="19"/>
          <w:shd w:fill="auto" w:val="clear"/>
        </w:rPr>
        <w:t xml:space="preserve">numa </w:t>
      </w:r>
      <w:r>
        <w:rPr>
          <w:rFonts w:ascii="Times New Roman" w:hAnsi="Times New Roman" w:cs="Times New Roman" w:eastAsia="Times New Roman"/>
          <w:color w:val="auto"/>
          <w:spacing w:val="0"/>
          <w:position w:val="0"/>
          <w:sz w:val="19"/>
          <w:shd w:fill="auto" w:val="clear"/>
        </w:rPr>
        <w:t xml:space="preserve">sociedade que nos demanda </w:t>
      </w:r>
      <w:r>
        <w:rPr>
          <w:rFonts w:ascii="Times New Roman" w:hAnsi="Times New Roman" w:cs="Times New Roman" w:eastAsia="Times New Roman"/>
          <w:color w:val="auto"/>
          <w:spacing w:val="2"/>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atividade contínua, ainda </w:t>
      </w:r>
      <w:r>
        <w:rPr>
          <w:rFonts w:ascii="Times New Roman" w:hAnsi="Times New Roman" w:cs="Times New Roman" w:eastAsia="Times New Roman"/>
          <w:color w:val="auto"/>
          <w:spacing w:val="4"/>
          <w:position w:val="0"/>
          <w:sz w:val="19"/>
          <w:shd w:fill="auto" w:val="clear"/>
        </w:rPr>
        <w:t xml:space="preserve">que</w:t>
      </w:r>
      <w:r>
        <w:rPr>
          <w:rFonts w:ascii="Times New Roman" w:hAnsi="Times New Roman" w:cs="Times New Roman" w:eastAsia="Times New Roman"/>
          <w:color w:val="auto"/>
          <w:spacing w:val="57"/>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vazia. Em vez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reflexão, contemplação e dúvida, o sujeito é compelido a agir, respondendo a demanda do Outro. Para existir diante deste Outro, para não desaparecer – porque uma imagem desvanece no momento em que ela não está</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sendo vista –, para comparecer no campo do Outro, ele é compelido a agir. Isso explica não apenas essa compulsão a alcançar os nossos quinze minutos de </w:t>
      </w:r>
      <w:r>
        <w:rPr>
          <w:rFonts w:ascii="Times New Roman" w:hAnsi="Times New Roman" w:cs="Times New Roman" w:eastAsia="Times New Roman"/>
          <w:color w:val="auto"/>
          <w:spacing w:val="2"/>
          <w:position w:val="0"/>
          <w:sz w:val="19"/>
          <w:shd w:fill="auto" w:val="clear"/>
        </w:rPr>
        <w:t xml:space="preserve">fama, </w:t>
      </w:r>
      <w:r>
        <w:rPr>
          <w:rFonts w:ascii="Times New Roman" w:hAnsi="Times New Roman" w:cs="Times New Roman" w:eastAsia="Times New Roman"/>
          <w:color w:val="auto"/>
          <w:spacing w:val="0"/>
          <w:position w:val="0"/>
          <w:sz w:val="19"/>
          <w:shd w:fill="auto" w:val="clear"/>
        </w:rPr>
        <w:t xml:space="preserve">que já foi prenunciada há quatro décadas por Andy Warhol, mas também a compulsão a existir através do ato violento, porque esse é o ato que também </w:t>
      </w:r>
      <w:r>
        <w:rPr>
          <w:rFonts w:ascii="Times New Roman" w:hAnsi="Times New Roman" w:cs="Times New Roman" w:eastAsia="Times New Roman"/>
          <w:color w:val="auto"/>
          <w:spacing w:val="3"/>
          <w:position w:val="0"/>
          <w:sz w:val="19"/>
          <w:shd w:fill="auto" w:val="clear"/>
        </w:rPr>
        <w:t xml:space="preserve">vai </w:t>
      </w:r>
      <w:r>
        <w:rPr>
          <w:rFonts w:ascii="Times New Roman" w:hAnsi="Times New Roman" w:cs="Times New Roman" w:eastAsia="Times New Roman"/>
          <w:color w:val="auto"/>
          <w:spacing w:val="0"/>
          <w:position w:val="0"/>
          <w:sz w:val="19"/>
          <w:shd w:fill="auto" w:val="clear"/>
        </w:rPr>
        <w:t xml:space="preserve">chamar o agente da rede imaginaria a registrar nossa existência. Não é um outro </w:t>
      </w:r>
      <w:r>
        <w:rPr>
          <w:rFonts w:ascii="Times New Roman" w:hAnsi="Times New Roman" w:cs="Times New Roman" w:eastAsia="Times New Roman"/>
          <w:color w:val="auto"/>
          <w:spacing w:val="47"/>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ato</w:t>
      </w:r>
    </w:p>
    <w:p>
      <w:pPr>
        <w:spacing w:before="0" w:after="0" w:line="240"/>
        <w:ind w:right="0" w:left="2387" w:firstLine="0"/>
        <w:jc w:val="both"/>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0"/>
          <w:sz w:val="19"/>
          <w:shd w:fill="auto" w:val="clear"/>
        </w:rPr>
        <w:t xml:space="preserve">que faz significado na nossa cultura: basicamente, é o ato violento.</w:t>
      </w:r>
      <w:r>
        <w:rPr>
          <w:rFonts w:ascii="Times New Roman" w:hAnsi="Times New Roman" w:cs="Times New Roman" w:eastAsia="Times New Roman"/>
          <w:color w:val="auto"/>
          <w:spacing w:val="0"/>
          <w:position w:val="9"/>
          <w:sz w:val="13"/>
          <w:shd w:fill="auto" w:val="clear"/>
        </w:rPr>
        <w:t xml:space="preserve">28</w:t>
      </w:r>
      <w:r>
        <w:rPr>
          <w:rFonts w:ascii="Times New Roman" w:hAnsi="Times New Roman" w:cs="Times New Roman" w:eastAsia="Times New Roman"/>
          <w:color w:val="auto"/>
          <w:spacing w:val="0"/>
          <w:position w:val="9"/>
          <w:sz w:val="19"/>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355"/>
        <w:ind w:right="106" w:left="121" w:firstLine="72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E somos convidados a agir violentamente em uma cultura onde a violência contra a mulher e a objetualização do corpo feminino é alienada de sua construção histórica e nos parece natural. No Brasil, a cada quinze segundos uma mulher é espancada</w:t>
      </w:r>
      <w:r>
        <w:rPr>
          <w:rFonts w:ascii="Arial" w:hAnsi="Arial" w:cs="Arial" w:eastAsia="Arial"/>
          <w:color w:val="auto"/>
          <w:spacing w:val="0"/>
          <w:position w:val="11"/>
          <w:sz w:val="16"/>
          <w:shd w:fill="auto" w:val="clear"/>
        </w:rPr>
        <w:t xml:space="preserve">29</w:t>
      </w:r>
      <w:r>
        <w:rPr>
          <w:rFonts w:ascii="Times New Roman" w:hAnsi="Times New Roman" w:cs="Times New Roman" w:eastAsia="Times New Roman"/>
          <w:color w:val="auto"/>
          <w:spacing w:val="0"/>
          <w:position w:val="11"/>
          <w:sz w:val="24"/>
          <w:shd w:fill="auto" w:val="clear"/>
        </w:rPr>
        <w:t xml:space="preserve">. Portanto, embora sejam motivos de celebração as conquistas do movimento de mulheres nas últimas décadas, ainda temos muito que avançar em direção ao horizonte de igualdade entre os gêneros.</w:t>
      </w:r>
    </w:p>
    <w:p>
      <w:pPr>
        <w:spacing w:before="9" w:after="0" w:line="360"/>
        <w:ind w:right="106" w:left="121"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Conferência Mundial de Direitos Humanos de 1993, em Viana, foi constado que, anualmente o número de mulheres vítimas de violência de gênero é maior que o número de vítimas de todos os conflitos armados do mundo.  A Organização das Nações Unidas   (ONU)</w:t>
      </w:r>
    </w:p>
    <w:p>
      <w:pPr>
        <w:spacing w:before="1"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47" w:after="0" w:line="240"/>
        <w:ind w:right="122"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28   </w:t>
      </w:r>
      <w:r>
        <w:rPr>
          <w:rFonts w:ascii="Times New Roman" w:hAnsi="Times New Roman" w:cs="Times New Roman" w:eastAsia="Times New Roman"/>
          <w:color w:val="auto"/>
          <w:spacing w:val="0"/>
          <w:position w:val="9"/>
          <w:sz w:val="19"/>
          <w:shd w:fill="auto" w:val="clear"/>
        </w:rPr>
        <w:t xml:space="preserve">KEHL,  Maria  Rita.  Televisão  e  violência  do  Imaginário.  In:  BUCCI,  Eugênio;  KEHL,  Maria       Rita.</w:t>
      </w:r>
    </w:p>
    <w:p>
      <w:pPr>
        <w:spacing w:before="12" w:after="0" w:line="240"/>
        <w:ind w:right="122"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Videologias</w:t>
      </w:r>
      <w:r>
        <w:rPr>
          <w:rFonts w:ascii="Times New Roman" w:hAnsi="Times New Roman" w:cs="Times New Roman" w:eastAsia="Times New Roman"/>
          <w:color w:val="auto"/>
          <w:spacing w:val="0"/>
          <w:position w:val="0"/>
          <w:sz w:val="19"/>
          <w:shd w:fill="auto" w:val="clear"/>
        </w:rPr>
        <w:t xml:space="preserve">. São Paulo: Boitempo, 2004. P. 99-100.</w:t>
      </w:r>
    </w:p>
    <w:p>
      <w:pPr>
        <w:spacing w:before="0" w:after="0" w:line="241"/>
        <w:ind w:right="122"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9"/>
          <w:sz w:val="13"/>
          <w:shd w:fill="auto" w:val="clear"/>
        </w:rPr>
        <w:t xml:space="preserve">29 </w:t>
      </w:r>
      <w:r>
        <w:rPr>
          <w:rFonts w:ascii="Times New Roman" w:hAnsi="Times New Roman" w:cs="Times New Roman" w:eastAsia="Times New Roman"/>
          <w:color w:val="auto"/>
          <w:spacing w:val="0"/>
          <w:position w:val="9"/>
          <w:sz w:val="19"/>
          <w:shd w:fill="auto" w:val="clear"/>
        </w:rPr>
        <w:t xml:space="preserve">Disponível em: </w:t>
      </w:r>
      <w:hyperlink xmlns:r="http://schemas.openxmlformats.org/officeDocument/2006/relationships" r:id="docRId42">
        <w:r>
          <w:rPr>
            <w:rFonts w:ascii="Times New Roman" w:hAnsi="Times New Roman" w:cs="Times New Roman" w:eastAsia="Times New Roman"/>
            <w:color w:val="0000FF"/>
            <w:spacing w:val="0"/>
            <w:position w:val="9"/>
            <w:sz w:val="19"/>
            <w:u w:val="single"/>
            <w:shd w:fill="auto" w:val="clear"/>
          </w:rPr>
          <w:t xml:space="preserve">http://www.patriciagalvao.org.br/</w:t>
        </w:r>
      </w:hyperlink>
    </w:p>
    <w:p>
      <w:pPr>
        <w:spacing w:before="0" w:after="0" w:line="241"/>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0"/>
        <w:ind w:right="108" w:left="1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aponta o ano de 2490 como o ano em que a igualdade de gênero no mundo será concretizada caso haja um desenvolvimento de conquistas linear e sem interrupções ou retrocessos no processo.</w:t>
      </w:r>
    </w:p>
    <w:p>
      <w:pPr>
        <w:spacing w:before="4" w:after="0" w:line="360"/>
        <w:ind w:right="111"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mesmo diante deste cenário se faz necessário indagar por que tantas mulheres dançavam, cantavam e curtiam a música “Um tapinha não dói”? Ou, mais amplamente, por que algumas mulheres não se sentem ofendidas quando são tomadas por objetos ou quando se associa violência contra seu corpo e prazer sexual?</w:t>
      </w:r>
    </w:p>
    <w:p>
      <w:pPr>
        <w:spacing w:before="4" w:after="0" w:line="240"/>
        <w:ind w:right="122" w:left="84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Freud: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7" w:after="0" w:line="379"/>
        <w:ind w:right="1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“Se nos voltarmos para as restrições que só </w:t>
      </w:r>
      <w:r>
        <w:rPr>
          <w:rFonts w:ascii="Times New Roman" w:hAnsi="Times New Roman" w:cs="Times New Roman" w:eastAsia="Times New Roman"/>
          <w:color w:val="auto"/>
          <w:spacing w:val="2"/>
          <w:position w:val="0"/>
          <w:sz w:val="19"/>
          <w:shd w:fill="auto" w:val="clear"/>
        </w:rPr>
        <w:t xml:space="preserve">se </w:t>
      </w:r>
      <w:r>
        <w:rPr>
          <w:rFonts w:ascii="Times New Roman" w:hAnsi="Times New Roman" w:cs="Times New Roman" w:eastAsia="Times New Roman"/>
          <w:color w:val="auto"/>
          <w:spacing w:val="0"/>
          <w:position w:val="0"/>
          <w:sz w:val="19"/>
          <w:shd w:fill="auto" w:val="clear"/>
        </w:rPr>
        <w:t xml:space="preserve">aplicam a certas classes da sociedade, encontraremos um estado de coisas que é flagrante e que sempre foi reconhecido, é de esperar que essas classes subprivilegiadas invejem </w:t>
      </w:r>
      <w:r>
        <w:rPr>
          <w:rFonts w:ascii="Times New Roman" w:hAnsi="Times New Roman" w:cs="Times New Roman" w:eastAsia="Times New Roman"/>
          <w:color w:val="auto"/>
          <w:spacing w:val="3"/>
          <w:position w:val="0"/>
          <w:sz w:val="19"/>
          <w:shd w:fill="auto" w:val="clear"/>
        </w:rPr>
        <w:t xml:space="preserve">os </w:t>
      </w:r>
      <w:r>
        <w:rPr>
          <w:rFonts w:ascii="Times New Roman" w:hAnsi="Times New Roman" w:cs="Times New Roman" w:eastAsia="Times New Roman"/>
          <w:color w:val="auto"/>
          <w:spacing w:val="0"/>
          <w:position w:val="0"/>
          <w:sz w:val="19"/>
          <w:shd w:fill="auto" w:val="clear"/>
        </w:rPr>
        <w:t xml:space="preserve">privilégios dos favorecidos e façam tudo o que podem para </w:t>
      </w:r>
      <w:r>
        <w:rPr>
          <w:rFonts w:ascii="Times New Roman" w:hAnsi="Times New Roman" w:cs="Times New Roman" w:eastAsia="Times New Roman"/>
          <w:color w:val="auto"/>
          <w:spacing w:val="2"/>
          <w:position w:val="0"/>
          <w:sz w:val="19"/>
          <w:shd w:fill="auto" w:val="clear"/>
        </w:rPr>
        <w:t xml:space="preserve">se </w:t>
      </w:r>
      <w:r>
        <w:rPr>
          <w:rFonts w:ascii="Times New Roman" w:hAnsi="Times New Roman" w:cs="Times New Roman" w:eastAsia="Times New Roman"/>
          <w:color w:val="auto"/>
          <w:spacing w:val="0"/>
          <w:position w:val="0"/>
          <w:sz w:val="19"/>
          <w:shd w:fill="auto" w:val="clear"/>
        </w:rPr>
        <w:t xml:space="preserve">libertarem de seu próprio excesso de privação. Onde isso não for possível, </w:t>
      </w:r>
      <w:r>
        <w:rPr>
          <w:rFonts w:ascii="Times New Roman" w:hAnsi="Times New Roman" w:cs="Times New Roman" w:eastAsia="Times New Roman"/>
          <w:color w:val="auto"/>
          <w:spacing w:val="2"/>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permanente parcela de descontentamento persistirá dentro da cultura interessada, o que pode conduzir a perigosas revoltas. Se, porém, uma cultura não foi além do ponto em que a satisfação de uma parte e de </w:t>
      </w:r>
      <w:r>
        <w:rPr>
          <w:rFonts w:ascii="Times New Roman" w:hAnsi="Times New Roman" w:cs="Times New Roman" w:eastAsia="Times New Roman"/>
          <w:color w:val="auto"/>
          <w:spacing w:val="2"/>
          <w:position w:val="0"/>
          <w:sz w:val="19"/>
          <w:shd w:fill="auto" w:val="clear"/>
        </w:rPr>
        <w:t xml:space="preserve">seus </w:t>
      </w:r>
      <w:r>
        <w:rPr>
          <w:rFonts w:ascii="Times New Roman" w:hAnsi="Times New Roman" w:cs="Times New Roman" w:eastAsia="Times New Roman"/>
          <w:color w:val="auto"/>
          <w:spacing w:val="0"/>
          <w:position w:val="0"/>
          <w:sz w:val="19"/>
          <w:shd w:fill="auto" w:val="clear"/>
        </w:rPr>
        <w:t xml:space="preserve">participantes depende </w:t>
      </w:r>
      <w:r>
        <w:rPr>
          <w:rFonts w:ascii="Times New Roman" w:hAnsi="Times New Roman" w:cs="Times New Roman" w:eastAsia="Times New Roman"/>
          <w:color w:val="auto"/>
          <w:spacing w:val="3"/>
          <w:position w:val="0"/>
          <w:sz w:val="19"/>
          <w:shd w:fill="auto" w:val="clear"/>
        </w:rPr>
        <w:t xml:space="preserve">da </w:t>
      </w:r>
      <w:r>
        <w:rPr>
          <w:rFonts w:ascii="Times New Roman" w:hAnsi="Times New Roman" w:cs="Times New Roman" w:eastAsia="Times New Roman"/>
          <w:color w:val="auto"/>
          <w:spacing w:val="0"/>
          <w:position w:val="0"/>
          <w:sz w:val="19"/>
          <w:shd w:fill="auto" w:val="clear"/>
        </w:rPr>
        <w:t xml:space="preserve">opressão da outra parte, parte esta talvez maior — e este é</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o caso em todas as culturas atuais —, é compreensível que as pessoas </w:t>
      </w:r>
      <w:r>
        <w:rPr>
          <w:rFonts w:ascii="Times New Roman" w:hAnsi="Times New Roman" w:cs="Times New Roman" w:eastAsia="Times New Roman"/>
          <w:color w:val="auto"/>
          <w:spacing w:val="2"/>
          <w:position w:val="0"/>
          <w:sz w:val="19"/>
          <w:shd w:fill="auto" w:val="clear"/>
        </w:rPr>
        <w:t xml:space="preserve">assim </w:t>
      </w:r>
      <w:r>
        <w:rPr>
          <w:rFonts w:ascii="Times New Roman" w:hAnsi="Times New Roman" w:cs="Times New Roman" w:eastAsia="Times New Roman"/>
          <w:color w:val="auto"/>
          <w:spacing w:val="0"/>
          <w:position w:val="0"/>
          <w:sz w:val="19"/>
          <w:shd w:fill="auto" w:val="clear"/>
        </w:rPr>
        <w:t xml:space="preserve">oprimidas desenvolvam uma intensa hostilidade para com uma cultura cuja existência elas tornam possível pelo seu trabalho, mas de cuja riqueza não  </w:t>
      </w:r>
      <w:r>
        <w:rPr>
          <w:rFonts w:ascii="Times New Roman" w:hAnsi="Times New Roman" w:cs="Times New Roman" w:eastAsia="Times New Roman"/>
          <w:color w:val="auto"/>
          <w:spacing w:val="16"/>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possuem</w:t>
      </w:r>
    </w:p>
    <w:p>
      <w:pPr>
        <w:spacing w:before="0" w:after="0" w:line="240"/>
        <w:ind w:right="0"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mais do que a quota mínima.”</w:t>
      </w:r>
      <w:r>
        <w:rPr>
          <w:rFonts w:ascii="Times New Roman" w:hAnsi="Times New Roman" w:cs="Times New Roman" w:eastAsia="Times New Roman"/>
          <w:color w:val="auto"/>
          <w:spacing w:val="0"/>
          <w:position w:val="9"/>
          <w:sz w:val="13"/>
          <w:shd w:fill="auto" w:val="clear"/>
        </w:rPr>
        <w:t xml:space="preserve">30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360"/>
        <w:ind w:right="108"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que isso não acontece com a maior parte das mulheres? O argumento mais imediato é o de que a nossa cultura colabora na forma como as meninas e mulheres atuam no mundo e constroem sua sexualidade e identidade. Se é verdade o que nos ensina Simone de Beauvoir, que não nascemos mulheres, mas nos tornamos mulher, então sabemos que é importante perceber como se dá este “vir a ser” no cenário de uma sociedade midiatizada.</w:t>
      </w:r>
    </w:p>
    <w:p>
      <w:pPr>
        <w:spacing w:before="8" w:after="0" w:line="360"/>
        <w:ind w:right="110"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televisão, o corpo feminino vende desde cerveja até imóveis, passando por carros e sabonetes. Em absolutamente todos os programas de auditório, mesmo nos quais mulheres são apresentadoras, vemos de fundo, se não em um close partindo do chão, dançarinas semi-nuas. Nos programas de humor também sempre há a tal “gostosa”, que precisa ser burra para provocar o riso.</w:t>
      </w:r>
    </w:p>
    <w:p>
      <w:pPr>
        <w:spacing w:before="1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47" w:after="0" w:line="252"/>
        <w:ind w:right="122" w:left="121" w:firstLine="0"/>
        <w:jc w:val="left"/>
        <w:rPr>
          <w:rFonts w:ascii="Times New Roman" w:hAnsi="Times New Roman" w:cs="Times New Roman" w:eastAsia="Times New Roman"/>
          <w:color w:val="auto"/>
          <w:spacing w:val="0"/>
          <w:position w:val="9"/>
          <w:sz w:val="19"/>
          <w:shd w:fill="auto" w:val="clear"/>
        </w:rPr>
      </w:pPr>
      <w:r>
        <w:rPr>
          <w:rFonts w:ascii="Times New Roman" w:hAnsi="Times New Roman" w:cs="Times New Roman" w:eastAsia="Times New Roman"/>
          <w:color w:val="auto"/>
          <w:spacing w:val="0"/>
          <w:position w:val="9"/>
          <w:sz w:val="13"/>
          <w:shd w:fill="auto" w:val="clear"/>
        </w:rPr>
        <w:t xml:space="preserve">30 </w:t>
      </w:r>
      <w:r>
        <w:rPr>
          <w:rFonts w:ascii="Times New Roman" w:hAnsi="Times New Roman" w:cs="Times New Roman" w:eastAsia="Times New Roman"/>
          <w:color w:val="auto"/>
          <w:spacing w:val="0"/>
          <w:position w:val="9"/>
          <w:sz w:val="19"/>
          <w:shd w:fill="auto" w:val="clear"/>
        </w:rPr>
        <w:t xml:space="preserve">FREUD, Sigmund. O Futuro de uma ilusão (1927). In: </w:t>
      </w:r>
      <w:r>
        <w:rPr>
          <w:rFonts w:ascii="Times New Roman" w:hAnsi="Times New Roman" w:cs="Times New Roman" w:eastAsia="Times New Roman"/>
          <w:b/>
          <w:color w:val="auto"/>
          <w:spacing w:val="0"/>
          <w:position w:val="9"/>
          <w:sz w:val="19"/>
          <w:shd w:fill="auto" w:val="clear"/>
        </w:rPr>
        <w:t xml:space="preserve">Obras completas de Sigmund Freud: edição standard brasileira</w:t>
      </w:r>
      <w:r>
        <w:rPr>
          <w:rFonts w:ascii="Times New Roman" w:hAnsi="Times New Roman" w:cs="Times New Roman" w:eastAsia="Times New Roman"/>
          <w:color w:val="auto"/>
          <w:spacing w:val="0"/>
          <w:position w:val="9"/>
          <w:sz w:val="19"/>
          <w:shd w:fill="auto" w:val="clear"/>
        </w:rPr>
        <w:t xml:space="preserve">, volume XXI – Rio de Janeiro: Imago, 1996. P.21-22</w:t>
      </w:r>
    </w:p>
    <w:p>
      <w:pPr>
        <w:spacing w:before="0" w:after="0" w:line="252"/>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7"/>
          <w:shd w:fill="auto" w:val="clear"/>
        </w:rPr>
      </w:pPr>
    </w:p>
    <w:p>
      <w:pPr>
        <w:spacing w:before="81" w:after="0" w:line="379"/>
        <w:ind w:right="1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“E dentre a aparente variedade de mensagens veiculadas pela televisão, a hegemonia é da publicidade. A publicidade representa, ainda que não tenha esta intenção, a segunda escola do sexismo contemporâneo. É na publicidade que as crianças, meninos e meninas, ‘aprendem’ a equivalência entre os corpos femininos e as mercadorias. O corpo da mulher serve para agregar valor a todos os objetos </w:t>
      </w:r>
      <w:r>
        <w:rPr>
          <w:rFonts w:ascii="Times New Roman" w:hAnsi="Times New Roman" w:cs="Times New Roman" w:eastAsia="Times New Roman"/>
          <w:color w:val="auto"/>
          <w:spacing w:val="4"/>
          <w:position w:val="0"/>
          <w:sz w:val="19"/>
          <w:shd w:fill="auto" w:val="clear"/>
        </w:rPr>
        <w:t xml:space="preserve">em </w:t>
      </w:r>
      <w:r>
        <w:rPr>
          <w:rFonts w:ascii="Times New Roman" w:hAnsi="Times New Roman" w:cs="Times New Roman" w:eastAsia="Times New Roman"/>
          <w:color w:val="auto"/>
          <w:spacing w:val="0"/>
          <w:position w:val="0"/>
          <w:sz w:val="19"/>
          <w:shd w:fill="auto" w:val="clear"/>
        </w:rPr>
        <w:t xml:space="preserve">oferta no mercado. Uma mulher vale uma cerveja; vale um cartão de crédito; vale</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um automóvel; vale </w:t>
      </w:r>
      <w:r>
        <w:rPr>
          <w:rFonts w:ascii="Times New Roman" w:hAnsi="Times New Roman" w:cs="Times New Roman" w:eastAsia="Times New Roman"/>
          <w:color w:val="auto"/>
          <w:spacing w:val="3"/>
          <w:position w:val="0"/>
          <w:sz w:val="19"/>
          <w:shd w:fill="auto" w:val="clear"/>
        </w:rPr>
        <w:t xml:space="preserve">um </w:t>
      </w:r>
      <w:r>
        <w:rPr>
          <w:rFonts w:ascii="Times New Roman" w:hAnsi="Times New Roman" w:cs="Times New Roman" w:eastAsia="Times New Roman"/>
          <w:color w:val="auto"/>
          <w:spacing w:val="0"/>
          <w:position w:val="0"/>
          <w:sz w:val="19"/>
          <w:shd w:fill="auto" w:val="clear"/>
        </w:rPr>
        <w:t xml:space="preserve">analgésico; um provedor da internet; </w:t>
      </w:r>
      <w:r>
        <w:rPr>
          <w:rFonts w:ascii="Times New Roman" w:hAnsi="Times New Roman" w:cs="Times New Roman" w:eastAsia="Times New Roman"/>
          <w:color w:val="auto"/>
          <w:spacing w:val="2"/>
          <w:position w:val="0"/>
          <w:sz w:val="19"/>
          <w:shd w:fill="auto" w:val="clear"/>
        </w:rPr>
        <w:t xml:space="preserve">uma </w:t>
      </w:r>
      <w:r>
        <w:rPr>
          <w:rFonts w:ascii="Times New Roman" w:hAnsi="Times New Roman" w:cs="Times New Roman" w:eastAsia="Times New Roman"/>
          <w:color w:val="auto"/>
          <w:spacing w:val="0"/>
          <w:position w:val="0"/>
          <w:sz w:val="19"/>
          <w:shd w:fill="auto" w:val="clear"/>
        </w:rPr>
        <w:t xml:space="preserve">marca de   </w:t>
      </w:r>
      <w:r>
        <w:rPr>
          <w:rFonts w:ascii="Times New Roman" w:hAnsi="Times New Roman" w:cs="Times New Roman" w:eastAsia="Times New Roman"/>
          <w:color w:val="auto"/>
          <w:spacing w:val="28"/>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tintas;</w:t>
      </w:r>
    </w:p>
    <w:p>
      <w:pPr>
        <w:spacing w:before="0" w:after="0" w:line="240"/>
        <w:ind w:right="0"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um banco.”</w:t>
      </w:r>
      <w:r>
        <w:rPr>
          <w:rFonts w:ascii="Times New Roman" w:hAnsi="Times New Roman" w:cs="Times New Roman" w:eastAsia="Times New Roman"/>
          <w:color w:val="auto"/>
          <w:spacing w:val="0"/>
          <w:position w:val="9"/>
          <w:sz w:val="13"/>
          <w:shd w:fill="auto" w:val="clear"/>
        </w:rPr>
        <w:t xml:space="preserve">31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85" w:after="0" w:line="360"/>
        <w:ind w:right="108"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isso serviria para explicar porque as mulheres dançavam o “Um tapinha não  dói”? Dizer que a mulher é formada em uma cultura que a toma por objeto, que ela aprende e toma isso por verdade é somente parte da resposta à</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questão.</w:t>
      </w:r>
    </w:p>
    <w:p>
      <w:pPr>
        <w:spacing w:before="4" w:after="0" w:line="350"/>
        <w:ind w:right="106" w:left="121" w:firstLine="72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Ainda em Freud: “Essa identificação das classes oprimidas com a classe que  as domina e explora é, contudo, apenas uma parte do todo maior. Isso porque, por outro lado, as classes oprimidas podem estar emocionalmente ligas a seus senhores; apesar de sua  hostilidade</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eles,</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podem</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ver</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neles</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seus</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ideais”</w:t>
      </w:r>
      <w:r>
        <w:rPr>
          <w:rFonts w:ascii="Times New Roman" w:hAnsi="Times New Roman" w:cs="Times New Roman" w:eastAsia="Times New Roman"/>
          <w:color w:val="auto"/>
          <w:spacing w:val="0"/>
          <w:position w:val="11"/>
          <w:sz w:val="16"/>
          <w:shd w:fill="auto" w:val="clear"/>
        </w:rPr>
        <w:t xml:space="preserve">32</w:t>
      </w:r>
      <w:r>
        <w:rPr>
          <w:rFonts w:ascii="Times New Roman" w:hAnsi="Times New Roman" w:cs="Times New Roman" w:eastAsia="Times New Roman"/>
          <w:color w:val="auto"/>
          <w:spacing w:val="0"/>
          <w:position w:val="11"/>
          <w:sz w:val="24"/>
          <w:shd w:fill="auto" w:val="clear"/>
        </w:rPr>
        <w:t xml:space="preserve">.</w:t>
      </w:r>
      <w:r>
        <w:rPr>
          <w:rFonts w:ascii="Times New Roman" w:hAnsi="Times New Roman" w:cs="Times New Roman" w:eastAsia="Times New Roman"/>
          <w:color w:val="auto"/>
          <w:spacing w:val="21"/>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O</w:t>
      </w:r>
      <w:r>
        <w:rPr>
          <w:rFonts w:ascii="Times New Roman" w:hAnsi="Times New Roman" w:cs="Times New Roman" w:eastAsia="Times New Roman"/>
          <w:color w:val="auto"/>
          <w:spacing w:val="18"/>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autor</w:t>
      </w:r>
      <w:r>
        <w:rPr>
          <w:rFonts w:ascii="Times New Roman" w:hAnsi="Times New Roman" w:cs="Times New Roman" w:eastAsia="Times New Roman"/>
          <w:color w:val="auto"/>
          <w:spacing w:val="20"/>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aqui</w:t>
      </w:r>
      <w:r>
        <w:rPr>
          <w:rFonts w:ascii="Times New Roman" w:hAnsi="Times New Roman" w:cs="Times New Roman" w:eastAsia="Times New Roman"/>
          <w:color w:val="auto"/>
          <w:spacing w:val="19"/>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se</w:t>
      </w:r>
      <w:r>
        <w:rPr>
          <w:rFonts w:ascii="Times New Roman" w:hAnsi="Times New Roman" w:cs="Times New Roman" w:eastAsia="Times New Roman"/>
          <w:color w:val="auto"/>
          <w:spacing w:val="18"/>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refere</w:t>
      </w:r>
      <w:r>
        <w:rPr>
          <w:rFonts w:ascii="Times New Roman" w:hAnsi="Times New Roman" w:cs="Times New Roman" w:eastAsia="Times New Roman"/>
          <w:color w:val="auto"/>
          <w:spacing w:val="18"/>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à</w:t>
      </w:r>
      <w:r>
        <w:rPr>
          <w:rFonts w:ascii="Times New Roman" w:hAnsi="Times New Roman" w:cs="Times New Roman" w:eastAsia="Times New Roman"/>
          <w:color w:val="auto"/>
          <w:spacing w:val="18"/>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opressão</w:t>
      </w:r>
    </w:p>
    <w:p>
      <w:pPr>
        <w:spacing w:before="0" w:after="0" w:line="360"/>
        <w:ind w:right="110" w:left="1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classes e não entre os gêneros. Mas acredito que podemos pensar o texto acima do ponto de vista da diferença cultural entre os gêneros, afinal, gênero, assim como classe, são construções históricas e não dados da natureza. Além disso, já está em Freud a constatação de que como somos formados também por impulsos de agressão e destruição e isso não simplesmente desaparece em uma relação amorosa.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379"/>
        <w:ind w:right="1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“O elemento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verdade por trás disso tudo, elemento que as pessoas estão tão dispostas a repudiar, é que os homens não são criaturas gentis que desejam </w:t>
      </w:r>
      <w:r>
        <w:rPr>
          <w:rFonts w:ascii="Times New Roman" w:hAnsi="Times New Roman" w:cs="Times New Roman" w:eastAsia="Times New Roman"/>
          <w:color w:val="auto"/>
          <w:spacing w:val="2"/>
          <w:position w:val="0"/>
          <w:sz w:val="19"/>
          <w:shd w:fill="auto" w:val="clear"/>
        </w:rPr>
        <w:t xml:space="preserve">ser </w:t>
      </w:r>
      <w:r>
        <w:rPr>
          <w:rFonts w:ascii="Times New Roman" w:hAnsi="Times New Roman" w:cs="Times New Roman" w:eastAsia="Times New Roman"/>
          <w:color w:val="auto"/>
          <w:spacing w:val="0"/>
          <w:position w:val="0"/>
          <w:sz w:val="19"/>
          <w:shd w:fill="auto" w:val="clear"/>
        </w:rPr>
        <w:t xml:space="preserve">amadas e que, no máximo, podem defender-se quando atacadas; pelo contrário, são criaturas entre cujos dotes instintivos deve-se levar em conta um poderosa quota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agressividade. Em resultado disso, o seu próximo é, </w:t>
      </w:r>
      <w:r>
        <w:rPr>
          <w:rFonts w:ascii="Times New Roman" w:hAnsi="Times New Roman" w:cs="Times New Roman" w:eastAsia="Times New Roman"/>
          <w:color w:val="auto"/>
          <w:spacing w:val="3"/>
          <w:position w:val="0"/>
          <w:sz w:val="19"/>
          <w:shd w:fill="auto" w:val="clear"/>
        </w:rPr>
        <w:t xml:space="preserve">para </w:t>
      </w:r>
      <w:r>
        <w:rPr>
          <w:rFonts w:ascii="Times New Roman" w:hAnsi="Times New Roman" w:cs="Times New Roman" w:eastAsia="Times New Roman"/>
          <w:color w:val="auto"/>
          <w:spacing w:val="0"/>
          <w:position w:val="0"/>
          <w:sz w:val="19"/>
          <w:shd w:fill="auto" w:val="clear"/>
        </w:rPr>
        <w:t xml:space="preserve">eles, não apenas um ajudante potencial ou um objeto sexual, mas também alguém que os tenta a</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satisfazer sobre ele a sua agressividade, a exporar sua capaciadade de   </w:t>
      </w:r>
      <w:r>
        <w:rPr>
          <w:rFonts w:ascii="Times New Roman" w:hAnsi="Times New Roman" w:cs="Times New Roman" w:eastAsia="Times New Roman"/>
          <w:color w:val="auto"/>
          <w:spacing w:val="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trabalho sem</w:t>
      </w:r>
    </w:p>
    <w:p>
      <w:pPr>
        <w:spacing w:before="3" w:after="0" w:line="240"/>
        <w:ind w:right="0" w:left="0" w:firstLine="0"/>
        <w:jc w:val="left"/>
        <w:rPr>
          <w:rFonts w:ascii="Times New Roman" w:hAnsi="Times New Roman" w:cs="Times New Roman" w:eastAsia="Times New Roman"/>
          <w:color w:val="auto"/>
          <w:spacing w:val="0"/>
          <w:position w:val="0"/>
          <w:sz w:val="18"/>
          <w:shd w:fill="auto" w:val="clear"/>
        </w:rPr>
      </w:pPr>
    </w:p>
    <w:p>
      <w:pPr>
        <w:numPr>
          <w:ilvl w:val="0"/>
          <w:numId w:val="1019"/>
        </w:numPr>
        <w:tabs>
          <w:tab w:val="left" w:pos="343" w:leader="none"/>
        </w:tabs>
        <w:spacing w:before="38" w:after="0" w:line="264"/>
        <w:ind w:right="2795"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KEHL, Maria Rita. </w:t>
      </w:r>
      <w:r>
        <w:rPr>
          <w:rFonts w:ascii="Times New Roman" w:hAnsi="Times New Roman" w:cs="Times New Roman" w:eastAsia="Times New Roman"/>
          <w:b/>
          <w:color w:val="auto"/>
          <w:spacing w:val="0"/>
          <w:position w:val="0"/>
          <w:sz w:val="19"/>
          <w:shd w:fill="auto" w:val="clear"/>
        </w:rPr>
        <w:t xml:space="preserve">A escola do machismo é em casa</w:t>
      </w:r>
      <w:r>
        <w:rPr>
          <w:rFonts w:ascii="Times New Roman" w:hAnsi="Times New Roman" w:cs="Times New Roman" w:eastAsia="Times New Roman"/>
          <w:color w:val="auto"/>
          <w:spacing w:val="0"/>
          <w:position w:val="0"/>
          <w:sz w:val="19"/>
          <w:shd w:fill="auto" w:val="clear"/>
        </w:rPr>
        <w:t xml:space="preserve">. Disponível em </w:t>
      </w:r>
      <w:hyperlink xmlns:r="http://schemas.openxmlformats.org/officeDocument/2006/relationships" r:id="docRId43">
        <w:r>
          <w:rPr>
            <w:rFonts w:ascii="Times New Roman" w:hAnsi="Times New Roman" w:cs="Times New Roman" w:eastAsia="Times New Roman"/>
            <w:color w:val="0000FF"/>
            <w:spacing w:val="0"/>
            <w:position w:val="0"/>
            <w:sz w:val="19"/>
            <w:u w:val="single"/>
            <w:shd w:fill="auto" w:val="clear"/>
          </w:rPr>
          <w:t xml:space="preserve">http://www.mariaritakehl.psc.br/resultado.php?id=43</w:t>
        </w:r>
      </w:hyperlink>
      <w:r>
        <w:rPr>
          <w:rFonts w:ascii="Times New Roman" w:hAnsi="Times New Roman" w:cs="Times New Roman" w:eastAsia="Times New Roman"/>
          <w:color w:val="auto"/>
          <w:spacing w:val="0"/>
          <w:position w:val="0"/>
          <w:sz w:val="19"/>
          <w:shd w:fill="auto" w:val="clear"/>
        </w:rPr>
        <w:t xml:space="preserve"> Acesso em: 08 mai.</w:t>
      </w:r>
      <w:r>
        <w:rPr>
          <w:rFonts w:ascii="Times New Roman" w:hAnsi="Times New Roman" w:cs="Times New Roman" w:eastAsia="Times New Roman"/>
          <w:color w:val="auto"/>
          <w:spacing w:val="-1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2009.</w:t>
      </w:r>
    </w:p>
    <w:p>
      <w:pPr>
        <w:numPr>
          <w:ilvl w:val="0"/>
          <w:numId w:val="1019"/>
        </w:numPr>
        <w:tabs>
          <w:tab w:val="left" w:pos="343" w:leader="none"/>
        </w:tabs>
        <w:spacing w:before="0" w:after="0" w:line="248"/>
        <w:ind w:right="0" w:left="342" w:hanging="221"/>
        <w:jc w:val="left"/>
        <w:rPr>
          <w:rFonts w:ascii="Times New Roman" w:hAnsi="Times New Roman" w:cs="Times New Roman" w:eastAsia="Times New Roman"/>
          <w:b/>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FREUD,</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Sigmund.</w:t>
      </w:r>
      <w:r>
        <w:rPr>
          <w:rFonts w:ascii="Times New Roman" w:hAnsi="Times New Roman" w:cs="Times New Roman" w:eastAsia="Times New Roman"/>
          <w:color w:val="auto"/>
          <w:spacing w:val="-6"/>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O</w:t>
      </w:r>
      <w:r>
        <w:rPr>
          <w:rFonts w:ascii="Times New Roman" w:hAnsi="Times New Roman" w:cs="Times New Roman" w:eastAsia="Times New Roman"/>
          <w:color w:val="auto"/>
          <w:spacing w:val="1"/>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Futuro</w:t>
      </w:r>
      <w:r>
        <w:rPr>
          <w:rFonts w:ascii="Times New Roman" w:hAnsi="Times New Roman" w:cs="Times New Roman" w:eastAsia="Times New Roman"/>
          <w:color w:val="auto"/>
          <w:spacing w:val="-4"/>
          <w:position w:val="0"/>
          <w:sz w:val="19"/>
          <w:shd w:fill="auto" w:val="clear"/>
        </w:rPr>
        <w:t xml:space="preserve"> </w:t>
      </w:r>
      <w:r>
        <w:rPr>
          <w:rFonts w:ascii="Times New Roman" w:hAnsi="Times New Roman" w:cs="Times New Roman" w:eastAsia="Times New Roman"/>
          <w:color w:val="auto"/>
          <w:spacing w:val="3"/>
          <w:position w:val="0"/>
          <w:sz w:val="19"/>
          <w:shd w:fill="auto" w:val="clear"/>
        </w:rPr>
        <w:t xml:space="preserve">de</w:t>
      </w:r>
      <w:r>
        <w:rPr>
          <w:rFonts w:ascii="Times New Roman" w:hAnsi="Times New Roman" w:cs="Times New Roman" w:eastAsia="Times New Roman"/>
          <w:color w:val="auto"/>
          <w:spacing w:val="-6"/>
          <w:position w:val="0"/>
          <w:sz w:val="19"/>
          <w:shd w:fill="auto" w:val="clear"/>
        </w:rPr>
        <w:t xml:space="preserve"> </w:t>
      </w:r>
      <w:r>
        <w:rPr>
          <w:rFonts w:ascii="Times New Roman" w:hAnsi="Times New Roman" w:cs="Times New Roman" w:eastAsia="Times New Roman"/>
          <w:color w:val="auto"/>
          <w:spacing w:val="2"/>
          <w:position w:val="0"/>
          <w:sz w:val="19"/>
          <w:shd w:fill="auto" w:val="clear"/>
        </w:rPr>
        <w:t xml:space="preserve">uma</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ilusão</w:t>
      </w:r>
      <w:r>
        <w:rPr>
          <w:rFonts w:ascii="Times New Roman" w:hAnsi="Times New Roman" w:cs="Times New Roman" w:eastAsia="Times New Roman"/>
          <w:color w:val="auto"/>
          <w:spacing w:val="-4"/>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(1927).</w:t>
      </w:r>
      <w:r>
        <w:rPr>
          <w:rFonts w:ascii="Times New Roman" w:hAnsi="Times New Roman" w:cs="Times New Roman" w:eastAsia="Times New Roman"/>
          <w:color w:val="auto"/>
          <w:spacing w:val="-6"/>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In:</w:t>
      </w:r>
      <w:r>
        <w:rPr>
          <w:rFonts w:ascii="Times New Roman" w:hAnsi="Times New Roman" w:cs="Times New Roman" w:eastAsia="Times New Roman"/>
          <w:color w:val="auto"/>
          <w:spacing w:val="-3"/>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Obras</w:t>
      </w:r>
      <w:r>
        <w:rPr>
          <w:rFonts w:ascii="Times New Roman" w:hAnsi="Times New Roman" w:cs="Times New Roman" w:eastAsia="Times New Roman"/>
          <w:b/>
          <w:color w:val="auto"/>
          <w:spacing w:val="-5"/>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completas</w:t>
      </w:r>
      <w:r>
        <w:rPr>
          <w:rFonts w:ascii="Times New Roman" w:hAnsi="Times New Roman" w:cs="Times New Roman" w:eastAsia="Times New Roman"/>
          <w:b/>
          <w:color w:val="auto"/>
          <w:spacing w:val="-5"/>
          <w:position w:val="0"/>
          <w:sz w:val="19"/>
          <w:shd w:fill="auto" w:val="clear"/>
        </w:rPr>
        <w:t xml:space="preserve"> </w:t>
      </w:r>
      <w:r>
        <w:rPr>
          <w:rFonts w:ascii="Times New Roman" w:hAnsi="Times New Roman" w:cs="Times New Roman" w:eastAsia="Times New Roman"/>
          <w:b/>
          <w:color w:val="auto"/>
          <w:spacing w:val="2"/>
          <w:position w:val="0"/>
          <w:sz w:val="19"/>
          <w:shd w:fill="auto" w:val="clear"/>
        </w:rPr>
        <w:t xml:space="preserve">de</w:t>
      </w:r>
      <w:r>
        <w:rPr>
          <w:rFonts w:ascii="Times New Roman" w:hAnsi="Times New Roman" w:cs="Times New Roman" w:eastAsia="Times New Roman"/>
          <w:b/>
          <w:color w:val="auto"/>
          <w:spacing w:val="-6"/>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Sigmund Freud: edição</w:t>
      </w:r>
    </w:p>
    <w:p>
      <w:pPr>
        <w:spacing w:before="16" w:after="0" w:line="240"/>
        <w:ind w:right="122"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b/>
          <w:color w:val="auto"/>
          <w:spacing w:val="0"/>
          <w:position w:val="0"/>
          <w:sz w:val="19"/>
          <w:shd w:fill="auto" w:val="clear"/>
        </w:rPr>
        <w:t xml:space="preserve">standard brasileira</w:t>
      </w:r>
      <w:r>
        <w:rPr>
          <w:rFonts w:ascii="Times New Roman" w:hAnsi="Times New Roman" w:cs="Times New Roman" w:eastAsia="Times New Roman"/>
          <w:color w:val="auto"/>
          <w:spacing w:val="0"/>
          <w:position w:val="0"/>
          <w:sz w:val="19"/>
          <w:shd w:fill="auto" w:val="clear"/>
        </w:rPr>
        <w:t xml:space="preserve">, volume XXI – Rio de Janeiro: Imago, 1996. P.23</w:t>
      </w:r>
    </w:p>
    <w:p>
      <w:pPr>
        <w:spacing w:before="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43"/>
        <w:ind w:right="122" w:left="2387" w:firstLine="0"/>
        <w:jc w:val="left"/>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compensação, utilizá-lo sexualmente sem o seu consentimento, apoderar-se de suas posses, humilhá-lo, causar-lhe sofrimento, torturá-lo, matá-lo.”</w:t>
      </w:r>
      <w:r>
        <w:rPr>
          <w:rFonts w:ascii="Times New Roman" w:hAnsi="Times New Roman" w:cs="Times New Roman" w:eastAsia="Times New Roman"/>
          <w:color w:val="auto"/>
          <w:spacing w:val="0"/>
          <w:position w:val="9"/>
          <w:sz w:val="13"/>
          <w:shd w:fill="auto" w:val="clear"/>
        </w:rPr>
        <w:t xml:space="preserve">33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9"/>
          <w:shd w:fill="auto" w:val="clear"/>
        </w:rPr>
      </w:pPr>
    </w:p>
    <w:p>
      <w:pPr>
        <w:spacing w:before="0" w:after="0" w:line="360"/>
        <w:ind w:right="112"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aqui podemos pensar também em outra hipótese que somada às anteriores, e há outras tantas não apresentadas aqui, ajude-nos a mapear aos poucos o que leva as mulheres a participarem nas danças e músicas do funk como “Um tapinha não dói”.</w:t>
      </w:r>
    </w:p>
    <w:p>
      <w:pPr>
        <w:spacing w:before="4" w:after="0" w:line="360"/>
        <w:ind w:right="104"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psicanalista gaúcha Eliana Calligaris lançou em 2005 o livro “Prostituição: o eterno feminino”. Na obra a autora trata da prostituição como metáfora para a mulher que se entrega ao sexo sem regras, sem vínculos, e que, em sua imaginação, teria acesso a todos os homens e teria liberdade total do próprio corpo. Ou seja, para estas mulheres o prazer está em usufruir prazerosamente do seu corpo. Capacidade antes dita como masculina.</w:t>
      </w:r>
    </w:p>
    <w:p>
      <w:pPr>
        <w:spacing w:before="8" w:after="0" w:line="360"/>
        <w:ind w:right="106" w:left="121"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 seja, podemos pensar que, para algumas mulheres, a identificação com o campo tradicionalmente masculino é um ganho de visibilidade pública e de prazer. E por outro lado, provavelmente elas dancem o funk porque gostam. Gostam do ritmo, gostam de brincar com a fantasia de uma relação sadomasoquista, gostam de seduzir através da música e gostam da experimentar uma relação íntima e livre com o próprio corpo. Claro, livre na medida do possível, já que as danças são coreografias enlatadas pronta para o consumo. Mas ainda  assim, podemos pensar que elas dançam porque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querem.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51" w:after="0" w:line="379"/>
        <w:ind w:right="247"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“É porque uma mulher é faltante, que ela é sujeito (do desejo), assim como um homem. Mas é porque uma mulher dispõe de recursos fálicos dos mais diversos (assim como um homem), que ela é capaz de dar palavras a seu desejo, inventar diferentes destinos para a pulsão, sublimar, gozar parcialmente disto ou daquilo, substituir objetos perdidos. Enfim: capaz de, assim como um homem, viver a condição desejante a partir de diversas posições, ainda que dentre estas, a posição de  objeto  do  desejo  seja  a  que  mais  convém  à  condição  feminina  para fazer</w:t>
      </w:r>
    </w:p>
    <w:p>
      <w:pPr>
        <w:spacing w:before="0" w:after="0" w:line="240"/>
        <w:ind w:right="0"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funcionar a ficção da relação sexual.”</w:t>
      </w:r>
      <w:r>
        <w:rPr>
          <w:rFonts w:ascii="Times New Roman" w:hAnsi="Times New Roman" w:cs="Times New Roman" w:eastAsia="Times New Roman"/>
          <w:color w:val="auto"/>
          <w:spacing w:val="0"/>
          <w:position w:val="9"/>
          <w:sz w:val="13"/>
          <w:shd w:fill="auto" w:val="clear"/>
        </w:rPr>
        <w:t xml:space="preserve">34</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6"/>
          <w:shd w:fill="auto" w:val="clear"/>
        </w:rPr>
      </w:pPr>
    </w:p>
    <w:p>
      <w:pPr>
        <w:numPr>
          <w:ilvl w:val="0"/>
          <w:numId w:val="1035"/>
        </w:numPr>
        <w:tabs>
          <w:tab w:val="left" w:pos="343" w:leader="none"/>
        </w:tabs>
        <w:spacing w:before="38" w:after="0" w:line="264"/>
        <w:ind w:right="260"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FREUD,</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Sigmund.</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Mal-estar</w:t>
      </w:r>
      <w:r>
        <w:rPr>
          <w:rFonts w:ascii="Times New Roman" w:hAnsi="Times New Roman" w:cs="Times New Roman" w:eastAsia="Times New Roman"/>
          <w:color w:val="auto"/>
          <w:spacing w:val="-4"/>
          <w:position w:val="0"/>
          <w:sz w:val="19"/>
          <w:shd w:fill="auto" w:val="clear"/>
        </w:rPr>
        <w:t xml:space="preserve"> </w:t>
      </w:r>
      <w:r>
        <w:rPr>
          <w:rFonts w:ascii="Times New Roman" w:hAnsi="Times New Roman" w:cs="Times New Roman" w:eastAsia="Times New Roman"/>
          <w:color w:val="auto"/>
          <w:spacing w:val="3"/>
          <w:position w:val="0"/>
          <w:sz w:val="19"/>
          <w:shd w:fill="auto" w:val="clear"/>
        </w:rPr>
        <w:t xml:space="preserve">na</w:t>
      </w:r>
      <w:r>
        <w:rPr>
          <w:rFonts w:ascii="Times New Roman" w:hAnsi="Times New Roman" w:cs="Times New Roman" w:eastAsia="Times New Roman"/>
          <w:color w:val="auto"/>
          <w:spacing w:val="-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Civilização</w:t>
      </w:r>
      <w:r>
        <w:rPr>
          <w:rFonts w:ascii="Times New Roman" w:hAnsi="Times New Roman" w:cs="Times New Roman" w:eastAsia="Times New Roman"/>
          <w:color w:val="auto"/>
          <w:spacing w:val="-4"/>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(1929-1930).</w:t>
      </w:r>
      <w:r>
        <w:rPr>
          <w:rFonts w:ascii="Times New Roman" w:hAnsi="Times New Roman" w:cs="Times New Roman" w:eastAsia="Times New Roman"/>
          <w:color w:val="auto"/>
          <w:spacing w:val="-7"/>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In:</w:t>
      </w:r>
      <w:r>
        <w:rPr>
          <w:rFonts w:ascii="Times New Roman" w:hAnsi="Times New Roman" w:cs="Times New Roman" w:eastAsia="Times New Roman"/>
          <w:color w:val="auto"/>
          <w:spacing w:val="-8"/>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Obras</w:t>
      </w:r>
      <w:r>
        <w:rPr>
          <w:rFonts w:ascii="Times New Roman" w:hAnsi="Times New Roman" w:cs="Times New Roman" w:eastAsia="Times New Roman"/>
          <w:b/>
          <w:color w:val="auto"/>
          <w:spacing w:val="-1"/>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completas</w:t>
      </w:r>
      <w:r>
        <w:rPr>
          <w:rFonts w:ascii="Times New Roman" w:hAnsi="Times New Roman" w:cs="Times New Roman" w:eastAsia="Times New Roman"/>
          <w:b/>
          <w:color w:val="auto"/>
          <w:spacing w:val="-6"/>
          <w:position w:val="0"/>
          <w:sz w:val="19"/>
          <w:shd w:fill="auto" w:val="clear"/>
        </w:rPr>
        <w:t xml:space="preserve"> </w:t>
      </w:r>
      <w:r>
        <w:rPr>
          <w:rFonts w:ascii="Times New Roman" w:hAnsi="Times New Roman" w:cs="Times New Roman" w:eastAsia="Times New Roman"/>
          <w:b/>
          <w:color w:val="auto"/>
          <w:spacing w:val="2"/>
          <w:position w:val="0"/>
          <w:sz w:val="19"/>
          <w:shd w:fill="auto" w:val="clear"/>
        </w:rPr>
        <w:t xml:space="preserve">de</w:t>
      </w:r>
      <w:r>
        <w:rPr>
          <w:rFonts w:ascii="Times New Roman" w:hAnsi="Times New Roman" w:cs="Times New Roman" w:eastAsia="Times New Roman"/>
          <w:b/>
          <w:color w:val="auto"/>
          <w:spacing w:val="-7"/>
          <w:position w:val="0"/>
          <w:sz w:val="19"/>
          <w:shd w:fill="auto" w:val="clear"/>
        </w:rPr>
        <w:t xml:space="preserve"> </w:t>
      </w:r>
      <w:r>
        <w:rPr>
          <w:rFonts w:ascii="Times New Roman" w:hAnsi="Times New Roman" w:cs="Times New Roman" w:eastAsia="Times New Roman"/>
          <w:b/>
          <w:color w:val="auto"/>
          <w:spacing w:val="0"/>
          <w:position w:val="0"/>
          <w:sz w:val="19"/>
          <w:shd w:fill="auto" w:val="clear"/>
        </w:rPr>
        <w:t xml:space="preserve">Sigmund Freud: edição standard brasileira</w:t>
      </w:r>
      <w:r>
        <w:rPr>
          <w:rFonts w:ascii="Times New Roman" w:hAnsi="Times New Roman" w:cs="Times New Roman" w:eastAsia="Times New Roman"/>
          <w:color w:val="auto"/>
          <w:spacing w:val="0"/>
          <w:position w:val="0"/>
          <w:sz w:val="19"/>
          <w:shd w:fill="auto" w:val="clear"/>
        </w:rPr>
        <w:t xml:space="preserve">, volume XXI – Rio de Janeiro: Imago, 1996. P.</w:t>
      </w:r>
      <w:r>
        <w:rPr>
          <w:rFonts w:ascii="Times New Roman" w:hAnsi="Times New Roman" w:cs="Times New Roman" w:eastAsia="Times New Roman"/>
          <w:color w:val="auto"/>
          <w:spacing w:val="-17"/>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116</w:t>
      </w:r>
    </w:p>
    <w:p>
      <w:pPr>
        <w:spacing w:before="2" w:after="0" w:line="240"/>
        <w:ind w:right="0" w:left="0" w:firstLine="0"/>
        <w:jc w:val="left"/>
        <w:rPr>
          <w:rFonts w:ascii="Times New Roman" w:hAnsi="Times New Roman" w:cs="Times New Roman" w:eastAsia="Times New Roman"/>
          <w:color w:val="auto"/>
          <w:spacing w:val="0"/>
          <w:position w:val="0"/>
          <w:sz w:val="19"/>
          <w:shd w:fill="auto" w:val="clear"/>
        </w:rPr>
      </w:pPr>
    </w:p>
    <w:p>
      <w:pPr>
        <w:numPr>
          <w:ilvl w:val="0"/>
          <w:numId w:val="1037"/>
        </w:numPr>
        <w:tabs>
          <w:tab w:val="left" w:pos="343" w:leader="none"/>
        </w:tabs>
        <w:spacing w:before="0" w:after="0" w:line="259"/>
        <w:ind w:right="132"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KEHL, Maria Rita. Sexualidade </w:t>
      </w:r>
      <w:r>
        <w:rPr>
          <w:rFonts w:ascii="Times New Roman" w:hAnsi="Times New Roman" w:cs="Times New Roman" w:eastAsia="Times New Roman"/>
          <w:b/>
          <w:color w:val="auto"/>
          <w:spacing w:val="0"/>
          <w:position w:val="0"/>
          <w:sz w:val="19"/>
          <w:shd w:fill="auto" w:val="clear"/>
        </w:rPr>
        <w:t xml:space="preserve">Recontextualizada</w:t>
      </w:r>
      <w:r>
        <w:rPr>
          <w:rFonts w:ascii="Times New Roman" w:hAnsi="Times New Roman" w:cs="Times New Roman" w:eastAsia="Times New Roman"/>
          <w:color w:val="auto"/>
          <w:spacing w:val="0"/>
          <w:position w:val="0"/>
          <w:sz w:val="19"/>
          <w:shd w:fill="auto" w:val="clear"/>
        </w:rPr>
        <w:t xml:space="preserve">. Disponível em http://74.125.155.132/scholar?q=cache:ySSipC2F77wJ:scholar.google.com/+KEHL,+Maria+Rita.+sexualidade+ recontextualizada&amp;hl=pt-BR Acesso em jul. </w:t>
      </w:r>
      <w:r>
        <w:rPr>
          <w:rFonts w:ascii="Times New Roman" w:hAnsi="Times New Roman" w:cs="Times New Roman" w:eastAsia="Times New Roman"/>
          <w:color w:val="auto"/>
          <w:spacing w:val="3"/>
          <w:position w:val="0"/>
          <w:sz w:val="19"/>
          <w:shd w:fill="auto" w:val="clear"/>
        </w:rPr>
        <w:t xml:space="preserve">de </w:t>
      </w:r>
      <w:r>
        <w:rPr>
          <w:rFonts w:ascii="Times New Roman" w:hAnsi="Times New Roman" w:cs="Times New Roman" w:eastAsia="Times New Roman"/>
          <w:color w:val="auto"/>
          <w:spacing w:val="0"/>
          <w:position w:val="0"/>
          <w:sz w:val="19"/>
          <w:shd w:fill="auto" w:val="clear"/>
        </w:rPr>
        <w:t xml:space="preserve">2009. </w:t>
      </w:r>
      <w:r>
        <w:rPr>
          <w:rFonts w:ascii="Times New Roman" w:hAnsi="Times New Roman" w:cs="Times New Roman" w:eastAsia="Times New Roman"/>
          <w:color w:val="auto"/>
          <w:spacing w:val="2"/>
          <w:position w:val="0"/>
          <w:sz w:val="19"/>
          <w:shd w:fill="auto" w:val="clear"/>
        </w:rPr>
        <w:t xml:space="preserve">P.</w:t>
      </w:r>
      <w:r>
        <w:rPr>
          <w:rFonts w:ascii="Times New Roman" w:hAnsi="Times New Roman" w:cs="Times New Roman" w:eastAsia="Times New Roman"/>
          <w:color w:val="auto"/>
          <w:spacing w:val="-2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14.</w:t>
      </w:r>
    </w:p>
    <w:p>
      <w:pPr>
        <w:spacing w:before="0" w:after="0" w:line="259"/>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360"/>
        <w:ind w:right="109"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podemos mesmo entender a violência contra a mulher, neste nosso momento histórico, como uma tentativa dos homens de retomar uma posição social que eles estão tendo que dividir com as mulheres. Sobretudo no campo afetivo. Como se os homens respondessem com violência à liberdade sexual demonstrada por estas mulheres. Certamente isso não é novidade. Não entraremos nesta área, mas a sexualidade feminina sempre foi um mistério e desconforto para os homens. Como se as mulheres fossem perigosas já que “não tem nada a perder”, já são “castradas”. (Como se também não fossem os homens, uma vez  que o falo é aquilo que circula nas trocas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humanas).</w:t>
      </w:r>
    </w:p>
    <w:p>
      <w:pPr>
        <w:spacing w:before="4" w:after="0" w:line="240"/>
        <w:ind w:right="122" w:left="97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Mais uma vez e por fim, recorremos a Maria Rita Kehl: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7" w:after="0" w:line="379"/>
        <w:ind w:right="112" w:left="2387"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“Dizer que a publicidade ensina </w:t>
      </w:r>
      <w:r>
        <w:rPr>
          <w:rFonts w:ascii="Times New Roman" w:hAnsi="Times New Roman" w:cs="Times New Roman" w:eastAsia="Times New Roman"/>
          <w:color w:val="auto"/>
          <w:spacing w:val="3"/>
          <w:position w:val="0"/>
          <w:sz w:val="19"/>
          <w:shd w:fill="auto" w:val="clear"/>
        </w:rPr>
        <w:t xml:space="preserve">que </w:t>
      </w:r>
      <w:r>
        <w:rPr>
          <w:rFonts w:ascii="Times New Roman" w:hAnsi="Times New Roman" w:cs="Times New Roman" w:eastAsia="Times New Roman"/>
          <w:color w:val="auto"/>
          <w:spacing w:val="0"/>
          <w:position w:val="0"/>
          <w:sz w:val="19"/>
          <w:shd w:fill="auto" w:val="clear"/>
        </w:rPr>
        <w:t xml:space="preserve">o valor das pessoas se mede pelo que elas podem comprar já é um truísmo. Só que as mulheres, ou melhor, os belos corpos das belas mulheres, já não </w:t>
      </w:r>
      <w:r>
        <w:rPr>
          <w:rFonts w:ascii="Times New Roman" w:hAnsi="Times New Roman" w:cs="Times New Roman" w:eastAsia="Times New Roman"/>
          <w:color w:val="auto"/>
          <w:spacing w:val="2"/>
          <w:position w:val="0"/>
          <w:sz w:val="19"/>
          <w:shd w:fill="auto" w:val="clear"/>
        </w:rPr>
        <w:t xml:space="preserve">se </w:t>
      </w:r>
      <w:r>
        <w:rPr>
          <w:rFonts w:ascii="Times New Roman" w:hAnsi="Times New Roman" w:cs="Times New Roman" w:eastAsia="Times New Roman"/>
          <w:color w:val="auto"/>
          <w:spacing w:val="0"/>
          <w:position w:val="0"/>
          <w:sz w:val="19"/>
          <w:shd w:fill="auto" w:val="clear"/>
        </w:rPr>
        <w:t xml:space="preserve">servem das mercadorias, mas servem a elas. </w:t>
      </w:r>
      <w:r>
        <w:rPr>
          <w:rFonts w:ascii="Times New Roman" w:hAnsi="Times New Roman" w:cs="Times New Roman" w:eastAsia="Times New Roman"/>
          <w:color w:val="auto"/>
          <w:spacing w:val="3"/>
          <w:position w:val="0"/>
          <w:sz w:val="19"/>
          <w:shd w:fill="auto" w:val="clear"/>
        </w:rPr>
        <w:t xml:space="preserve">Há </w:t>
      </w:r>
      <w:r>
        <w:rPr>
          <w:rFonts w:ascii="Times New Roman" w:hAnsi="Times New Roman" w:cs="Times New Roman" w:eastAsia="Times New Roman"/>
          <w:color w:val="auto"/>
          <w:spacing w:val="0"/>
          <w:position w:val="0"/>
          <w:sz w:val="19"/>
          <w:shd w:fill="auto" w:val="clear"/>
        </w:rPr>
        <w:t xml:space="preserve">exceções. Algumas valem mais do que o produto que anunciam. Não necessariamente as mais bonitas. Nem as mais talentosas: as mais caras. Uma Daniela, uma Gisele – estas</w:t>
      </w:r>
      <w:r>
        <w:rPr>
          <w:rFonts w:ascii="Times New Roman" w:hAnsi="Times New Roman" w:cs="Times New Roman" w:eastAsia="Times New Roman"/>
          <w:color w:val="auto"/>
          <w:spacing w:val="4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não</w:t>
      </w:r>
      <w:r>
        <w:rPr>
          <w:rFonts w:ascii="Times New Roman" w:hAnsi="Times New Roman" w:cs="Times New Roman" w:eastAsia="Times New Roman"/>
          <w:color w:val="auto"/>
          <w:spacing w:val="27"/>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se</w:t>
      </w:r>
      <w:r>
        <w:rPr>
          <w:rFonts w:ascii="Times New Roman" w:hAnsi="Times New Roman" w:cs="Times New Roman" w:eastAsia="Times New Roman"/>
          <w:color w:val="auto"/>
          <w:spacing w:val="23"/>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vendem</w:t>
      </w:r>
      <w:r>
        <w:rPr>
          <w:rFonts w:ascii="Times New Roman" w:hAnsi="Times New Roman" w:cs="Times New Roman" w:eastAsia="Times New Roman"/>
          <w:color w:val="auto"/>
          <w:spacing w:val="2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a</w:t>
      </w:r>
      <w:r>
        <w:rPr>
          <w:rFonts w:ascii="Times New Roman" w:hAnsi="Times New Roman" w:cs="Times New Roman" w:eastAsia="Times New Roman"/>
          <w:color w:val="auto"/>
          <w:spacing w:val="23"/>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qualquer</w:t>
      </w:r>
      <w:r>
        <w:rPr>
          <w:rFonts w:ascii="Times New Roman" w:hAnsi="Times New Roman" w:cs="Times New Roman" w:eastAsia="Times New Roman"/>
          <w:color w:val="auto"/>
          <w:spacing w:val="26"/>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um.</w:t>
      </w:r>
      <w:r>
        <w:rPr>
          <w:rFonts w:ascii="Times New Roman" w:hAnsi="Times New Roman" w:cs="Times New Roman" w:eastAsia="Times New Roman"/>
          <w:color w:val="auto"/>
          <w:spacing w:val="23"/>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Diante</w:t>
      </w:r>
      <w:r>
        <w:rPr>
          <w:rFonts w:ascii="Times New Roman" w:hAnsi="Times New Roman" w:cs="Times New Roman" w:eastAsia="Times New Roman"/>
          <w:color w:val="auto"/>
          <w:spacing w:val="23"/>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dos</w:t>
      </w:r>
      <w:r>
        <w:rPr>
          <w:rFonts w:ascii="Times New Roman" w:hAnsi="Times New Roman" w:cs="Times New Roman" w:eastAsia="Times New Roman"/>
          <w:color w:val="auto"/>
          <w:spacing w:val="2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cifrões</w:t>
      </w:r>
      <w:r>
        <w:rPr>
          <w:rFonts w:ascii="Times New Roman" w:hAnsi="Times New Roman" w:cs="Times New Roman" w:eastAsia="Times New Roman"/>
          <w:color w:val="auto"/>
          <w:spacing w:val="2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que</w:t>
      </w:r>
      <w:r>
        <w:rPr>
          <w:rFonts w:ascii="Times New Roman" w:hAnsi="Times New Roman" w:cs="Times New Roman" w:eastAsia="Times New Roman"/>
          <w:color w:val="auto"/>
          <w:spacing w:val="23"/>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reluzem</w:t>
      </w:r>
      <w:r>
        <w:rPr>
          <w:rFonts w:ascii="Times New Roman" w:hAnsi="Times New Roman" w:cs="Times New Roman" w:eastAsia="Times New Roman"/>
          <w:color w:val="auto"/>
          <w:spacing w:val="25"/>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no</w:t>
      </w:r>
      <w:r>
        <w:rPr>
          <w:rFonts w:ascii="Times New Roman" w:hAnsi="Times New Roman" w:cs="Times New Roman" w:eastAsia="Times New Roman"/>
          <w:color w:val="auto"/>
          <w:spacing w:val="27"/>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sorriso</w:t>
      </w:r>
      <w:r>
        <w:rPr>
          <w:rFonts w:ascii="Times New Roman" w:hAnsi="Times New Roman" w:cs="Times New Roman" w:eastAsia="Times New Roman"/>
          <w:color w:val="auto"/>
          <w:spacing w:val="27"/>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delas</w:t>
      </w:r>
      <w:r>
        <w:rPr>
          <w:rFonts w:ascii="Times New Roman" w:hAnsi="Times New Roman" w:cs="Times New Roman" w:eastAsia="Times New Roman"/>
          <w:color w:val="auto"/>
          <w:spacing w:val="2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o</w:t>
      </w:r>
    </w:p>
    <w:p>
      <w:pPr>
        <w:spacing w:before="5" w:after="0" w:line="343"/>
        <w:ind w:right="114" w:left="2387"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19"/>
          <w:shd w:fill="auto" w:val="clear"/>
        </w:rPr>
        <w:t xml:space="preserve">macho comum se curva, inferiorizado. E vai descontar nas outras – essas rampeiras baratas! – sua nova humilhação.”</w:t>
      </w:r>
      <w:r>
        <w:rPr>
          <w:rFonts w:ascii="Times New Roman" w:hAnsi="Times New Roman" w:cs="Times New Roman" w:eastAsia="Times New Roman"/>
          <w:color w:val="auto"/>
          <w:spacing w:val="0"/>
          <w:position w:val="9"/>
          <w:sz w:val="13"/>
          <w:shd w:fill="auto" w:val="clear"/>
        </w:rPr>
        <w:t xml:space="preserve">35</w:t>
      </w:r>
    </w:p>
    <w:p>
      <w:pPr>
        <w:spacing w:before="1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22" w:left="121"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CONCLUSÃO</w:t>
      </w:r>
    </w:p>
    <w:p>
      <w:pPr>
        <w:spacing w:before="1"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106"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São inúmeros, e tantas vezes até individuais, os motivos que levam alguns homens a agredirem e violentarem mulheres. Pesa sobre nós o fato de sermos seres sociais e que, se de algum modo, uma cultura autoriza, ou por vezes incentiva, a violência contra a mulher, há dentro de nós pulsões de agressão que podem encontrar vazão. Ainda assim, é difícil prever  ou analisar se uma música pode produzir um comportamento. Ou seja, se aumentaram os índices de agressão contra a mulher por causa da música “Um tapinha não dói”, ou se alguns homens entenderam na música um reforço para seu comportamento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violento.</w:t>
      </w:r>
    </w:p>
    <w:p>
      <w:pPr>
        <w:spacing w:before="4" w:after="0" w:line="360"/>
        <w:ind w:right="110"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devemos tomar com certo cuidado o argumento de que é necessária uma eterna vigilância por parte da sociedade nos valores e ideologias que circulam no espaço público da mídia. Entre barrar conteúdos que firam pessoas ou que as coloquem em risco e fertilizar uma lógica de fiscalização moral não há tanta distância. </w:t>
      </w:r>
    </w:p>
    <w:p>
      <w:pPr>
        <w:spacing w:before="4" w:after="0" w:line="240"/>
        <w:ind w:right="0" w:left="0" w:firstLine="0"/>
        <w:jc w:val="left"/>
        <w:rPr>
          <w:rFonts w:ascii="Times New Roman" w:hAnsi="Times New Roman" w:cs="Times New Roman" w:eastAsia="Times New Roman"/>
          <w:color w:val="auto"/>
          <w:spacing w:val="0"/>
          <w:position w:val="0"/>
          <w:sz w:val="29"/>
          <w:shd w:fill="auto" w:val="clear"/>
        </w:rPr>
      </w:pPr>
    </w:p>
    <w:p>
      <w:pPr>
        <w:numPr>
          <w:ilvl w:val="0"/>
          <w:numId w:val="1052"/>
        </w:numPr>
        <w:tabs>
          <w:tab w:val="left" w:pos="343" w:leader="none"/>
        </w:tabs>
        <w:spacing w:before="38" w:after="0" w:line="264"/>
        <w:ind w:right="2795" w:left="121" w:firstLine="0"/>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KEHL, Maria Rita. </w:t>
      </w:r>
      <w:r>
        <w:rPr>
          <w:rFonts w:ascii="Times New Roman" w:hAnsi="Times New Roman" w:cs="Times New Roman" w:eastAsia="Times New Roman"/>
          <w:b/>
          <w:color w:val="auto"/>
          <w:spacing w:val="0"/>
          <w:position w:val="0"/>
          <w:sz w:val="19"/>
          <w:shd w:fill="auto" w:val="clear"/>
        </w:rPr>
        <w:t xml:space="preserve">A escola do machismo é em casa</w:t>
      </w:r>
      <w:r>
        <w:rPr>
          <w:rFonts w:ascii="Times New Roman" w:hAnsi="Times New Roman" w:cs="Times New Roman" w:eastAsia="Times New Roman"/>
          <w:color w:val="auto"/>
          <w:spacing w:val="0"/>
          <w:position w:val="0"/>
          <w:sz w:val="19"/>
          <w:shd w:fill="auto" w:val="clear"/>
        </w:rPr>
        <w:t xml:space="preserve">. Disponível em </w:t>
      </w:r>
      <w:hyperlink xmlns:r="http://schemas.openxmlformats.org/officeDocument/2006/relationships" r:id="docRId44">
        <w:r>
          <w:rPr>
            <w:rFonts w:ascii="Times New Roman" w:hAnsi="Times New Roman" w:cs="Times New Roman" w:eastAsia="Times New Roman"/>
            <w:color w:val="0000FF"/>
            <w:spacing w:val="0"/>
            <w:position w:val="0"/>
            <w:sz w:val="19"/>
            <w:u w:val="single"/>
            <w:shd w:fill="auto" w:val="clear"/>
          </w:rPr>
          <w:t xml:space="preserve">http://www.mariaritakehl.psc.br/resultado.php?id=43</w:t>
        </w:r>
      </w:hyperlink>
      <w:r>
        <w:rPr>
          <w:rFonts w:ascii="Times New Roman" w:hAnsi="Times New Roman" w:cs="Times New Roman" w:eastAsia="Times New Roman"/>
          <w:color w:val="auto"/>
          <w:spacing w:val="0"/>
          <w:position w:val="0"/>
          <w:sz w:val="19"/>
          <w:shd w:fill="auto" w:val="clear"/>
        </w:rPr>
        <w:t xml:space="preserve"> Acesso em: 08 mai.</w:t>
      </w:r>
      <w:r>
        <w:rPr>
          <w:rFonts w:ascii="Times New Roman" w:hAnsi="Times New Roman" w:cs="Times New Roman" w:eastAsia="Times New Roman"/>
          <w:color w:val="auto"/>
          <w:spacing w:val="-1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2009.</w:t>
      </w:r>
    </w:p>
    <w:p>
      <w:pPr>
        <w:spacing w:before="0" w:after="0" w:line="264"/>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4" w:after="0" w:line="360"/>
        <w:ind w:right="110" w:left="12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Haja vista a lógica do assédio que se tem estabelecido nos países centrais do capitalismo, como os EUA. O tempo todo podemos ser vítimas potenciais do assédio moral, ou sexual, ou da ameaça do fumo ou da obesidade. Assim incentiva-se uma característica humana de que sempre o Outro e o outro são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ameaças.</w:t>
      </w:r>
    </w:p>
    <w:p>
      <w:pPr>
        <w:spacing w:before="4" w:after="0" w:line="360"/>
        <w:ind w:right="108" w:left="10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talvez esta lógica de que as mulheres são vítimas (embora sejam) e portanto precisam ser protegidas e não podem se defender de piadas ou canções ajuda a impedir que as vítimas se tornem sujeitos ativos na transformação de sua condição. Somado a isso, desconfio que a multiplicação destas demandas de igualdade de direitos e o fato disso ter sido tomado como a principal bandeira da esquerda hoje de certo modo é uma tentativa de remendar o irremediável: a avassaladora lógica da mercantilização da vida. Evidentemente considero de real importância que se haja igualdade entre as pessoas, os gêneros, as escolhas sexuais etc, e também não acho que o feminismo se opõe à luta de classes, mas percebo que o horizonte da igualdade não é o politicamente correto e a repressão, indiscriminada, de conteúdos na mídia.</w:t>
      </w:r>
    </w:p>
    <w:p>
      <w:pPr>
        <w:spacing w:before="4" w:after="0" w:line="360"/>
        <w:ind w:right="106" w:left="10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certo que há uma violência própria do nosso tempo, incentivada pelo fluxo incessante de imagens. E que o Outro midiático convida à existência no ato, mais especificamente na ação violenta (já que isso é notícia de tv), e não na formulação, no pensamento. E que onde não pensamos damos vazão ao desejo. No entanto, ainda não estou convencida de que é na proibição, ou punição, da veiculação de idéias que viveremos em um mundo melhor. E também não quero participar de uma sociedade em que seja tão gritante os números de violência contra a mulher: a cada 15 segundos alguém está sendo espancada. Talvez seja uma contradição insolúvel.</w:t>
      </w:r>
    </w:p>
    <w:p>
      <w:pPr>
        <w:spacing w:before="8" w:after="0" w:line="360"/>
        <w:ind w:right="108" w:left="101" w:firstLine="84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fim vale dizer que, de certo modo, acho saudável e necessário que as mulheres façam o uso que quiserem do próprio corpo, nem que seja para simular tapas em si mesma ao som desta popular música do funk “O Tapinha não dói” e que isso não autoriza ninguém a violentá-las.</w:t>
      </w:r>
    </w:p>
    <w:p>
      <w:pPr>
        <w:spacing w:before="7"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01"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REFERÊNCIAS</w:t>
      </w:r>
    </w:p>
    <w:p>
      <w:pPr>
        <w:spacing w:before="1"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10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BUCCI, Eugênio; KEHL, Maria Rita. </w:t>
      </w:r>
      <w:r>
        <w:rPr>
          <w:rFonts w:ascii="Times New Roman" w:hAnsi="Times New Roman" w:cs="Times New Roman" w:eastAsia="Times New Roman"/>
          <w:b/>
          <w:color w:val="auto"/>
          <w:spacing w:val="0"/>
          <w:position w:val="0"/>
          <w:sz w:val="24"/>
          <w:shd w:fill="auto" w:val="clear"/>
        </w:rPr>
        <w:t xml:space="preserve">Videologias</w:t>
      </w:r>
      <w:r>
        <w:rPr>
          <w:rFonts w:ascii="Times New Roman" w:hAnsi="Times New Roman" w:cs="Times New Roman" w:eastAsia="Times New Roman"/>
          <w:color w:val="auto"/>
          <w:spacing w:val="0"/>
          <w:position w:val="0"/>
          <w:sz w:val="24"/>
          <w:shd w:fill="auto" w:val="clear"/>
        </w:rPr>
        <w:t xml:space="preserve">. São Paulo: Boitempo, 2004.</w:t>
      </w:r>
    </w:p>
    <w:p>
      <w:pPr>
        <w:spacing w:before="4"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74"/>
        <w:ind w:right="374"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CALLIGARIS, Contardo. Disponível em </w:t>
      </w:r>
      <w:hyperlink xmlns:r="http://schemas.openxmlformats.org/officeDocument/2006/relationships" r:id="docRId45">
        <w:r>
          <w:rPr>
            <w:rFonts w:ascii="Times New Roman" w:hAnsi="Times New Roman" w:cs="Times New Roman" w:eastAsia="Times New Roman"/>
            <w:color w:val="0000FF"/>
            <w:spacing w:val="0"/>
            <w:position w:val="0"/>
            <w:sz w:val="24"/>
            <w:u w:val="single"/>
            <w:shd w:fill="auto" w:val="clear"/>
          </w:rPr>
          <w:t xml:space="preserve">http://contardocalligaris.blogspot.com/2000/06/o</w:t>
        </w:r>
      </w:hyperlink>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insustentvel-peso-das-palavras-e-das.html Acesso em fev. de 2009.</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2"/>
        <w:ind w:right="426"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DALY, Glyn; ŽIŽEK, Slavoj. </w:t>
      </w:r>
      <w:r>
        <w:rPr>
          <w:rFonts w:ascii="Times New Roman" w:hAnsi="Times New Roman" w:cs="Times New Roman" w:eastAsia="Times New Roman"/>
          <w:b/>
          <w:color w:val="auto"/>
          <w:spacing w:val="0"/>
          <w:position w:val="0"/>
          <w:sz w:val="24"/>
          <w:shd w:fill="auto" w:val="clear"/>
        </w:rPr>
        <w:t xml:space="preserve">Arriscar o Impossível – Conversas com Zizek</w:t>
      </w:r>
      <w:r>
        <w:rPr>
          <w:rFonts w:ascii="Times New Roman" w:hAnsi="Times New Roman" w:cs="Times New Roman" w:eastAsia="Times New Roman"/>
          <w:color w:val="auto"/>
          <w:spacing w:val="0"/>
          <w:position w:val="0"/>
          <w:sz w:val="24"/>
          <w:shd w:fill="auto" w:val="clear"/>
        </w:rPr>
        <w:t xml:space="preserve">. São Paulo: Martins, 2006.</w:t>
      </w:r>
    </w:p>
    <w:p>
      <w:pPr>
        <w:spacing w:before="0" w:after="0" w:line="242"/>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 w:after="0" w:line="242"/>
        <w:ind w:right="2873"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INTERVOZES. </w:t>
      </w:r>
      <w:r>
        <w:rPr>
          <w:rFonts w:ascii="Times New Roman" w:hAnsi="Times New Roman" w:cs="Times New Roman" w:eastAsia="Times New Roman"/>
          <w:b/>
          <w:color w:val="auto"/>
          <w:spacing w:val="0"/>
          <w:position w:val="0"/>
          <w:sz w:val="24"/>
          <w:shd w:fill="auto" w:val="clear"/>
        </w:rPr>
        <w:t xml:space="preserve">Concessões de Rádio e TV</w:t>
      </w:r>
      <w:r>
        <w:rPr>
          <w:rFonts w:ascii="Times New Roman" w:hAnsi="Times New Roman" w:cs="Times New Roman" w:eastAsia="Times New Roman"/>
          <w:color w:val="auto"/>
          <w:spacing w:val="0"/>
          <w:position w:val="0"/>
          <w:sz w:val="24"/>
          <w:shd w:fill="auto" w:val="clear"/>
        </w:rPr>
        <w:t xml:space="preserve">. Disponível em: </w:t>
      </w:r>
      <w:hyperlink xmlns:r="http://schemas.openxmlformats.org/officeDocument/2006/relationships" r:id="docRId46">
        <w:r>
          <w:rPr>
            <w:rFonts w:ascii="Times New Roman" w:hAnsi="Times New Roman" w:cs="Times New Roman" w:eastAsia="Times New Roman"/>
            <w:color w:val="0000FF"/>
            <w:spacing w:val="0"/>
            <w:position w:val="0"/>
            <w:sz w:val="24"/>
            <w:u w:val="single"/>
            <w:shd w:fill="auto" w:val="clear"/>
          </w:rPr>
          <w:t xml:space="preserve">http://www.intervozes.org.br/destaque-2</w:t>
        </w:r>
      </w:hyperlink>
      <w:r>
        <w:rPr>
          <w:rFonts w:ascii="Times New Roman" w:hAnsi="Times New Roman" w:cs="Times New Roman" w:eastAsia="Times New Roman"/>
          <w:color w:val="auto"/>
          <w:spacing w:val="0"/>
          <w:position w:val="0"/>
          <w:sz w:val="24"/>
          <w:shd w:fill="auto" w:val="clear"/>
        </w:rPr>
        <w:t xml:space="preserve"> Acesso em nov. de 2007</w:t>
      </w: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4"/>
        <w:ind w:right="374"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FREUD, Sigmund. O Futuro de uma ilusão. In: </w:t>
      </w:r>
      <w:r>
        <w:rPr>
          <w:rFonts w:ascii="Times New Roman" w:hAnsi="Times New Roman" w:cs="Times New Roman" w:eastAsia="Times New Roman"/>
          <w:b/>
          <w:color w:val="auto"/>
          <w:spacing w:val="0"/>
          <w:position w:val="0"/>
          <w:sz w:val="24"/>
          <w:shd w:fill="auto" w:val="clear"/>
        </w:rPr>
        <w:t xml:space="preserve">Obras completas de Sigmund Freud: edição standard brasileira</w:t>
      </w:r>
      <w:r>
        <w:rPr>
          <w:rFonts w:ascii="Times New Roman" w:hAnsi="Times New Roman" w:cs="Times New Roman" w:eastAsia="Times New Roman"/>
          <w:color w:val="auto"/>
          <w:spacing w:val="0"/>
          <w:position w:val="0"/>
          <w:sz w:val="24"/>
          <w:shd w:fill="auto" w:val="clear"/>
        </w:rPr>
        <w:t xml:space="preserve">, volume XXI – Rio de Janeiro: Imago, 1996. P.15-63</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2"/>
        <w:ind w:right="686"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FREUD, Sigmund. Mal-estar na Civilização. In: </w:t>
      </w:r>
      <w:r>
        <w:rPr>
          <w:rFonts w:ascii="Times New Roman" w:hAnsi="Times New Roman" w:cs="Times New Roman" w:eastAsia="Times New Roman"/>
          <w:b/>
          <w:color w:val="auto"/>
          <w:spacing w:val="0"/>
          <w:position w:val="0"/>
          <w:sz w:val="24"/>
          <w:shd w:fill="auto" w:val="clear"/>
        </w:rPr>
        <w:t xml:space="preserve">Obras completas de Sigmund Freud: edição standard brasileira</w:t>
      </w:r>
      <w:r>
        <w:rPr>
          <w:rFonts w:ascii="Times New Roman" w:hAnsi="Times New Roman" w:cs="Times New Roman" w:eastAsia="Times New Roman"/>
          <w:color w:val="auto"/>
          <w:spacing w:val="0"/>
          <w:position w:val="0"/>
          <w:sz w:val="24"/>
          <w:shd w:fill="auto" w:val="clear"/>
        </w:rPr>
        <w:t xml:space="preserve">, volume XXI – Rio de Janeiro: Imago, 1996. P. 73-153</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1" w:after="0" w:line="244"/>
        <w:ind w:right="1979" w:left="284" w:hanging="183"/>
        <w:jc w:val="left"/>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24"/>
          <w:shd w:fill="auto" w:val="clear"/>
        </w:rPr>
        <w:t xml:space="preserve">FREUD,</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Sigmund.</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19"/>
          <w:shd w:fill="auto" w:val="clear"/>
        </w:rPr>
        <w:t xml:space="preserve">PSICOLOGIA</w:t>
      </w:r>
      <w:r>
        <w:rPr>
          <w:rFonts w:ascii="Times New Roman" w:hAnsi="Times New Roman" w:cs="Times New Roman" w:eastAsia="Times New Roman"/>
          <w:color w:val="auto"/>
          <w:spacing w:val="-8"/>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DE</w:t>
      </w:r>
      <w:r>
        <w:rPr>
          <w:rFonts w:ascii="Times New Roman" w:hAnsi="Times New Roman" w:cs="Times New Roman" w:eastAsia="Times New Roman"/>
          <w:color w:val="auto"/>
          <w:spacing w:val="-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GRUPO</w:t>
      </w:r>
      <w:r>
        <w:rPr>
          <w:rFonts w:ascii="Times New Roman" w:hAnsi="Times New Roman" w:cs="Times New Roman" w:eastAsia="Times New Roman"/>
          <w:color w:val="auto"/>
          <w:spacing w:val="-8"/>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E</w:t>
      </w:r>
      <w:r>
        <w:rPr>
          <w:rFonts w:ascii="Times New Roman" w:hAnsi="Times New Roman" w:cs="Times New Roman" w:eastAsia="Times New Roman"/>
          <w:color w:val="auto"/>
          <w:spacing w:val="-13"/>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A</w:t>
      </w:r>
      <w:r>
        <w:rPr>
          <w:rFonts w:ascii="Times New Roman" w:hAnsi="Times New Roman" w:cs="Times New Roman" w:eastAsia="Times New Roman"/>
          <w:color w:val="auto"/>
          <w:spacing w:val="-8"/>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ANÁLISE</w:t>
      </w:r>
      <w:r>
        <w:rPr>
          <w:rFonts w:ascii="Times New Roman" w:hAnsi="Times New Roman" w:cs="Times New Roman" w:eastAsia="Times New Roman"/>
          <w:color w:val="auto"/>
          <w:spacing w:val="-9"/>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DO</w:t>
      </w:r>
      <w:r>
        <w:rPr>
          <w:rFonts w:ascii="Times New Roman" w:hAnsi="Times New Roman" w:cs="Times New Roman" w:eastAsia="Times New Roman"/>
          <w:color w:val="auto"/>
          <w:spacing w:val="-1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EGO</w:t>
      </w:r>
      <w:r>
        <w:rPr>
          <w:rFonts w:ascii="Times New Roman" w:hAnsi="Times New Roman" w:cs="Times New Roman" w:eastAsia="Times New Roman"/>
          <w:color w:val="auto"/>
          <w:spacing w:val="-12"/>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(1921) VOLUME</w:t>
      </w:r>
      <w:r>
        <w:rPr>
          <w:rFonts w:ascii="Times New Roman" w:hAnsi="Times New Roman" w:cs="Times New Roman" w:eastAsia="Times New Roman"/>
          <w:color w:val="auto"/>
          <w:spacing w:val="-8"/>
          <w:position w:val="0"/>
          <w:sz w:val="19"/>
          <w:shd w:fill="auto" w:val="clear"/>
        </w:rPr>
        <w:t xml:space="preserve"> </w:t>
      </w:r>
      <w:r>
        <w:rPr>
          <w:rFonts w:ascii="Times New Roman" w:hAnsi="Times New Roman" w:cs="Times New Roman" w:eastAsia="Times New Roman"/>
          <w:color w:val="auto"/>
          <w:spacing w:val="0"/>
          <w:position w:val="0"/>
          <w:sz w:val="19"/>
          <w:shd w:fill="auto" w:val="clear"/>
        </w:rPr>
        <w:t xml:space="preserve">XVIII</w:t>
      </w:r>
    </w:p>
    <w:p>
      <w:pPr>
        <w:spacing w:before="6"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4"/>
        <w:ind w:right="1498"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KEHL, Maria Rita. </w:t>
      </w:r>
      <w:r>
        <w:rPr>
          <w:rFonts w:ascii="Times New Roman" w:hAnsi="Times New Roman" w:cs="Times New Roman" w:eastAsia="Times New Roman"/>
          <w:b/>
          <w:color w:val="auto"/>
          <w:spacing w:val="0"/>
          <w:position w:val="0"/>
          <w:sz w:val="24"/>
          <w:shd w:fill="auto" w:val="clear"/>
        </w:rPr>
        <w:t xml:space="preserve">A escola do machismo é em casa</w:t>
      </w:r>
      <w:r>
        <w:rPr>
          <w:rFonts w:ascii="Times New Roman" w:hAnsi="Times New Roman" w:cs="Times New Roman" w:eastAsia="Times New Roman"/>
          <w:color w:val="auto"/>
          <w:spacing w:val="0"/>
          <w:position w:val="0"/>
          <w:sz w:val="24"/>
          <w:shd w:fill="auto" w:val="clear"/>
        </w:rPr>
        <w:t xml:space="preserve">. Disponível em </w:t>
      </w:r>
      <w:hyperlink xmlns:r="http://schemas.openxmlformats.org/officeDocument/2006/relationships" r:id="docRId47">
        <w:r>
          <w:rPr>
            <w:rFonts w:ascii="Times New Roman" w:hAnsi="Times New Roman" w:cs="Times New Roman" w:eastAsia="Times New Roman"/>
            <w:color w:val="0000FF"/>
            <w:spacing w:val="0"/>
            <w:position w:val="0"/>
            <w:sz w:val="24"/>
            <w:u w:val="single"/>
            <w:shd w:fill="auto" w:val="clear"/>
          </w:rPr>
          <w:t xml:space="preserve">http://www.mariaritakehl.psc.br/resultado.php?id=43</w:t>
        </w:r>
      </w:hyperlink>
      <w:r>
        <w:rPr>
          <w:rFonts w:ascii="Times New Roman" w:hAnsi="Times New Roman" w:cs="Times New Roman" w:eastAsia="Times New Roman"/>
          <w:color w:val="auto"/>
          <w:spacing w:val="0"/>
          <w:position w:val="0"/>
          <w:sz w:val="24"/>
          <w:shd w:fill="auto" w:val="clear"/>
        </w:rPr>
        <w:t xml:space="preserve"> Acesso em: 08 mai. 2009.</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363"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SADER, Emir. </w:t>
      </w:r>
      <w:r>
        <w:rPr>
          <w:rFonts w:ascii="Times New Roman" w:hAnsi="Times New Roman" w:cs="Times New Roman" w:eastAsia="Times New Roman"/>
          <w:b/>
          <w:color w:val="auto"/>
          <w:spacing w:val="0"/>
          <w:position w:val="0"/>
          <w:sz w:val="24"/>
          <w:shd w:fill="auto" w:val="clear"/>
        </w:rPr>
        <w:t xml:space="preserve">Autonomia ou hegemonia?</w:t>
      </w:r>
      <w:r>
        <w:rPr>
          <w:rFonts w:ascii="Times New Roman" w:hAnsi="Times New Roman" w:cs="Times New Roman" w:eastAsia="Times New Roman"/>
          <w:color w:val="auto"/>
          <w:spacing w:val="0"/>
          <w:position w:val="0"/>
          <w:sz w:val="24"/>
          <w:shd w:fill="auto" w:val="clear"/>
        </w:rPr>
        <w:t xml:space="preserve">. Disponível em: </w:t>
      </w:r>
      <w:hyperlink xmlns:r="http://schemas.openxmlformats.org/officeDocument/2006/relationships" r:id="docRId48">
        <w:r>
          <w:rPr>
            <w:rFonts w:ascii="Times New Roman" w:hAnsi="Times New Roman" w:cs="Times New Roman" w:eastAsia="Times New Roman"/>
            <w:color w:val="0000FF"/>
            <w:spacing w:val="0"/>
            <w:position w:val="0"/>
            <w:sz w:val="24"/>
            <w:u w:val="single"/>
            <w:shd w:fill="auto" w:val="clear"/>
          </w:rPr>
          <w:t xml:space="preserve">http://www.cartamaior.com.br/templates/postMostrar.cfm?blog_id=1</w:t>
        </w:r>
        <w:r>
          <w:rPr>
            <w:rFonts w:ascii="Times New Roman" w:hAnsi="Times New Roman" w:cs="Times New Roman" w:eastAsia="Times New Roman"/>
            <w:vanish/>
            <w:color w:val="0000FF"/>
            <w:spacing w:val="0"/>
            <w:position w:val="0"/>
            <w:sz w:val="24"/>
            <w:u w:val="single"/>
            <w:shd w:fill="auto" w:val="clear"/>
          </w:rPr>
          <w:t xml:space="preserve">HYPERLINK "http://www.cartamaior.com.br/templates/postMostrar.cfm?blog_id=1&amp;amp;post_id=192"</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"http://www.cartamaior.com.br/templates/postMostrar.cfm?blog_id=1&amp;amp;post_id=192"</w:t>
        </w:r>
        <w:r>
          <w:rPr>
            <w:rFonts w:ascii="Times New Roman" w:hAnsi="Times New Roman" w:cs="Times New Roman" w:eastAsia="Times New Roman"/>
            <w:color w:val="0000FF"/>
            <w:spacing w:val="0"/>
            <w:position w:val="0"/>
            <w:sz w:val="24"/>
            <w:u w:val="single"/>
            <w:shd w:fill="auto" w:val="clear"/>
          </w:rPr>
          <w:t xml:space="preserve">post_id=192</w:t>
        </w:r>
      </w:hyperlink>
      <w:r>
        <w:rPr>
          <w:rFonts w:ascii="Times New Roman" w:hAnsi="Times New Roman" w:cs="Times New Roman" w:eastAsia="Times New Roman"/>
          <w:color w:val="auto"/>
          <w:spacing w:val="0"/>
          <w:position w:val="0"/>
          <w:sz w:val="24"/>
          <w:shd w:fill="auto" w:val="clear"/>
        </w:rPr>
        <w:t xml:space="preserve"> Acesso em 07 jul. 2008.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2"/>
        <w:ind w:right="1979"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SALECL, Renata. </w:t>
      </w:r>
      <w:r>
        <w:rPr>
          <w:rFonts w:ascii="Times New Roman" w:hAnsi="Times New Roman" w:cs="Times New Roman" w:eastAsia="Times New Roman"/>
          <w:b/>
          <w:color w:val="auto"/>
          <w:spacing w:val="0"/>
          <w:position w:val="0"/>
          <w:sz w:val="24"/>
          <w:shd w:fill="auto" w:val="clear"/>
        </w:rPr>
        <w:t xml:space="preserve">Sobre a felicidade - Ansiedade e Consumo na Era do Hipercapitalismo</w:t>
      </w:r>
      <w:r>
        <w:rPr>
          <w:rFonts w:ascii="Times New Roman" w:hAnsi="Times New Roman" w:cs="Times New Roman" w:eastAsia="Times New Roman"/>
          <w:color w:val="auto"/>
          <w:spacing w:val="0"/>
          <w:position w:val="0"/>
          <w:sz w:val="24"/>
          <w:shd w:fill="auto" w:val="clear"/>
        </w:rPr>
        <w:t xml:space="preserve">. São Paulo: Alameda, 2005</w:t>
      </w: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4"/>
        <w:ind w:right="279"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TELES, Maria Amélia de Almeida. </w:t>
      </w:r>
      <w:r>
        <w:rPr>
          <w:rFonts w:ascii="Times New Roman" w:hAnsi="Times New Roman" w:cs="Times New Roman" w:eastAsia="Times New Roman"/>
          <w:b/>
          <w:color w:val="auto"/>
          <w:spacing w:val="0"/>
          <w:position w:val="0"/>
          <w:sz w:val="24"/>
          <w:shd w:fill="auto" w:val="clear"/>
        </w:rPr>
        <w:t xml:space="preserve">O que são direitos humanos das mulheres</w:t>
      </w:r>
      <w:r>
        <w:rPr>
          <w:rFonts w:ascii="Times New Roman" w:hAnsi="Times New Roman" w:cs="Times New Roman" w:eastAsia="Times New Roman"/>
          <w:color w:val="auto"/>
          <w:spacing w:val="0"/>
          <w:position w:val="0"/>
          <w:sz w:val="24"/>
          <w:shd w:fill="auto" w:val="clear"/>
        </w:rPr>
        <w:t xml:space="preserve">. São Paulo: Brasiliense, 2006</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2"/>
        <w:ind w:right="733"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TOLEDO, Cecília. </w:t>
      </w:r>
      <w:r>
        <w:rPr>
          <w:rFonts w:ascii="Times New Roman" w:hAnsi="Times New Roman" w:cs="Times New Roman" w:eastAsia="Times New Roman"/>
          <w:b/>
          <w:color w:val="auto"/>
          <w:spacing w:val="0"/>
          <w:position w:val="0"/>
          <w:sz w:val="24"/>
          <w:shd w:fill="auto" w:val="clear"/>
        </w:rPr>
        <w:t xml:space="preserve">Mulheres: o gênero nos une, a classe nos divide</w:t>
      </w:r>
      <w:r>
        <w:rPr>
          <w:rFonts w:ascii="Times New Roman" w:hAnsi="Times New Roman" w:cs="Times New Roman" w:eastAsia="Times New Roman"/>
          <w:color w:val="auto"/>
          <w:spacing w:val="0"/>
          <w:position w:val="0"/>
          <w:sz w:val="24"/>
          <w:shd w:fill="auto" w:val="clear"/>
        </w:rPr>
        <w:t xml:space="preserve">. 2. ed. São Paulo: Sundermann, 2008.</w:t>
      </w:r>
    </w:p>
    <w:p>
      <w:pPr>
        <w:spacing w:before="56" w:after="0" w:line="552"/>
        <w:ind w:right="2747"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ŽIŽEK, Slavoj. Resistir é capitular. Revista Piauí, janeiro de 2008. Tornado muito nervoso 2. </w:t>
      </w:r>
      <w:r>
        <w:rPr>
          <w:rFonts w:ascii="Times New Roman" w:hAnsi="Times New Roman" w:cs="Times New Roman" w:eastAsia="Times New Roman"/>
          <w:b/>
          <w:color w:val="auto"/>
          <w:spacing w:val="0"/>
          <w:position w:val="0"/>
          <w:sz w:val="24"/>
          <w:shd w:fill="auto" w:val="clear"/>
        </w:rPr>
        <w:t xml:space="preserve">Revista Época</w:t>
      </w:r>
      <w:r>
        <w:rPr>
          <w:rFonts w:ascii="Times New Roman" w:hAnsi="Times New Roman" w:cs="Times New Roman" w:eastAsia="Times New Roman"/>
          <w:color w:val="auto"/>
          <w:spacing w:val="0"/>
          <w:position w:val="0"/>
          <w:sz w:val="24"/>
          <w:shd w:fill="auto" w:val="clear"/>
        </w:rPr>
        <w:t xml:space="preserve">. Disponível em:</w:t>
      </w:r>
    </w:p>
    <w:p>
      <w:pPr>
        <w:spacing w:before="0" w:after="0" w:line="240"/>
        <w:ind w:right="374" w:left="101"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49">
        <w:r>
          <w:rPr>
            <w:rFonts w:ascii="Times New Roman" w:hAnsi="Times New Roman" w:cs="Times New Roman" w:eastAsia="Times New Roman"/>
            <w:color w:val="0000FF"/>
            <w:spacing w:val="0"/>
            <w:position w:val="0"/>
            <w:sz w:val="24"/>
            <w:u w:val="single"/>
            <w:shd w:fill="auto" w:val="clear"/>
          </w:rPr>
          <w:t xml:space="preserve">http://epoca.globo.com/edic/20010226/soci6a.htm</w:t>
        </w:r>
      </w:hyperlink>
      <w:r>
        <w:rPr>
          <w:rFonts w:ascii="Times New Roman" w:hAnsi="Times New Roman" w:cs="Times New Roman" w:eastAsia="Times New Roman"/>
          <w:color w:val="auto"/>
          <w:spacing w:val="0"/>
          <w:position w:val="0"/>
          <w:sz w:val="24"/>
          <w:shd w:fill="auto" w:val="clear"/>
        </w:rPr>
        <w:t xml:space="preserve"> Acesso em 08 mai. 2009. Edição 145</w:t>
      </w:r>
    </w:p>
    <w:p>
      <w:pPr>
        <w:spacing w:before="2" w:after="0" w:line="240"/>
        <w:ind w:right="374"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26/02/2001</w:t>
      </w: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VIOLÊNCIA SIMBÓLICA NAS RELAÇÕES DE GÊNERO: CAMINHOS PARA PROMOVER UMA EDUCAÇÃO EMANCIPATÓRIA</w:t>
      </w: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Vanessa Campos de Lara Jakimiu</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FAFIUV-PR</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Certa vez chamei minha filha, quando ela tinha 14 ou 15 anos e disse: </w:t>
      </w:r>
      <w:r>
        <w:rPr>
          <w:rFonts w:ascii="Times New Roman" w:hAnsi="Times New Roman" w:cs="Times New Roman" w:eastAsia="Times New Roman"/>
          <w:i/>
          <w:color w:val="auto"/>
          <w:spacing w:val="0"/>
          <w:position w:val="0"/>
          <w:sz w:val="20"/>
          <w:shd w:fill="auto" w:val="clear"/>
        </w:rPr>
        <w:t xml:space="preserve">“Marina, você não gostaria de aprender a cozinhar? Eu vou te ensinar, nós podemos passar os sábados na cozinha, que tal?”. </w:t>
      </w:r>
      <w:r>
        <w:rPr>
          <w:rFonts w:ascii="Times New Roman" w:hAnsi="Times New Roman" w:cs="Times New Roman" w:eastAsia="Times New Roman"/>
          <w:color w:val="auto"/>
          <w:spacing w:val="0"/>
          <w:position w:val="0"/>
          <w:sz w:val="20"/>
          <w:shd w:fill="auto" w:val="clear"/>
        </w:rPr>
        <w:t xml:space="preserve">Ela respondeu: </w:t>
      </w:r>
      <w:r>
        <w:rPr>
          <w:rFonts w:ascii="Times New Roman" w:hAnsi="Times New Roman" w:cs="Times New Roman" w:eastAsia="Times New Roman"/>
          <w:i/>
          <w:color w:val="auto"/>
          <w:spacing w:val="0"/>
          <w:position w:val="0"/>
          <w:sz w:val="20"/>
          <w:shd w:fill="auto" w:val="clear"/>
        </w:rPr>
        <w:t xml:space="preserve">“Você vai ensinar também para o Daniel e para o André?” </w:t>
      </w:r>
      <w:r>
        <w:rPr>
          <w:rFonts w:ascii="Times New Roman" w:hAnsi="Times New Roman" w:cs="Times New Roman" w:eastAsia="Times New Roman"/>
          <w:color w:val="auto"/>
          <w:spacing w:val="0"/>
          <w:position w:val="0"/>
          <w:sz w:val="20"/>
          <w:shd w:fill="auto" w:val="clear"/>
        </w:rPr>
        <w:t xml:space="preserve">Eu levei um susto e falei: </w:t>
      </w:r>
      <w:r>
        <w:rPr>
          <w:rFonts w:ascii="Times New Roman" w:hAnsi="Times New Roman" w:cs="Times New Roman" w:eastAsia="Times New Roman"/>
          <w:i/>
          <w:color w:val="auto"/>
          <w:spacing w:val="0"/>
          <w:position w:val="0"/>
          <w:sz w:val="20"/>
          <w:shd w:fill="auto" w:val="clear"/>
        </w:rPr>
        <w:t xml:space="preserve">“Não, é claro”. </w:t>
      </w:r>
      <w:r>
        <w:rPr>
          <w:rFonts w:ascii="Times New Roman" w:hAnsi="Times New Roman" w:cs="Times New Roman" w:eastAsia="Times New Roman"/>
          <w:color w:val="auto"/>
          <w:spacing w:val="0"/>
          <w:position w:val="0"/>
          <w:sz w:val="20"/>
          <w:shd w:fill="auto" w:val="clear"/>
        </w:rPr>
        <w:t xml:space="preserve">Ela então</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encerrou com seu melhor sorriso: </w:t>
      </w:r>
      <w:r>
        <w:rPr>
          <w:rFonts w:ascii="Times New Roman" w:hAnsi="Times New Roman" w:cs="Times New Roman" w:eastAsia="Times New Roman"/>
          <w:i/>
          <w:color w:val="auto"/>
          <w:spacing w:val="0"/>
          <w:position w:val="0"/>
          <w:sz w:val="20"/>
          <w:shd w:fill="auto" w:val="clear"/>
        </w:rPr>
        <w:t xml:space="preserve">“Ah, então eu também não quero. Ou você ensina aos três, ou a ninguém. Eu não gosto de cozinhar, o dia que precisar eu aprendo.”</w:t>
      </w:r>
      <w:r>
        <w:rPr>
          <w:rFonts w:ascii="Times New Roman" w:hAnsi="Times New Roman" w:cs="Times New Roman" w:eastAsia="Times New Roman"/>
          <w:color w:val="auto"/>
          <w:spacing w:val="0"/>
          <w:position w:val="0"/>
          <w:sz w:val="20"/>
          <w:shd w:fill="auto" w:val="clear"/>
        </w:rPr>
        <w:t xml:space="preserve">(BENEVIDES, 2004, p.97)</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proposição deste estudo surgiu a partir da observação das constantes discriminações e violências simbólicas no espaço da escola referentes às questões de gênero. O estudo aqui apresentado, foi desenvolvido no âmbito do Projeto “Ação Educativa contra a Exploração e o Abuso Sexual de Crianças e Adolescentes em União da Vitória – PR”, o qual tangenciou no campo do gênero.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reflexões deste estudo, entendem que as questões de gênero, como qualquer conhecimento de cuho espistemológico, organizado e fundamentado culturalmente, é uma prática social, nela estão inseridos valores e significados atribuídos aos indivíduos e à sociedade que a constroem e que dela se ocupam, afirmando a necessidade de sua exploração no contexto educativo.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o estudo das questões de gênero, - como uma categoria analítica – possibilita compreender as formas de desigualdade e exclusão social e educacional, que não apenas repercutem na escola, mas nela são re/produzidas. Acredita-se que, esta compreensão, auxilia-nos a refletir sobre os significados de masculino e feminino presentes em nossa sociedade, como se desenvolvem as relações entre homens e mulheres, e como se desenvolvem  as questões de poder estabelecidas nestas relações.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Partindo desta perspectiva, o presente estudo tem como objetivo geral apresentar um quadro teórico que sustente uma perspectiva de mudança na prática educativa dos educadores no sentido de promover um educação de gênero numa abordagem emancipatória. E adota como objetivos específicos: a) Proceder análises sobre os significados de corpo e gênero e como estes refletem na organização social e cultural;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 Desvelar o caráter formador da educação, tanto no sentido de produzir quanto de reproduzir concepções e práticas sociais; e, c) Propor encaminhamentos teóricos-metodológicos acerca de uma prática pedagógica, numa perspectiva emancipatória, capaz de suscitar uma educação formal que promova a igualdade entre homens e mulheres.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delineamento metodológico consiste em um estudo teorico-bibliográfico, de cunho qualitativo, fenomenológico e exploratório. A área de abrangência deste estudo para averiguação dos pressupostos teóricos, encontra-se inserido no âmbito das Ciências Factuais, que utiliza valores e significados e também nas Ciências Sociais, onde a centralidade temática está no âmbito da Educação, mais especificamente nas questões que envolvam o eixo temático das questões de gênero.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Partindo da idéia de que as questões de gênero são social e historicamente construídas e, portanto, podem ser transformadas e modificadas, cabe aos profissionais da educação promover  uma educação emancipatória capaz de formar cidadãos críticos, possibilitando-lhes identificar os estereótipos sexuais e questionar os fundamentos e representações engendrados nestas relações de poder.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Enfim, acredita-se que, há a necessidade de trilhar um caminho, no sentido de  buscar compreender o porquê dos posicionamentos históricos, culturais, sociais, políticos e educacionais dos indivíduos atuantes em determinado contexto histórico que reflete nos dias atuais.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Inicialmente, o presente estudo,  aborda a  questão do gênero onde o corpo é entendido como agente cultural, cujas formas e significados mutantes refletem o conflito e a mudança histórica na qual a política de gênero é inscrita. Em seguida, ao tratar das questões de gênero no ambiente escolar, busca-se refletir sobre as abordagens tradicionais sobre o conhecimento, revendo o papel do corpo na compreensão intelectual e na reprodução e transformação da cultura.  Por fim, também faz parte do aporte de idéias a ser apresentado, análises sobre as práticas educativas, evidenciando o papel do professor enquanto agente transformador, no sentido de possibilitar aos seus alunos uma educação numa perspectiva emancipatória.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shd w:fill="auto" w:val="clear"/>
        </w:rPr>
        <w:t xml:space="preserve">1 CORPO E GÊNERO: AGENTES DA CULTURA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Vianna (1997) explica que na linguagem corriqueira, própria de nossa vida cotidiana, sexo e gênero são muitas vezes utilizadas como sinônimos, com palavras que se referem às diferenças constitutivas de homens e mulheres, de machos e fêmeas. Contudo, a construção do gênero, como categoria de análise da realidade, supõe, na sociedade ocidental contemporânea, o seu distanciamento do termo sexo.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Este passa, então, a associar-se a interpretações biológicas, enquanto gênero procura resgatar o caráter histórico e cultural dos diferentes significados masculinos e femininos presentes nessa sociedade.</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termo gênero apareceu primeiramente entre as feministas americanas, para salientar a construção social e normativa das diferenças entre homens e mulheres. Segundo Soihet (1997), a palavra indicava uma rejeição ao determinismo biológico implícito no uso de termos como sexo ou diferença sexual. Assim, gênero sublinha o aspecto relacional entre as mulheres e os homens, ou seja, nenhuma compreensão de qualquer um dos dois pode existir por meio de um estudo que os considere em separado. Tratando de relações, diferenças, normas, denotam que tanto as mulheres como os homens, só podem se entender e serem entendidos, em função uns dos outros. O caráter relacional diz respeito às relações de dominação e opressão que transformam as diferenças biológicas entre os sexos em desigualdades, escolhas, trajetórias, vivências, lugares, interesses. (LAVINAS, 1992)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ressaltam Santos e Bruns (2000) o processo de constituição de gênero não é, de forma alguma, natural: o indivíduo só vai se tornando homem ou mulher, valendo-se de suas relações interpessoais, o que é um processo histórico-social.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(1995) conceitua gênero por meio de duas proposições que se conectam uma à outra, na primeira o gênero é elemento constitutivo de relações sociais fundamentadas nas diferenças percebidas entre os sexos e na segunda o gênero dá significado às relações de poder, é um campo primário no interior do qual, ou por meio do qual, o poder é articulado.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Partindo desta perspectiva, gênero aqui está sendo usado como “um elemento constitutivo de relações sociais fundadas sobre as diferenças percebidas entre os sexos [e como] um primeiro modo de dar significado às relações de poder”. (SCOTT apud VIANNA, 1997, p.123)</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Bordo (1997) explica que o corpo – o que comemos, como nos vestimos, os rituais diários através dos quais cuidamos dele – é um agente da cultura. Ele é uma poderosa forma simbólica, uma superfície na qual as normas centrais, as hierarquias e até os comprometimentos metafísicos de uma cultura são inscritos e assim reforçados através da linguagem corporal concreta.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Soares (2008) analisa que as transformações que a cultura opera de forma global e na vida cotidiana relacionam-se à construção de nossas identidades sociais e, entre elas, identidades sexuais, de gênero e de geração. A centralidade da cultura na produção de nossas identidades e subjetividades envolve pensar como somos construídos num mundo de significações, por quais representações nos sentimos interpelados.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daí, as questões que se colocam são: quem tem o poder de representar, quem são os representados, como são representados, que grupos não são representados? A identidade se constitui através das representações, não tem um núcleo que exista independente dos discursos circundantes. O que sentimos, com relação à nossa identidade, refere-se às diferentes identificações que vivemos num tempo histórico, o que nos coloca em determinadas posições de sujeito. Identificados com o mundo das novas tecnologias e o predomínio da imagem, os/as jovens interpelados/as por elas constroem e organizam seus modos de ser e seus valores e expressam a diversidade cultural de nosso tempo.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corpo não é apenas uma texto da cultura. É também, como sustentam o antropólogo Pierre Bordieu e o filósofo Michel Focault, entre outros, um lugar prático direto de controle social. De forma banal, através das maneiras à mesa e dos hábitos de higiene, de rotinas, normas e práticas aparentemente triviais, convertidas em atividades automáticas e habituais, a cultura “se faz corpo”. (BORDO, 1997)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corpo inteligível abrange nossas representações científicas, filosóficas e estéticas sobre o corpo – nossa concepção cultural do corpo, que inclui normas de beleza, modelos de saúde e assim por diante. Mas as mesmas representações podem também ser vistas como um conjunto de regras e regulamentos práticos, através dos quais o corpo vivo é “treinado, moldado, obedece e responde”, tornando-se, em resumo, um corpo “útil”, socialmente adaptado. (FOCAULT apud BORDO, 1997, p.33)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ahoma" w:hAnsi="Tahoma" w:cs="Tahoma" w:eastAsia="Tahoma"/>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Paim e Strey (2007) ressaltam que</w:t>
      </w:r>
      <w:r>
        <w:rPr>
          <w:rFonts w:ascii="Tahoma" w:hAnsi="Tahoma" w:cs="Tahoma" w:eastAsia="Tahoma"/>
          <w:color w:val="auto"/>
          <w:spacing w:val="0"/>
          <w:position w:val="0"/>
          <w:sz w:val="20"/>
          <w:shd w:fill="auto" w:val="clear"/>
        </w:rPr>
        <w:t xml:space="preserve"> p</w:t>
      </w:r>
      <w:r>
        <w:rPr>
          <w:rFonts w:ascii="Times New Roman" w:hAnsi="Times New Roman" w:cs="Times New Roman" w:eastAsia="Times New Roman"/>
          <w:color w:val="auto"/>
          <w:spacing w:val="0"/>
          <w:position w:val="0"/>
          <w:sz w:val="24"/>
          <w:shd w:fill="auto" w:val="clear"/>
        </w:rPr>
        <w:t xml:space="preserve">ara o entendimento da violência de gênero, é fundamental entendermos que sua gênese e manutenção na sociedade estão relacionadas ao conceito de patriarcado. As relações assimétricas entre os gêneros vêm mostrando que as sociedades patriarcais engendram e sustentam relações e modos de produção nos quais os homens como categoria social levam vantagens sobre as mulheres, nas mesmas condições.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Nunes (2002) ressalta que há ainda o machismo encalacrado nas instituições familiares, nos valores, nas concepções de poder, na divisão dos comportamentos, nas cores e na distribuição dos brinquedos às crianças. É o patriarcalismo extratificado em todos os segmentos de nossa cultura.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trabalho de reprodução esteve garantido, até época recente, por três instâncias principais, a Família, a Igreja e a Escola, que, objetivamente orquestradas, tinham em comum o fato de agirem sobre as estruturas inconscientes. É, sem dúvida, à família que cabe o papel principal na reprodução da dominação e da visão masculinas; é na família que se impõe a experiência precoce da divisão sexual do trabalho e da representação legítima dessa divisão, garantida pelo direito e inscrita na linguagem. Quanto à Igreja, marcada pelo antifeminismo profundo [...] ela inculca explicitamente uma moral familiarista, completamente dominada pelos valores patriarcais e principalmente pelo dogma da inata inferioridade das mulheres [...] Por fim, a Escola, mesmo quando já liberta da tutela da Igreja, continua a transmitir os pressupostos da representação patriarcal  [...] e sobretudo, talvez, os que estão inscritos em suas próprias estruturas hierárquicas, todas sexualmente conotadas, entre as diferentes [...] faculdades, entre as disciplinas [...] entre as especialidades, isto é, entre as maneiras de ser e as maneiras de ver, de se ver, de se representarem as próprias aptidões e inclinações. (BOURDIEU, 1977, p. 103-104)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estrutura familiar patriarcal reforça o machismo desde a infância. Educa o menino para exibir seu sexo, gostar dele, ostentá-lo orgulhosamente, como vemos nas rodas familiares, num nítido narcisismo fálico. Já com relação à menina dá-se o contrário; obriga-se a esconder seu sexo, mantê-lo misterioso, a não ter uma relação afetiva com sua identidade sexual. Para um, o modelo estimula e incentiva toda expressão sexual; para o outro, o domínio, a reclusão e a repressão. (NUNES, 2002)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Criam-se, assim, vários estereótipos sobre homens e mulheres e, como decorrência, sobre as atividades masculinas e femininas: agressivos, militaristas e racionais para os primeiros; dóceis, relacionais e afetivas para as segundas. (FLAX apud VIANNA, 1997)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ação de formação […] que opera esta construção social do corpo [...] é, em sua maior parte, o efeito automático, e sem agente, de uma ordem física e social inteiramente organizada segundo o princípio de divisão androcêntrico. Inscrita nas coisas, a ordem masculina se inscreve também nos corpos através de injunções tácitas, implícitas nas rotinas da divisão do trabalho ou dos rituais coletivos ou privados. As regularidades da ordem física e da ordem social impõem e inculcam as medidas que excluem as mulheres das tarefas mais nobres […], assinalando-lhes lugares inferiores […], ensinando-lhes a postura correta do corpo […], atribuindo-lhes tarefas penosas, baixas e mesquinhas. (BOURDIEU, 1999, p. 34)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não colocarmos em questão esses estereótipos já prontos e definidos nunca faremos uma real reeducação. Creio mesmo que a corrente do sistema convencional tem um apelo irresistível a continuarmos repetindo as mesmas estruturas machistas e repressoras. Acabamos repetindo a matriz que se dá no nível da macroestrutura social em que prevalecem o poder, a dominação, a violência e expropriação. (NUNES, 2002)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Saffioti (2004), explica que na Roma,  o patriarca detinha poder de vida e morte sobre sua esposa e seus filhos. Segundo a autora, hoje tal poder, não mais existe, no plano de </w:t>
      </w:r>
      <w:r>
        <w:rPr>
          <w:rFonts w:ascii="Times New Roman" w:hAnsi="Times New Roman" w:cs="Times New Roman" w:eastAsia="Times New Roman"/>
          <w:i/>
          <w:color w:val="auto"/>
          <w:spacing w:val="0"/>
          <w:position w:val="0"/>
          <w:sz w:val="24"/>
          <w:shd w:fill="auto" w:val="clear"/>
        </w:rPr>
        <w:t xml:space="preserve">jure</w:t>
      </w:r>
      <w:r>
        <w:rPr>
          <w:rFonts w:ascii="Times New Roman" w:hAnsi="Times New Roman" w:cs="Times New Roman" w:eastAsia="Times New Roman"/>
          <w:color w:val="auto"/>
          <w:spacing w:val="0"/>
          <w:position w:val="0"/>
          <w:sz w:val="24"/>
          <w:shd w:fill="auto" w:val="clear"/>
        </w:rPr>
        <w:t xml:space="preserve">, entretanto, homens continuam maltratando suas parceiras e filhos.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Dimen (1997) ressalta que o patriarcado é, em seu conjunto, um sistema de dominação. Mas difere de outros sistemas de dominação, como o racismo, a estrutura de classes ou o colonialismo, porque vai direto na jugular das relações sociais e da integração psicológica – o desejo. O patriarca ataca o desejo, o anseio inconsciente que anima toda ação humana, reduzindo-o ao sexo e depois definindo sexo nos termos politizados do gênero. Paradoxalmente, entretanto, a sexualidade, estruturada dessa maneira, torna-se reciprocamente escultora do desejo, com o gênero organizando simultaneamente parte do desejo dentro do ser. Não apenas a sexualidade, mas todas as manifestações do desejo, são influenciadas pelo gênero e, dessa forma, as raízes do desejo, ele mesmo fonte da experiência pessoal, são escalonadas em hierarquias.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Giffin (1994) apontando para os direitos legais dos maridos sobre suas esposas, inclusive o direito ao controle pela violência física, explica que a família é denunciada como aparelho de guerra, protegida pelo silêncio sobre o que ocorre "entre quatro paredes": "longe de ser uma proteção para as mulheres, a família nuclear tradicional tem sido um lugar onde a prevalência de abuso de crianças, violência doméstica, e estupro é sistematicamente ocultada e negada." (SEGAL apud GIFFIN, 1994)</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Heise citado por Giffin (1994) conclui que a violência é um fenômeno extremamente complexo, com raízes profundas nas relações de poder baseadas no gênero, na sexualidade, na auto-identidade e nas instituições sociais e que em muitas sociedades, o direito (masculino) a dominar a mulher é considerado a essência da masculinidade.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dominação historicamente se mantem a partir de estratégias em diferentes épocas e, por ser sutil, é incorporada pelos sujeitos sem que a percebam. Comumente, essa faceta da violência não só é aceitável como  também pode ser vista como natural. Assim, as relações de dominação são incorporadas pelo dominados sem que sejam questionadas. (CARVALHO, 2010)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Neste sentido, a crescente consciência quanto às enormes diferenças atribuídas à sexualidade de homens e mulheres, conforme aponta Giffin (1994) nos ajuda a desvendar as relações íntimas entre a tradição de pensamento dualista mais geral na sociedade ocidental e as ideologias de gênero, onde idéias sobre masculino/feminino são refletidas/imbutidas também nos conceitos de cultura/natureza, razão/emoção, sujeito/objeto, mente/corpo, etc.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GÊNERO NO AMBIENTE ESCOLAR</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as análises de Rosemberg (2001) a produção de conhecimento sobre o atual desenvolvimento de políticas públicas de educação pela perspectiva da redução da desigualdade de gênero no sistema público de ensino brasileiro é ainda escassa e segue a tendência geral das pesquisas de gênero na educação, caracterizadas pela precária divulgação.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processo de mudança ainda está começando; o grande perigo é que as pessoas apenas tomem consciência do problema, mas efetivamente não façam nada para que haja mudança, não trazendo nenhum impacto na ação das escolas e na vida diária dos indivíduos. (REIS; GOMES, 2009)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trajetória do feminismo foi, e ainda é, permeada por confrontos e resistências com aqueles e aquelas que ainda se utilizam de justificativas biológicas ou teológicas para marcar as diferenças e desigualdades entre homens e mulheres; e com aqueles que se utilizam de perspectivas marxistas para defender a centralidade da classe social para a compreensão das diferenças e desigualdades sociais. (MEYER, 2003)</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preciso tentar explicitar novas formas de relação entre os sexos dentro de novas formas de relações sociais. E este é o momento de educarmos a pessoa como sujeito de si, capaz de reconhecer-se como tal diante da responsabilidade de sua existência e dos conflitos sociais de cuja realidade participa sem opção. (NUNES, 2002)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Enquanto professora do Ensino Fundamental (anos iniciais) da Rede Pública Municipal foi possível constatar que as relações de gênero, embora nem sempre contempladas nos currículos das escolas e nos cursos de formação de professores como objeto de discussão e análise, estão presentes implicita ou explicitamente no dia-a-dia das escolas, na relação professor e aluno, nas relações aluno e aluno e principalmente na prática educativa do professor.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efeitos da construção minuciosa, contínua e quase imperceptível das identidades de gênero e das identidades sexuais podem ser sentidos nas falas das crianças, dos/as professores/as, das famílias, etc., nas atividades propostas, no incentivo ou proibição de determinados comportamentos, nos silêncios, nas formas de olhar e sentir, nas sanções. (FELIPE, 2008)</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educadores podem aprender algo sobre educação ao estudar a “cultura popular”, ou seja, a emergência e a popularidade de certas produções culturais podem ajudar-nos a compreender o meio no qual elas circulam. Em se tratando de cultura juvenil, isso ganha especial relevo, na medida em que a identidade juvenil tem uma estreita conexão com a cultura da mídia. O argumento é que além da escolarização e da família, a construção social e discursiva dos sujeitos também se constitui na cultura musical, nas revistas, filmes, programas de TV e outros espaços pedagógicos. (DONALD apud ELLSWORTH, 2001, p. 71)</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Louro (2008) esclarece que a construção dos gêneros e das sexualidades dá-se através de inúmeras aprendizagens e práticas, insinua-se nas mais distintas situações, é empreendida de modo explícito ou dissimulado por um conjunto inesgotável de instâncias sociais e culturais. É um processo minucioso, sutil, sempre inacabado. Família, escola, igreja, instituições legais e médicas mantêm-se, por certo, como instâncias importantes nesse processo constitutivo.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Destaca-se aqui, o papel da escola, mais precisamente do professor, uma vez que neste,  figura a responsabilidade fundamental do discurso e sua capacidade de produzir, reproduzir e sustentar as formas de dominação ou de enfatizar os desafios e as possibilidades de resistência do discurso marginalizado em relação as questões de gênero.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escola os discursos ganham relevância, a linguagem denuncia uma cumplicidade passiva de códigos femininos e masculinos exercendo um tipo comum de violência. Pautada por hierarquias nas relações, pelo uso simbólico de poder, e exercida com consentimento, a violência simbólica, não recorre à força física, mas silencia o desrespeito ao outro. (REIS; GOMES, 2009)</w:t>
      </w:r>
    </w:p>
    <w:p>
      <w:pPr>
        <w:tabs>
          <w:tab w:val="left" w:pos="0" w:leader="none"/>
          <w:tab w:val="left" w:pos="567"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Auad (2010) enfatiza que, se por um lado, sabe-se que o discurso constitui parte da realidade, somente ele não basta para transformá-la. Continuamente, há de se voltar a atenção para as práticas e elementos de nosso cotidiano que, ao passarem despercebidamente, expressam e reforçam concepções cristalizadas acerca das relações que estabelecemos dentro e fora da escola.</w:t>
      </w:r>
    </w:p>
    <w:p>
      <w:pPr>
        <w:tabs>
          <w:tab w:val="left" w:pos="567" w:leader="none"/>
        </w:tabs>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Morin (1975) chama a atenção à “dimensão simbólica” contida nos conteúdos dos produtos culturais que não podem ser analisados da mesma forma que as demais mercadorias produzidas pela indústria de bens de consumo.</w:t>
      </w:r>
    </w:p>
    <w:p>
      <w:pPr>
        <w:tabs>
          <w:tab w:val="left" w:pos="567" w:leader="none"/>
        </w:tabs>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e Passeron (1977) mostram como a escola constitui um mercado simbólico mediando entre a desigualdade individual e familiar precedente e as estruturas econômicas e simbólicas mais amplas, paralelas e subseqüentes.</w:t>
      </w:r>
    </w:p>
    <w:p>
      <w:pPr>
        <w:spacing w:before="0" w:after="0" w:line="360"/>
        <w:ind w:right="0" w:left="0" w:firstLine="70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Com repercussões negativas no âmbito educacional, os estereótipos de gênero no contexto da cidadania fogem do objetivo da construção de uma sociedade mais justa e igualitária, diante da polêmica discussão sobre “educar para a igualdade”, reforça preconceitos em nossas práticas educacionais.</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(REIS; GOMES, 2009)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(2001) considera que as professoras e professores esperam que as meninas sejam mais caprichosas e submissas e os meninos descuidados e expansivos e quando um aluno ou uma aluna apresenta comportamento diferente do esperado, consideram-no um aluno ou aluna problema.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Muitas abordagens da sexualidade, somente fundadas no senso comum, revelam lugares-comuns do sexismo: “homem não chora”, “isto é coisa de mulher”, “seja homem”, “a mulher é assim mesmo, o sexo-frágil”. Outros conceitos e significações são mais velados, estão submersos e disfarçados de uma suposta igualdade aparente nestas representações, mas, ao sinal da primeira crise ou conflito, afloram feito preconceito dos mais cristalinos. (NUNES; SILVA, 2006)</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Certas práticas, podem – intencionalmente ou não – fortalecer a violência no âmbito das relações de gênero. Isso ocorre principalmente quando se considera mecanicamente certas características consideradas como femininas às mulheres e, em contrapartida, as masculinas aos homens. Essa associação, em que se considera - por exemplo – determinados sentimentos como tidos do feminino, pode contribuir para uma violência na medida em que exclui a possibilidade de homens terem tais sentimentos, fazendo com que eles se sintam menos homens. Assim, ao se reificar determinadas características como exclusivas de um gênero específico, os discursos podem se configurar como uma faceta da violência. (GOMES, 2008)</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Há uma complexa rede de tecnologiase de sistemas disciplinares pelas quais o poder opera, por meio dos discursos da medicina, da educação, da psicologia, etc. Neste sentido, cabe aos professores, propor intervenções de situações de aprendizagens capazes de suscitar a reflexão dos alunos no sentido de descontruir os discursos hegemônicos acerca dos sexos e dos gêneros.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Foucault (1995), o poder e o saber estão entrelaçados. O poder não é apenas coercitivo ou repressor, mas produtivo, heterogêneo, e atua por meio de “práticas e técnicas que foram inventadas, aperfeiçoadas e se desenvolvem sem cessar. Existe uma verdadeira tecnologia do poder, ou melhor, de poderes, que têm cada um sua própria história” (FOUCAULT, 1999, p. 241).</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a Educação formal,  assume papel  primordial, ao abordar o significado e contexto onde se circunscrevem as relações de gênero com o objetivo de  estimular a produção científica e a reflexão crítica acerca das desigualdades existentes entre mulheres e homens em nosso país e, sobretudo, promover  a paridade e a igualdade de gênero.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Bordieu (1998) argumenta que a compreensão da violência simbólica possibilita uma revolução de gênero, desde que essa revolução não se limite à subversão da ordem das coisas,  das estruturas materiais, mas que avance para uma sublevação mental, transformando a percepção que perpetua a ordem social existente.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Enfim, conforme pontuam Reis e Gomes (2009) a escola, apontada como uma instituição que reproduz as diferenças sociais, impondo valores e padrões culturais discriminatórios, precisa assumir seu papel de agente de mudança, deixando de lado práticas pedagógicas que silenciam as desigualdades e corroboram a discriminação diluída no cotidiano escolar, sob pena de trair seus princípios básicos de igualdade.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POR UMA EDUCAÇÃO EMANCIPATÓRIA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(2010) esclarece que hoje a política educacional está vinculada a um sistema neoliberal que tem como objetivo os valores econômicos intensamente associados à masculinidade: competitividade, desempenho, racionalidade tecnológica, eficácia, produtividade. Tais objetivos associados às características masculinas, levam à discriminação da mulher. Estes conceitos demonstram que é necessário mudar as estruturas educacionais e se voltar à discussão de gênero, dentro das salas de aula, preparando os alunos para atuarem  na sociedade de maneira igualitária.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Faz-se necessário educar para a compreensão significativa e igualitária da identidade de gênero, de modo a representar homens e mulheres, masculino e feminino, como formas psico-históricas da condição humana, iguais em sua potencialidade de hominização e humanização e diferentes em suas expressões culturais, subjetivas e ontológicas. (NUNES; SILVA, 2006)</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escola desempenha um papel importante na construção das identidades de gênero e das identidades sexuais, pois, como parte de uma sociedade que discrimina, ela produz e reproduz desigualdades de gênero, raça, etnia, bem como se constitui em um espaço generificado. (LOURO, 1997)</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escolas devem ser locais onde os estereótipos são eliminados e não reforçados, o que significa oferecer a alunos e alunas as mesmas oportunidades de acesso a métodos de ensino e currículos livres de estereótipos, bem como de orientações acadêmicas sem influência de preconceitos. (UNESCO, 2004)</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Casagrande (2008) enfatiza que discutir as relações de gênero no ambiente escolar é de fundamental importância quando se pensa em construir uma educação democrática que possibilite a todos os seus agentes, igualdade de condições e de oportunidades. Há, portanto, que sumariamente, considerar as crianças e adolescentes como atores sociais.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Acredita-se que somente uma educação emancipatória, é capaz de contribuir para a superação das condições de heteronomia, de propor reflexões sobre os contextos de uma sexualidade reprimida - proveniente do período medieval - os mitos da superioridade e racionalidade masculina sob a inferioridade e afetividade, exclusivamente feminina, no sentido de promover uma formação que auxilie os educandos a compreenderem a constituição das concepções de gênero e suas vinculações às estruturas sociais. (NUNES; SILVA, 2006)</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Pensar a partir da categoria teórica gênero nos dá a possibilidade de entender as relações entre os sexos também no âmbito da cultura, do simbólico, das representações, e isso é muito importante quando se pensa em educação, porque, quando trabalhamos nessa área, reconstruímos a cultura, os valores, os símbolos nas novas gerações, transmitindo ou recriando, reproduzindo ou transformando as hierarquias, as diferentes importâncias atribuídas socialmente àquilo que é associado ao masculino e ao feminino. (FARIA, 1999)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educação emancipatória deve ser pensada, questionada e analisada a partir das relações de gênero e das relações entre os sexos que estão em jogo cotidianamente. Caso contrário pode revelar-se estéril a coexistência entre os sexos se não houver uma reflexão pedagógica a esse respeito.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coexistência não será sinônimo de término de desigualdades se não for considerado o contexto social de separação em vigor, e ainda largamente dominante, no tocante às questões de gênero. (NUNES; SILVA, 2006)</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educadores  “devem estar conscientes e entender o poder e influência de seu comportamento e atitudes, assim como do que ensinam e de como ensinam”. (WHITELAW, 2003, p.38)</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Há que se reconhecer que, as  aprendizagens – no tocante às questões de gênero - estão incorporadas em práticas cotidianas formais e informais que nem questionamos mais. Elas atravessam os conteúdos das disciplinas que compõem o currículo oficial ou estão imbricadas na literatura que selecionamos, nas revistas que colocamos à disposição das estudantes para pesquisa e colagem, nos filmes que passamos, no material escolar que indicamos para consumo, no vestuário que permitimos e naquele que é proibido, nas normas disciplinares que organizam o espaço e o tempo escolares, nas piadas que fazemos ou que ouvimos sem nos manifestar, nas dinâmicas em sala de aula e em outros espaços escolares que não vemos ou decidimos ignorar, nos castigos e nas premiações, nos processos de avaliação. (MEYER, 2008)</w:t>
      </w:r>
    </w:p>
    <w:p>
      <w:pPr>
        <w:spacing w:before="0" w:after="0" w:line="36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Um dos pontos fundamentais na educação das crianças é problematizar e desconstruir o sexismo, a heteronormatividade</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e outros tipos de preconceito, pois eles começam dentro de casa e podem ser reforçados, muitas vezes, dentro da própria escola, que deveria ser um lugar de acolhimento, além de sua função de ampliar os conhecimentos dos alunos e alunas (e também dos professores). Dessa forma, os brinquedos e brincadeiras que proporcionamos, as atividades que empreendemos no nosso fazer  pedagógico, os espaços disponibilizados a meninos e meninas, as falas de ambos, os gestos, os comentários que fazemos, os olhares de repreensão ou não que lançamos a cada um deles/cada uma delas diante de seus comportamentos estão repletos de representações a respeito daquilo que entendemos ser o mais adequado para meninos e meninas, homens e mulheres. (FELIPE, 2008)</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Casagrande (2008) enfatiza que ao se ensinar formas de comportamentos distintos e cobrar das meninas e meninos atitudes correspondentes é natural que haja uma separação entre eles no ambiente escolar, sendo importante que os professores e professoras observem isso e busquem a interação entre todos os alunos e alunas, independentemente do gênero, para que as crianças e adolescentes aprendam a respeitar as diferenças e diminuir as desigualdades entre os gêneros.</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Auad (2003) explica que as professoras e os professores são profissionais muito importantes para criar a educação de gênero e essa sociedade em que mulheres e homens têm os mesmos direitos. E sugerem algumas atividades/atitudes que podem ajudar mães, pais, professoras, professores, adultos e adolescentes em geral na construção de uma sociedade menos desigual:</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Evitar fazer "fila de meninas" e "fila de meninos" e outras divisões por sexo nas atividades; Estimular as meninas, quando brincarem no pátio da escola e na educação física, para que tenham atividades movimentadas como os meninos geralmente têm; Estimular, nas meninas, valores como a coragem, a curiosidade e a inteligência. Nos meninos, estimular a afetividade, o respeito, a organização; Evitar criticar e dar bronca nos meninos dizendo "você parece uma menina". Evitar chamar a atenção das meninas com frases como "você é bagunceira como um menino". Esse tipo de humilhação só reforça características negativas sobre os sexos; Estimular na sala e no pátio o trabalho e brincadeiras de meninas e meninos em conjunto; Encorajar meninas e meninos igualmente a serem líderes em grupos de tarefas e brincadeiras e a falarem em público; Discutir e eliminar piadas racistas e com preconceitos [...]; Intervir em situações em que meninos e meninas estejam sendo preconceituosos; Fazer as mesmas perguntas e usar o mesmo tom de voz para se dirigir tanto aos meninos quanto às meninas; Desencorajar a competição entre meninos e meninas e estimular a cooperação; Pedir para que os meninos sirvam o lanche e as meninas carreguem livros e caixas, fazendo rodízio das atividades entre meninos e meninas; Pesquisar e destacar mulheres importantes na História Geral e do Brasil; Incentivar igualmente meninas e meninos para as práticas esportivas e para as atividades de ciências, matemática, arte e música, por exemplo; Incentivar, igualmente, meninos e meninas brincar de boneca, cozinhar, fazer marcenaria, costura e todo tipo de trabalho manual; Estimular meninas e meninos a conhecerem e a gostarem do próprio corpo; Orientar e esclarecer, sem ameaças e terrorismo, sobre gravidez indesejada e doenças sexualmente transmissíveis; Ensinar o respeito às diferentes opções sexuais; Encorajar meninos e meninas a expressarem afeto com colegas do mesmo sexo e do sexo oposto, sem fazer piadas maliciosas. Manifestações de carinho entre crianças (e entre adultos) do mesmo sexo e do sexo oposto não são erros e, portanto, não precisam ser reprimidos; Propiciar o conhecimento da existência de outras formas de amor entre pessoas de sexos opostos e do mesmo sexo. Saber que homossexualismo existe não fará com que a criança escolha ser homossexual quando for adulta; Explorar, debater e construir a idéia e o sentimento de que as pessoas são mesmo diferentes entre si e que a diferença deve ser cultivada e respeitada. Questionar a si próprios e aos alunos e alunas: Você acha que meninas e meninos, mulheres e homens, são tratados de maneiras diferentes na escola e na sociedade? Como você imagina que seria a sua vida se você fosse do sexo oposto ao seu? Em nossa sociedade, quais são as "vantagens" e as "desvantagens" de ser mulher? E quais são as "vantagens" e as "desvantagens" de ser homem?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0"/>
          <w:shd w:fill="auto" w:val="clear"/>
        </w:rPr>
        <w:t xml:space="preserve">(AUAD, 2003, p.95-96)</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profissionais da educação precisam, conceber o gênero como uma categoria analítica, favorecendo a identificação de situações onde as relações de gênero, estabelecidas assimetricamente estão operando e a partir daí, colaborar para desconstruir os mecanismos que estabelecem a hierarquia, o desrespeito ao outro. (NUNES; SILVA, 2006)</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os escritos de Nunes e Silva (2006) não se torna uma tarefa fácil identificar as origens e delimitações fundantes dos lugares-comuns preconceituosos. Estes determinismos conceituais podem radicar-se em explicações de natureza religiosa ou supostamente naturalista ou científica, mas correspondem aos mesmos mecanismos de discriminação e preconceituação sobre as identidades de gênero.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a  abordagem do conceito de gênero, no ambiente escolar deve proporcionar o entendimento da construção social e histórica que se fez em torno dos sexos e das desigualdades que decorreram dessa construção, enfatizando o aspecto relacional e social do conceito e considerando o gênero como constituinte da identidade dos sujeitos. (LOURO, 2008)</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Enfim, a prática pedagógica deve ser compreendida a partir de sua intrínseca relação com as questões históricas, políticas e culturais, todas elas envolvidas nas tramas do poder, no sentido que lhe confere Foucault.</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CONSIDERAÇÕES FINAIS</w:t>
      </w:r>
    </w:p>
    <w:p>
      <w:pPr>
        <w:tabs>
          <w:tab w:val="left" w:pos="0" w:leader="none"/>
          <w:tab w:val="left" w:pos="567"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0" w:leader="none"/>
          <w:tab w:val="left" w:pos="567"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Prestar atenção às questões relativas às relações de gênero e sexualidade, assim como desejar construir a proclamada igualdade, envolve lançar mão de novas concepções e de novos recursos de trabalho; problematizar o que, muitas vezes, percebemos como natural e “harmônico”; e considerar elementos que até agora foram silenciados na realidade escolar, como os corpos dos sujeitos envolvidos no processo ensino-aprendizagem, sua sexualidade, seus desejos e sentimentos. Para considerar tais aspectos há de se realizar investimentos pessoais e ter “disposição” para saber como nos constituímos em atores sociais, professoras e professores, mães e pais, filhas e filhos, trabalhadoras e trabalhadores, mulheres e homens. Queremos saber disso? Sobre isso? (LOPES, 1994, p.29)</w:t>
      </w:r>
    </w:p>
    <w:p>
      <w:pPr>
        <w:tabs>
          <w:tab w:val="left" w:pos="0" w:leader="none"/>
          <w:tab w:val="left" w:pos="567"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Auad (2010), enfatiza que se nos dispusermos a potencializar a escola como espaço privilegiado de construção da igualdade, nossos questionamentos e reflexões serão acompanhados de ações que expressem os desejos por uma sociedade na qual homens e mulheres possam expressar os seus corpos e expressar-se com os seus corpos; possam usar a imaginação e a criatividade, exercitando-se nas múltiplas e diferentes relações e experiências que poderão ter, sem mais estarem circunscritos em um campo de gênero masculino ou feminino.</w:t>
      </w:r>
    </w:p>
    <w:p>
      <w:pPr>
        <w:tabs>
          <w:tab w:val="left" w:pos="0" w:leader="none"/>
          <w:tab w:val="left" w:pos="567"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Nesse sentido, a instauração de práticas simples de subversão, questionamento e problematização das ordens de gênero instauradas, podem talvez “contribuir para perturbar certezas, para ensinar a crítica e a autocrítica [...], para desalojar as hierarquias”. (LOURO,1997, p.124)</w:t>
      </w:r>
    </w:p>
    <w:p>
      <w:pPr>
        <w:tabs>
          <w:tab w:val="left" w:pos="0" w:leader="none"/>
          <w:tab w:val="left" w:pos="567"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Para concluir, espera-se que o caráter revelador deste estudo tenha sido coerente com a proposta. Nesta perspectiva, sugere-se que os profissionais da educação remetam-se a refletir sobre sua prática docente. O que se pode abstrair deste estudo é que o professor não é neutro e tem um importante papel a desempenhar na formação de crianças e adolescentes, no entanto, para reconhecer tal atribuição,  é necessário que esteja capacitado para perceber os processos de produção e re/produção que estão presentes em suas ações (implicítas ou explícitas).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como em qualquer outra prática docente, há de se enfatizar que ao propor reflexões sobre as questões de gênero no ambiente escolar, é essencial possuir conhecimentos sobre o meio em que o sujeito aprendente vive – seu lugar afetivo. Além do aspecto psicopedagógico e do ambiente escolar, é preciso respeitar o universo que o aluno/a aluna traz para a sala de aula – universo este que foi - nos anos que antecederam sua entrada na escola - e está sendo, constantemente sedimentado. É preciso respeitar a realidade sociocultural do educando e os seus ritmos de desenvolvimento.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partilha-se das idéias de Steinberg e Kincheloe (2001), que afirmam que as escolas não podem  ignorar os efeitos produzidos por outros locais educativos, pois são nestes locais onde o poder se organiza e se exercita. São espaços que produzem significados a respeito de família, de sexualidade, de gênero, de raça, de justiça, de consumo, entre tantos outros, que interagem com os indivíduos. Esses significados normatizam e fixam as diversas instâncias da vida social produzindo sujeitos e suas identidades. Ver criticamente esses locais não implica desvelar sua ideologia e colocar outra “verdade” em seu lugar, mas vê-los como locais que operam com representações engendradas em relações de poder, que incitam sujeitos a ser de determinada maneira, a pensar de um determinado jeito, a consumir determinados produtos. Esta perspectiva ressalta o caráter produtivo do poder. O saber não é construído fora das relações de poder nem em oposição a ele. O poder necessita produzir, organizar e sistematizar os saberes sobre aqueles a quem se dirige e sobre as ações destes.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1140"/>
        </w:numPr>
        <w:spacing w:before="0" w:after="0" w:line="240"/>
        <w:ind w:right="0" w:left="567" w:hanging="567"/>
        <w:jc w:val="both"/>
        <w:rPr>
          <w:rFonts w:ascii="Times New Roman" w:hAnsi="Times New Roman" w:cs="Times New Roman" w:eastAsia="Times New Roman"/>
          <w:color w:val="auto"/>
          <w:spacing w:val="0"/>
          <w:position w:val="0"/>
          <w:sz w:val="24"/>
          <w:shd w:fill="FEFFFF" w:val="clear"/>
        </w:rPr>
      </w:pPr>
      <w:r>
        <w:rPr>
          <w:rFonts w:ascii="Times New Roman" w:hAnsi="Times New Roman" w:cs="Times New Roman" w:eastAsia="Times New Roman"/>
          <w:color w:val="auto"/>
          <w:spacing w:val="0"/>
          <w:position w:val="0"/>
          <w:sz w:val="24"/>
          <w:shd w:fill="FEFFFF" w:val="clear"/>
        </w:rPr>
        <w:t xml:space="preserve">AUAD, D. </w:t>
      </w:r>
      <w:r>
        <w:rPr>
          <w:rFonts w:ascii="Times New Roman" w:hAnsi="Times New Roman" w:cs="Times New Roman" w:eastAsia="Times New Roman"/>
          <w:b/>
          <w:color w:val="auto"/>
          <w:spacing w:val="0"/>
          <w:position w:val="0"/>
          <w:sz w:val="24"/>
          <w:shd w:fill="FEFFFF" w:val="clear"/>
        </w:rPr>
        <w:t xml:space="preserve">Feminismo: </w:t>
      </w:r>
      <w:r>
        <w:rPr>
          <w:rFonts w:ascii="Times New Roman" w:hAnsi="Times New Roman" w:cs="Times New Roman" w:eastAsia="Times New Roman"/>
          <w:color w:val="auto"/>
          <w:spacing w:val="0"/>
          <w:position w:val="0"/>
          <w:sz w:val="24"/>
          <w:shd w:fill="FEFFFF" w:val="clear"/>
        </w:rPr>
        <w:t xml:space="preserve">Que História é Essa? Rio de Janeiro: DP&amp;A, 2003.</w:t>
      </w:r>
    </w:p>
    <w:p>
      <w:pPr>
        <w:spacing w:before="0" w:after="0" w:line="240"/>
        <w:ind w:right="0" w:left="567" w:firstLine="0"/>
        <w:jc w:val="both"/>
        <w:rPr>
          <w:rFonts w:ascii="Times New Roman" w:hAnsi="Times New Roman" w:cs="Times New Roman" w:eastAsia="Times New Roman"/>
          <w:color w:val="auto"/>
          <w:spacing w:val="0"/>
          <w:position w:val="0"/>
          <w:sz w:val="24"/>
          <w:shd w:fill="FEFFFF" w:val="clear"/>
        </w:rPr>
      </w:pPr>
    </w:p>
    <w:p>
      <w:pPr>
        <w:numPr>
          <w:ilvl w:val="0"/>
          <w:numId w:val="1142"/>
        </w:numPr>
        <w:spacing w:before="0" w:after="0" w:line="240"/>
        <w:ind w:right="0" w:left="567" w:hanging="567"/>
        <w:jc w:val="both"/>
        <w:rPr>
          <w:rFonts w:ascii="Times New Roman" w:hAnsi="Times New Roman" w:cs="Times New Roman" w:eastAsia="Times New Roman"/>
          <w:color w:val="auto"/>
          <w:spacing w:val="0"/>
          <w:position w:val="0"/>
          <w:sz w:val="24"/>
          <w:shd w:fill="FEFFFF" w:val="clear"/>
        </w:rPr>
      </w:pPr>
      <w:r>
        <w:rPr>
          <w:rFonts w:ascii="Times New Roman" w:hAnsi="Times New Roman" w:cs="Times New Roman" w:eastAsia="Times New Roman"/>
          <w:color w:val="auto"/>
          <w:spacing w:val="0"/>
          <w:position w:val="0"/>
          <w:sz w:val="24"/>
          <w:shd w:fill="FEFFFF" w:val="clear"/>
        </w:rPr>
        <w:t xml:space="preserve">_______. </w:t>
      </w:r>
      <w:r>
        <w:rPr>
          <w:rFonts w:ascii="Times New Roman" w:hAnsi="Times New Roman" w:cs="Times New Roman" w:eastAsia="Times New Roman"/>
          <w:b/>
          <w:color w:val="auto"/>
          <w:spacing w:val="0"/>
          <w:position w:val="0"/>
          <w:sz w:val="24"/>
          <w:shd w:fill="FEFFFF" w:val="clear"/>
        </w:rPr>
        <w:t xml:space="preserve">Formação de Professoras, Relações de Gênero e Sexualidade:</w:t>
      </w:r>
      <w:r>
        <w:rPr>
          <w:rFonts w:ascii="Times New Roman" w:hAnsi="Times New Roman" w:cs="Times New Roman" w:eastAsia="Times New Roman"/>
          <w:color w:val="auto"/>
          <w:spacing w:val="0"/>
          <w:position w:val="0"/>
          <w:sz w:val="24"/>
          <w:shd w:fill="FEFFFF" w:val="clear"/>
        </w:rPr>
        <w:t xml:space="preserve"> Um Caminho para a Construção da Igualdade. Centro Acadêmico Professor Paulo Freire. Disponível em: &lt;</w:t>
      </w:r>
      <w:hyperlink xmlns:r="http://schemas.openxmlformats.org/officeDocument/2006/relationships" r:id="docRId50">
        <w:r>
          <w:rPr>
            <w:rFonts w:ascii="Times New Roman" w:hAnsi="Times New Roman" w:cs="Times New Roman" w:eastAsia="Times New Roman"/>
            <w:color w:val="0000FF"/>
            <w:spacing w:val="0"/>
            <w:position w:val="0"/>
            <w:sz w:val="24"/>
            <w:u w:val="single"/>
            <w:shd w:fill="FEFFFF" w:val="clear"/>
          </w:rPr>
          <w:t xml:space="preserve">http://cappf.org.br</w:t>
        </w:r>
      </w:hyperlink>
      <w:r>
        <w:rPr>
          <w:rFonts w:ascii="Times New Roman" w:hAnsi="Times New Roman" w:cs="Times New Roman" w:eastAsia="Times New Roman"/>
          <w:color w:val="auto"/>
          <w:spacing w:val="0"/>
          <w:position w:val="0"/>
          <w:sz w:val="24"/>
          <w:shd w:fill="FEFFFF" w:val="clear"/>
        </w:rPr>
        <w:t xml:space="preserve">&gt; Acesso em: 06 Set. 2010.</w:t>
      </w: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numPr>
          <w:ilvl w:val="0"/>
          <w:numId w:val="1144"/>
        </w:numPr>
        <w:spacing w:before="0" w:after="0" w:line="240"/>
        <w:ind w:right="0" w:left="567" w:hanging="567"/>
        <w:jc w:val="both"/>
        <w:rPr>
          <w:rFonts w:ascii="Times New Roman" w:hAnsi="Times New Roman" w:cs="Times New Roman" w:eastAsia="Times New Roman"/>
          <w:color w:val="auto"/>
          <w:spacing w:val="0"/>
          <w:position w:val="0"/>
          <w:sz w:val="24"/>
          <w:shd w:fill="FEFFFF" w:val="clear"/>
        </w:rPr>
      </w:pPr>
      <w:r>
        <w:rPr>
          <w:rFonts w:ascii="Times New Roman" w:hAnsi="Times New Roman" w:cs="Times New Roman" w:eastAsia="Times New Roman"/>
          <w:color w:val="auto"/>
          <w:spacing w:val="0"/>
          <w:position w:val="0"/>
          <w:sz w:val="24"/>
          <w:shd w:fill="FEFFFF" w:val="clear"/>
        </w:rPr>
        <w:t xml:space="preserve">BENEVIDES, M. V. </w:t>
      </w:r>
      <w:r>
        <w:rPr>
          <w:rFonts w:ascii="Times New Roman" w:hAnsi="Times New Roman" w:cs="Times New Roman" w:eastAsia="Times New Roman"/>
          <w:b/>
          <w:color w:val="auto"/>
          <w:spacing w:val="0"/>
          <w:position w:val="0"/>
          <w:sz w:val="24"/>
          <w:shd w:fill="FEFFFF" w:val="clear"/>
        </w:rPr>
        <w:t xml:space="preserve">Cidadania e Questão de Gênero</w:t>
      </w:r>
      <w:r>
        <w:rPr>
          <w:rFonts w:ascii="Times New Roman" w:hAnsi="Times New Roman" w:cs="Times New Roman" w:eastAsia="Times New Roman"/>
          <w:color w:val="auto"/>
          <w:spacing w:val="0"/>
          <w:position w:val="0"/>
          <w:sz w:val="24"/>
          <w:shd w:fill="FEFFFF" w:val="clear"/>
        </w:rPr>
        <w:t xml:space="preserve">. In: SILVEIRA, M. L.; GODINHO, T. (Org.). Educar para a Igualdade:</w:t>
      </w:r>
      <w:r>
        <w:rPr>
          <w:rFonts w:ascii="Times New Roman" w:hAnsi="Times New Roman" w:cs="Times New Roman" w:eastAsia="Times New Roman"/>
          <w:b/>
          <w:color w:val="auto"/>
          <w:spacing w:val="0"/>
          <w:position w:val="0"/>
          <w:sz w:val="24"/>
          <w:shd w:fill="FEFFFF" w:val="clear"/>
        </w:rPr>
        <w:t xml:space="preserve"> </w:t>
      </w:r>
      <w:r>
        <w:rPr>
          <w:rFonts w:ascii="Times New Roman" w:hAnsi="Times New Roman" w:cs="Times New Roman" w:eastAsia="Times New Roman"/>
          <w:color w:val="auto"/>
          <w:spacing w:val="0"/>
          <w:position w:val="0"/>
          <w:sz w:val="24"/>
          <w:shd w:fill="FEFFFF" w:val="clear"/>
        </w:rPr>
        <w:t xml:space="preserve">Gênero e Educação Escolar</w:t>
      </w:r>
      <w:r>
        <w:rPr>
          <w:rFonts w:ascii="Times New Roman" w:hAnsi="Times New Roman" w:cs="Times New Roman" w:eastAsia="Times New Roman"/>
          <w:i/>
          <w:color w:val="auto"/>
          <w:spacing w:val="0"/>
          <w:position w:val="0"/>
          <w:sz w:val="24"/>
          <w:shd w:fill="FEFFFF" w:val="clear"/>
        </w:rPr>
        <w:t xml:space="preserve">. </w:t>
      </w:r>
      <w:r>
        <w:rPr>
          <w:rFonts w:ascii="Times New Roman" w:hAnsi="Times New Roman" w:cs="Times New Roman" w:eastAsia="Times New Roman"/>
          <w:color w:val="auto"/>
          <w:spacing w:val="0"/>
          <w:position w:val="0"/>
          <w:sz w:val="24"/>
          <w:shd w:fill="FEFFFF" w:val="clear"/>
        </w:rPr>
        <w:t xml:space="preserve">São Paulo: Secretaria Municipal de Educação. Coordenadoria Especial da Mulher, 2004.</w:t>
      </w:r>
    </w:p>
    <w:p>
      <w:pPr>
        <w:spacing w:before="0" w:after="0" w:line="240"/>
        <w:ind w:right="0" w:left="0" w:firstLine="0"/>
        <w:jc w:val="both"/>
        <w:rPr>
          <w:rFonts w:ascii="Times New Roman" w:hAnsi="Times New Roman" w:cs="Times New Roman" w:eastAsia="Times New Roman"/>
          <w:color w:val="auto"/>
          <w:spacing w:val="0"/>
          <w:position w:val="0"/>
          <w:sz w:val="24"/>
          <w:shd w:fill="FEFFFF" w:val="clear"/>
        </w:rPr>
      </w:pPr>
    </w:p>
    <w:p>
      <w:pPr>
        <w:numPr>
          <w:ilvl w:val="0"/>
          <w:numId w:val="1146"/>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BORDO, S. R. </w:t>
      </w:r>
      <w:r>
        <w:rPr>
          <w:rFonts w:ascii="Times New Roman" w:hAnsi="Times New Roman" w:cs="Times New Roman" w:eastAsia="Times New Roman"/>
          <w:b/>
          <w:color w:val="auto"/>
          <w:spacing w:val="0"/>
          <w:position w:val="0"/>
          <w:sz w:val="24"/>
          <w:shd w:fill="auto" w:val="clear"/>
        </w:rPr>
        <w:t xml:space="preserve">O Corpo e a Reprodução da Feminidade:</w:t>
      </w:r>
      <w:r>
        <w:rPr>
          <w:rFonts w:ascii="Times New Roman" w:hAnsi="Times New Roman" w:cs="Times New Roman" w:eastAsia="Times New Roman"/>
          <w:color w:val="auto"/>
          <w:spacing w:val="0"/>
          <w:position w:val="0"/>
          <w:sz w:val="24"/>
          <w:shd w:fill="auto" w:val="clear"/>
        </w:rPr>
        <w:t xml:space="preserve"> Uma apropriação Feminista de Focault. In: JAGGAR, A. M.; BORDO, S. R.(Org.) Gênero, Corpo, Conhecimento. Rio de Janeiro: Record: Rosa dos Tempos, 1997.</w:t>
      </w:r>
    </w:p>
    <w:p>
      <w:pPr>
        <w:tabs>
          <w:tab w:val="left" w:pos="567" w:leader="none"/>
        </w:tabs>
        <w:spacing w:before="0" w:after="0" w:line="240"/>
        <w:ind w:right="0" w:left="567" w:firstLine="0"/>
        <w:jc w:val="both"/>
        <w:rPr>
          <w:rFonts w:ascii="Times New Roman" w:hAnsi="Times New Roman" w:cs="Times New Roman" w:eastAsia="Times New Roman"/>
          <w:color w:val="auto"/>
          <w:spacing w:val="0"/>
          <w:position w:val="0"/>
          <w:sz w:val="24"/>
          <w:shd w:fill="auto" w:val="clear"/>
        </w:rPr>
      </w:pPr>
    </w:p>
    <w:p>
      <w:pPr>
        <w:numPr>
          <w:ilvl w:val="0"/>
          <w:numId w:val="1148"/>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 </w:t>
      </w:r>
      <w:r>
        <w:rPr>
          <w:rFonts w:ascii="Times New Roman" w:hAnsi="Times New Roman" w:cs="Times New Roman" w:eastAsia="Times New Roman"/>
          <w:b/>
          <w:color w:val="auto"/>
          <w:spacing w:val="0"/>
          <w:position w:val="0"/>
          <w:sz w:val="24"/>
          <w:shd w:fill="auto" w:val="clear"/>
        </w:rPr>
        <w:t xml:space="preserve">Conferência do Prêmio Goffman:</w:t>
      </w:r>
      <w:r>
        <w:rPr>
          <w:rFonts w:ascii="Times New Roman" w:hAnsi="Times New Roman" w:cs="Times New Roman" w:eastAsia="Times New Roman"/>
          <w:color w:val="auto"/>
          <w:spacing w:val="0"/>
          <w:position w:val="0"/>
          <w:sz w:val="24"/>
          <w:shd w:fill="auto" w:val="clear"/>
        </w:rPr>
        <w:t xml:space="preserve"> A Dominação Masculina Revisitada. In: LINS, D. A Dominação Masculina Revisitada. Campinas-SP: Papirus, 1998.</w:t>
      </w: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numPr>
          <w:ilvl w:val="0"/>
          <w:numId w:val="1150"/>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 </w:t>
      </w:r>
      <w:r>
        <w:rPr>
          <w:rFonts w:ascii="Times New Roman" w:hAnsi="Times New Roman" w:cs="Times New Roman" w:eastAsia="Times New Roman"/>
          <w:b/>
          <w:color w:val="auto"/>
          <w:spacing w:val="0"/>
          <w:position w:val="0"/>
          <w:sz w:val="24"/>
          <w:shd w:fill="auto" w:val="clear"/>
        </w:rPr>
        <w:t xml:space="preserve">A Dominação Masculina</w:t>
      </w:r>
      <w:r>
        <w:rPr>
          <w:rFonts w:ascii="Times New Roman" w:hAnsi="Times New Roman" w:cs="Times New Roman" w:eastAsia="Times New Roman"/>
          <w:color w:val="auto"/>
          <w:spacing w:val="0"/>
          <w:position w:val="0"/>
          <w:sz w:val="24"/>
          <w:shd w:fill="auto" w:val="clear"/>
        </w:rPr>
        <w:t xml:space="preserve">. Rio de Janeiro: Bertrand Brasil, 1999.</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52"/>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 PASSERON, J.-C. </w:t>
      </w:r>
      <w:r>
        <w:rPr>
          <w:rFonts w:ascii="Times New Roman" w:hAnsi="Times New Roman" w:cs="Times New Roman" w:eastAsia="Times New Roman"/>
          <w:b/>
          <w:color w:val="auto"/>
          <w:spacing w:val="0"/>
          <w:position w:val="0"/>
          <w:sz w:val="24"/>
          <w:shd w:fill="auto" w:val="clear"/>
        </w:rPr>
        <w:t xml:space="preserve">A Reprodução:</w:t>
      </w:r>
      <w:r>
        <w:rPr>
          <w:rFonts w:ascii="Times New Roman" w:hAnsi="Times New Roman" w:cs="Times New Roman" w:eastAsia="Times New Roman"/>
          <w:color w:val="auto"/>
          <w:spacing w:val="0"/>
          <w:position w:val="0"/>
          <w:sz w:val="24"/>
          <w:shd w:fill="auto" w:val="clear"/>
        </w:rPr>
        <w:t xml:space="preserve"> elementos para uma teoria do sistema de ensino. Rio de Janeiro: Francisco Alves, 1977.</w:t>
      </w:r>
    </w:p>
    <w:p>
      <w:pPr>
        <w:spacing w:before="0" w:after="0" w:line="240"/>
        <w:ind w:right="0" w:left="708" w:firstLine="0"/>
        <w:jc w:val="both"/>
        <w:rPr>
          <w:rFonts w:ascii="Times New Roman" w:hAnsi="Times New Roman" w:cs="Times New Roman" w:eastAsia="Times New Roman"/>
          <w:color w:val="auto"/>
          <w:spacing w:val="0"/>
          <w:position w:val="0"/>
          <w:sz w:val="24"/>
          <w:shd w:fill="auto" w:val="clear"/>
        </w:rPr>
      </w:pPr>
    </w:p>
    <w:p>
      <w:pPr>
        <w:numPr>
          <w:ilvl w:val="0"/>
          <w:numId w:val="1154"/>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A. P. S. </w:t>
      </w:r>
      <w:r>
        <w:rPr>
          <w:rFonts w:ascii="Times New Roman" w:hAnsi="Times New Roman" w:cs="Times New Roman" w:eastAsia="Times New Roman"/>
          <w:b/>
          <w:color w:val="auto"/>
          <w:spacing w:val="0"/>
          <w:position w:val="0"/>
          <w:sz w:val="24"/>
          <w:shd w:fill="auto" w:val="clear"/>
        </w:rPr>
        <w:t xml:space="preserve">As Mulheres no Campo Científico:</w:t>
      </w:r>
      <w:r>
        <w:rPr>
          <w:rFonts w:ascii="Times New Roman" w:hAnsi="Times New Roman" w:cs="Times New Roman" w:eastAsia="Times New Roman"/>
          <w:color w:val="auto"/>
          <w:spacing w:val="0"/>
          <w:position w:val="0"/>
          <w:sz w:val="24"/>
          <w:shd w:fill="auto" w:val="clear"/>
        </w:rPr>
        <w:t xml:space="preserve"> Uma Discussão acerca da Dominação Masculina.  Anais do VII Seminário Fazendo Gênero. Disponível em: &lt;</w:t>
      </w:r>
      <w:hyperlink xmlns:r="http://schemas.openxmlformats.org/officeDocument/2006/relationships" r:id="docRId51">
        <w:r>
          <w:rPr>
            <w:rFonts w:ascii="Times New Roman" w:hAnsi="Times New Roman" w:cs="Times New Roman" w:eastAsia="Times New Roman"/>
            <w:color w:val="0000FF"/>
            <w:spacing w:val="0"/>
            <w:position w:val="0"/>
            <w:sz w:val="24"/>
            <w:u w:val="single"/>
            <w:shd w:fill="auto" w:val="clear"/>
          </w:rPr>
          <w:t xml:space="preserve">http:// </w:t>
        </w:r>
        <w:r>
          <w:rPr>
            <w:rFonts w:ascii="Times New Roman" w:hAnsi="Times New Roman" w:cs="Times New Roman" w:eastAsia="Times New Roman"/>
            <w:vanish/>
            <w:color w:val="0000FF"/>
            <w:spacing w:val="0"/>
            <w:position w:val="0"/>
            <w:sz w:val="24"/>
            <w:u w:val="single"/>
            <w:shd w:fill="auto" w:val="clear"/>
          </w:rPr>
          <w:t xml:space="preserve">HYPERLINK "http://www.fazendogenero7.ufsc.br/"</w:t>
        </w:r>
        <w:r>
          <w:rPr>
            <w:rFonts w:ascii="Times New Roman" w:hAnsi="Times New Roman" w:cs="Times New Roman" w:eastAsia="Times New Roman"/>
            <w:color w:val="0000FF"/>
            <w:spacing w:val="0"/>
            <w:position w:val="0"/>
            <w:sz w:val="24"/>
            <w:u w:val="single"/>
            <w:shd w:fill="auto" w:val="clear"/>
          </w:rPr>
          <w:t xml:space="preserve">www.fazendogenero7.ufsc.br</w:t>
        </w:r>
      </w:hyperlink>
      <w:r>
        <w:rPr>
          <w:rFonts w:ascii="Times New Roman" w:hAnsi="Times New Roman" w:cs="Times New Roman" w:eastAsia="Times New Roman"/>
          <w:color w:val="auto"/>
          <w:spacing w:val="0"/>
          <w:position w:val="0"/>
          <w:sz w:val="24"/>
          <w:shd w:fill="auto" w:val="clear"/>
        </w:rPr>
        <w:t xml:space="preserve">&gt; Acesso em: 04 Set. 2010.</w:t>
      </w:r>
    </w:p>
    <w:p>
      <w:pPr>
        <w:spacing w:before="0" w:after="0" w:line="240"/>
        <w:ind w:right="0" w:left="708" w:firstLine="0"/>
        <w:jc w:val="both"/>
        <w:rPr>
          <w:rFonts w:ascii="Times New Roman" w:hAnsi="Times New Roman" w:cs="Times New Roman" w:eastAsia="Times New Roman"/>
          <w:color w:val="auto"/>
          <w:spacing w:val="0"/>
          <w:position w:val="0"/>
          <w:sz w:val="21"/>
          <w:shd w:fill="auto" w:val="clear"/>
        </w:rPr>
      </w:pPr>
    </w:p>
    <w:p>
      <w:pPr>
        <w:numPr>
          <w:ilvl w:val="0"/>
          <w:numId w:val="1156"/>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M. P. </w:t>
      </w:r>
      <w:r>
        <w:rPr>
          <w:rFonts w:ascii="Times New Roman" w:hAnsi="Times New Roman" w:cs="Times New Roman" w:eastAsia="Times New Roman"/>
          <w:b/>
          <w:color w:val="auto"/>
          <w:spacing w:val="0"/>
          <w:position w:val="0"/>
          <w:sz w:val="24"/>
          <w:shd w:fill="auto" w:val="clear"/>
        </w:rPr>
        <w:t xml:space="preserve">Mau Auno, Boa Aluna?</w:t>
      </w:r>
      <w:r>
        <w:rPr>
          <w:rFonts w:ascii="Times New Roman" w:hAnsi="Times New Roman" w:cs="Times New Roman" w:eastAsia="Times New Roman"/>
          <w:color w:val="auto"/>
          <w:spacing w:val="0"/>
          <w:position w:val="0"/>
          <w:sz w:val="24"/>
          <w:shd w:fill="auto" w:val="clear"/>
        </w:rPr>
        <w:t xml:space="preserve"> Como as professoras avaliam meninos e meninas. Revista de Estudos Feministas. Florianópolis, 2001.</w:t>
      </w:r>
    </w:p>
    <w:p>
      <w:pPr>
        <w:spacing w:before="0" w:after="0" w:line="240"/>
        <w:ind w:right="0" w:left="708" w:firstLine="0"/>
        <w:jc w:val="both"/>
        <w:rPr>
          <w:rFonts w:ascii="Times New Roman" w:hAnsi="Times New Roman" w:cs="Times New Roman" w:eastAsia="Times New Roman"/>
          <w:color w:val="auto"/>
          <w:spacing w:val="0"/>
          <w:position w:val="0"/>
          <w:sz w:val="24"/>
          <w:shd w:fill="auto" w:val="clear"/>
        </w:rPr>
      </w:pPr>
    </w:p>
    <w:p>
      <w:pPr>
        <w:numPr>
          <w:ilvl w:val="0"/>
          <w:numId w:val="1158"/>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CASAGRANDE, L. S.  </w:t>
      </w:r>
      <w:r>
        <w:rPr>
          <w:rFonts w:ascii="Times New Roman" w:hAnsi="Times New Roman" w:cs="Times New Roman" w:eastAsia="Times New Roman"/>
          <w:b/>
          <w:color w:val="auto"/>
          <w:spacing w:val="0"/>
          <w:position w:val="0"/>
          <w:sz w:val="24"/>
          <w:shd w:fill="auto" w:val="clear"/>
        </w:rPr>
        <w:t xml:space="preserve">Relações de Gênero e Educação:</w:t>
      </w:r>
      <w:r>
        <w:rPr>
          <w:rFonts w:ascii="Times New Roman" w:hAnsi="Times New Roman" w:cs="Times New Roman" w:eastAsia="Times New Roman"/>
          <w:color w:val="auto"/>
          <w:spacing w:val="0"/>
          <w:position w:val="0"/>
          <w:sz w:val="24"/>
          <w:shd w:fill="auto" w:val="clear"/>
        </w:rPr>
        <w:t xml:space="preserve"> Um Convite à Reflexão. In: Gênero e Diversidade Sexual no Ambiente Escolar. Refletindo Gênero na Escola. A Importância de Repensar Conceitos e Preconceitos. Secretaria de Educação Continuada. Ministério da Educação.Curitiba, 2008.</w:t>
      </w:r>
    </w:p>
    <w:p>
      <w:pPr>
        <w:spacing w:before="0" w:after="0" w:line="240"/>
        <w:ind w:right="0" w:left="708" w:firstLine="0"/>
        <w:jc w:val="both"/>
        <w:rPr>
          <w:rFonts w:ascii="Times New Roman" w:hAnsi="Times New Roman" w:cs="Times New Roman" w:eastAsia="Times New Roman"/>
          <w:color w:val="auto"/>
          <w:spacing w:val="0"/>
          <w:position w:val="0"/>
          <w:sz w:val="24"/>
          <w:shd w:fill="auto" w:val="clear"/>
        </w:rPr>
      </w:pPr>
    </w:p>
    <w:p>
      <w:pPr>
        <w:numPr>
          <w:ilvl w:val="0"/>
          <w:numId w:val="1160"/>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DIMEN, M.</w:t>
      </w:r>
      <w:r>
        <w:rPr>
          <w:rFonts w:ascii="Times New Roman" w:hAnsi="Times New Roman" w:cs="Times New Roman" w:eastAsia="Times New Roman"/>
          <w:color w:val="003333"/>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Poder, Sexualidade e Intimidade.</w:t>
      </w:r>
      <w:r>
        <w:rPr>
          <w:rFonts w:ascii="Times New Roman" w:hAnsi="Times New Roman" w:cs="Times New Roman" w:eastAsia="Times New Roman"/>
          <w:color w:val="003333"/>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 JAGGAR, A. M.; BORDO, S. R.(Org.) Gênero, Corpo, Conhecimento. Rio de Janeiro: Record: Rosa dos Tempos, 1997.</w:t>
      </w:r>
    </w:p>
    <w:p>
      <w:pPr>
        <w:spacing w:before="0" w:after="0" w:line="240"/>
        <w:ind w:right="0" w:left="0" w:firstLine="0"/>
        <w:jc w:val="left"/>
        <w:rPr>
          <w:rFonts w:ascii="TimesNewRomanPSMT" w:hAnsi="TimesNewRomanPSMT" w:cs="TimesNewRomanPSMT" w:eastAsia="TimesNewRomanPSMT"/>
          <w:color w:val="auto"/>
          <w:spacing w:val="0"/>
          <w:position w:val="0"/>
          <w:sz w:val="24"/>
          <w:shd w:fill="auto" w:val="clear"/>
        </w:rPr>
      </w:pPr>
    </w:p>
    <w:p>
      <w:pPr>
        <w:numPr>
          <w:ilvl w:val="0"/>
          <w:numId w:val="1162"/>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ELLSWORTH, E. </w:t>
      </w:r>
      <w:r>
        <w:rPr>
          <w:rFonts w:ascii="Times New Roman" w:hAnsi="Times New Roman" w:cs="Times New Roman" w:eastAsia="Times New Roman"/>
          <w:b/>
          <w:color w:val="auto"/>
          <w:spacing w:val="0"/>
          <w:position w:val="0"/>
          <w:sz w:val="24"/>
          <w:shd w:fill="auto" w:val="clear"/>
        </w:rPr>
        <w:t xml:space="preserve">Modos de Endereçamento:</w:t>
      </w:r>
      <w:r>
        <w:rPr>
          <w:rFonts w:ascii="Times New Roman" w:hAnsi="Times New Roman" w:cs="Times New Roman" w:eastAsia="Times New Roman"/>
          <w:color w:val="auto"/>
          <w:spacing w:val="0"/>
          <w:position w:val="0"/>
          <w:sz w:val="24"/>
          <w:shd w:fill="auto" w:val="clear"/>
        </w:rPr>
        <w:t xml:space="preserve"> Uma Coisa de Cinema, Uma Coisa de Educação Também. In: SILVA, T. T. (Org.) </w:t>
      </w:r>
      <w:r>
        <w:rPr>
          <w:rFonts w:ascii="Times New Roman" w:hAnsi="Times New Roman" w:cs="Times New Roman" w:eastAsia="Times New Roman"/>
          <w:b/>
          <w:color w:val="auto"/>
          <w:spacing w:val="0"/>
          <w:position w:val="0"/>
          <w:sz w:val="24"/>
          <w:shd w:fill="auto" w:val="clear"/>
        </w:rPr>
        <w:t xml:space="preserve">Nunca Fomos Humanos: </w:t>
      </w:r>
      <w:r>
        <w:rPr>
          <w:rFonts w:ascii="Times New Roman" w:hAnsi="Times New Roman" w:cs="Times New Roman" w:eastAsia="Times New Roman"/>
          <w:color w:val="auto"/>
          <w:spacing w:val="0"/>
          <w:position w:val="0"/>
          <w:sz w:val="24"/>
          <w:shd w:fill="auto" w:val="clear"/>
        </w:rPr>
        <w:t xml:space="preserve">Nos Rastros do Sujeito. Belo Horizonte: Autêntica, 2001.</w:t>
      </w:r>
    </w:p>
    <w:p>
      <w:pPr>
        <w:tabs>
          <w:tab w:val="left" w:pos="0" w:leader="none"/>
          <w:tab w:val="left" w:pos="56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164"/>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FARIA, N. Et. al</w:t>
      </w:r>
      <w:r>
        <w:rPr>
          <w:rFonts w:ascii="Times New Roman" w:hAnsi="Times New Roman" w:cs="Times New Roman" w:eastAsia="Times New Roman"/>
          <w:b/>
          <w:color w:val="auto"/>
          <w:spacing w:val="0"/>
          <w:position w:val="0"/>
          <w:sz w:val="24"/>
          <w:shd w:fill="auto" w:val="clear"/>
        </w:rPr>
        <w:t xml:space="preserve">. Gênero e Educação</w:t>
      </w:r>
      <w:r>
        <w:rPr>
          <w:rFonts w:ascii="Times New Roman" w:hAnsi="Times New Roman" w:cs="Times New Roman" w:eastAsia="Times New Roman"/>
          <w:color w:val="auto"/>
          <w:spacing w:val="0"/>
          <w:position w:val="0"/>
          <w:sz w:val="24"/>
          <w:shd w:fill="auto" w:val="clear"/>
        </w:rPr>
        <w:t xml:space="preserve">. Sempre viva/ Organização Feminista, São Paulo: 1999.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166"/>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FELIPE, J. </w:t>
      </w:r>
      <w:r>
        <w:rPr>
          <w:rFonts w:ascii="Times New Roman" w:hAnsi="Times New Roman" w:cs="Times New Roman" w:eastAsia="Times New Roman"/>
          <w:b/>
          <w:color w:val="auto"/>
          <w:spacing w:val="0"/>
          <w:position w:val="0"/>
          <w:sz w:val="24"/>
          <w:shd w:fill="auto" w:val="clear"/>
        </w:rPr>
        <w:t xml:space="preserve">Proposta Pedagógica</w:t>
      </w:r>
      <w:r>
        <w:rPr>
          <w:rFonts w:ascii="Times New Roman" w:hAnsi="Times New Roman" w:cs="Times New Roman" w:eastAsia="Times New Roman"/>
          <w:color w:val="auto"/>
          <w:spacing w:val="0"/>
          <w:position w:val="0"/>
          <w:sz w:val="24"/>
          <w:shd w:fill="auto" w:val="clear"/>
        </w:rPr>
        <w:t xml:space="preserve">. In: Educação para a Igualdade de Gênero. TV Escola. Salto para o Futuro. Secretaria de Educação a Distância. Ministério da Educação. Proposta Pedagógica. Ano XVIII – Boletim, 26 – Nov. 2008.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168"/>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FOUCAULT, M. </w:t>
      </w:r>
      <w:r>
        <w:rPr>
          <w:rFonts w:ascii="Times New Roman" w:hAnsi="Times New Roman" w:cs="Times New Roman" w:eastAsia="Times New Roman"/>
          <w:b/>
          <w:color w:val="auto"/>
          <w:spacing w:val="0"/>
          <w:position w:val="0"/>
          <w:sz w:val="24"/>
          <w:shd w:fill="auto" w:val="clear"/>
        </w:rPr>
        <w:t xml:space="preserve">O Sujeito e o Poder</w:t>
      </w:r>
      <w:r>
        <w:rPr>
          <w:rFonts w:ascii="Times New Roman" w:hAnsi="Times New Roman" w:cs="Times New Roman" w:eastAsia="Times New Roman"/>
          <w:color w:val="auto"/>
          <w:spacing w:val="0"/>
          <w:position w:val="0"/>
          <w:sz w:val="24"/>
          <w:shd w:fill="auto" w:val="clear"/>
        </w:rPr>
        <w:t xml:space="preserve">. In: DREYFUS, H;  RABINOW, P. (Orgs.), Michel Foucault: Uma trajetória filosófica: Para além do estruturalismo e da hermenêutica</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Rio de Janeiro: Forense Universitária, 1995.</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70"/>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 </w:t>
      </w:r>
      <w:r>
        <w:rPr>
          <w:rFonts w:ascii="Times New Roman" w:hAnsi="Times New Roman" w:cs="Times New Roman" w:eastAsia="Times New Roman"/>
          <w:b/>
          <w:color w:val="auto"/>
          <w:spacing w:val="0"/>
          <w:position w:val="0"/>
          <w:sz w:val="24"/>
          <w:shd w:fill="auto" w:val="clear"/>
        </w:rPr>
        <w:t xml:space="preserve">Estética, Ética e Hermenêutica.</w:t>
      </w:r>
      <w:r>
        <w:rPr>
          <w:rFonts w:ascii="Times New Roman" w:hAnsi="Times New Roman" w:cs="Times New Roman" w:eastAsia="Times New Roman"/>
          <w:color w:val="auto"/>
          <w:spacing w:val="0"/>
          <w:position w:val="0"/>
          <w:sz w:val="24"/>
          <w:shd w:fill="auto" w:val="clear"/>
        </w:rPr>
        <w:t xml:space="preserve"> (Obras Essenciales Vol. 3) Buenos Aires, Argentina: Paidós, 1999.</w:t>
      </w:r>
    </w:p>
    <w:p>
      <w:pPr>
        <w:spacing w:before="0" w:after="0" w:line="240"/>
        <w:ind w:right="0" w:left="708" w:firstLine="0"/>
        <w:jc w:val="both"/>
        <w:rPr>
          <w:rFonts w:ascii="Times New Roman" w:hAnsi="Times New Roman" w:cs="Times New Roman" w:eastAsia="Times New Roman"/>
          <w:color w:val="auto"/>
          <w:spacing w:val="0"/>
          <w:position w:val="0"/>
          <w:sz w:val="24"/>
          <w:shd w:fill="auto" w:val="clear"/>
        </w:rPr>
      </w:pPr>
    </w:p>
    <w:p>
      <w:pPr>
        <w:numPr>
          <w:ilvl w:val="0"/>
          <w:numId w:val="1172"/>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GIFFIN, K. </w:t>
      </w:r>
      <w:r>
        <w:rPr>
          <w:rFonts w:ascii="Times New Roman" w:hAnsi="Times New Roman" w:cs="Times New Roman" w:eastAsia="Times New Roman"/>
          <w:b/>
          <w:color w:val="auto"/>
          <w:spacing w:val="0"/>
          <w:position w:val="0"/>
          <w:sz w:val="24"/>
          <w:shd w:fill="auto" w:val="clear"/>
        </w:rPr>
        <w:t xml:space="preserve">Violência de Gênero, Sexualidade e Saúde.</w:t>
      </w:r>
      <w:r>
        <w:rPr>
          <w:rFonts w:ascii="Times New Roman" w:hAnsi="Times New Roman" w:cs="Times New Roman" w:eastAsia="Times New Roman"/>
          <w:color w:val="auto"/>
          <w:spacing w:val="0"/>
          <w:position w:val="0"/>
          <w:sz w:val="24"/>
          <w:shd w:fill="auto" w:val="clear"/>
        </w:rPr>
        <w:t xml:space="preserve"> Cadernos de Saúde Pública. Vol. 10. Rio de Janeiro, 1994. Disponível em: &lt;</w:t>
      </w:r>
      <w:hyperlink xmlns:r="http://schemas.openxmlformats.org/officeDocument/2006/relationships" r:id="docRId52">
        <w:r>
          <w:rPr>
            <w:rFonts w:ascii="Times New Roman" w:hAnsi="Times New Roman" w:cs="Times New Roman" w:eastAsia="Times New Roman"/>
            <w:color w:val="0000FF"/>
            <w:spacing w:val="0"/>
            <w:position w:val="0"/>
            <w:sz w:val="24"/>
            <w:u w:val="single"/>
            <w:shd w:fill="auto" w:val="clear"/>
          </w:rPr>
          <w:t xml:space="preserve">http://www.scielosp.org</w:t>
        </w:r>
      </w:hyperlink>
      <w:r>
        <w:rPr>
          <w:rFonts w:ascii="Times New Roman" w:hAnsi="Times New Roman" w:cs="Times New Roman" w:eastAsia="Times New Roman"/>
          <w:color w:val="auto"/>
          <w:spacing w:val="0"/>
          <w:position w:val="0"/>
          <w:sz w:val="24"/>
          <w:shd w:fill="auto" w:val="clear"/>
        </w:rPr>
        <w:t xml:space="preserve">&gt; Acesso em: 20 ago. 2010.</w:t>
      </w:r>
    </w:p>
    <w:p>
      <w:pPr>
        <w:spacing w:before="0" w:after="0" w:line="240"/>
        <w:ind w:right="0" w:left="708" w:firstLine="0"/>
        <w:jc w:val="both"/>
        <w:rPr>
          <w:rFonts w:ascii="Calibri" w:hAnsi="Calibri" w:cs="Calibri" w:eastAsia="Calibri"/>
          <w:color w:val="auto"/>
          <w:spacing w:val="0"/>
          <w:position w:val="0"/>
          <w:sz w:val="22"/>
          <w:shd w:fill="auto" w:val="clear"/>
        </w:rPr>
      </w:pPr>
    </w:p>
    <w:p>
      <w:pPr>
        <w:numPr>
          <w:ilvl w:val="0"/>
          <w:numId w:val="1174"/>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GOMES, R. Sexualidade Masculina, Gênero e Saúde. Rio de Janeiro: FIOCRUZ, 2008.</w:t>
      </w:r>
    </w:p>
    <w:p>
      <w:pPr>
        <w:tabs>
          <w:tab w:val="left" w:pos="0" w:leader="none"/>
          <w:tab w:val="left" w:pos="56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176"/>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KELLNER, D. </w:t>
      </w:r>
      <w:r>
        <w:rPr>
          <w:rFonts w:ascii="Times New Roman" w:hAnsi="Times New Roman" w:cs="Times New Roman" w:eastAsia="Times New Roman"/>
          <w:b/>
          <w:color w:val="auto"/>
          <w:spacing w:val="0"/>
          <w:position w:val="0"/>
          <w:sz w:val="24"/>
          <w:shd w:fill="auto" w:val="clear"/>
        </w:rPr>
        <w:t xml:space="preserve">A Cultura da Mídia</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Estudos Culturais: Identidade E Política entre o Moderno e o Pós-Moderno. Bauru, SP: EDUSC, 2001.</w:t>
      </w:r>
    </w:p>
    <w:p>
      <w:pPr>
        <w:tabs>
          <w:tab w:val="left" w:pos="0" w:leader="none"/>
          <w:tab w:val="left" w:pos="56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178"/>
        </w:numPr>
        <w:spacing w:before="0" w:after="0" w:line="240"/>
        <w:ind w:right="0" w:left="567" w:hanging="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LAVINAS, L.  </w:t>
      </w:r>
      <w:r>
        <w:rPr>
          <w:rFonts w:ascii="Times New Roman" w:hAnsi="Times New Roman" w:cs="Times New Roman" w:eastAsia="Times New Roman"/>
          <w:b/>
          <w:color w:val="000000"/>
          <w:spacing w:val="0"/>
          <w:position w:val="0"/>
          <w:sz w:val="24"/>
          <w:shd w:fill="auto" w:val="clear"/>
        </w:rPr>
        <w:t xml:space="preserve">Identidade de Gênero:</w:t>
      </w:r>
      <w:r>
        <w:rPr>
          <w:rFonts w:ascii="Times New Roman" w:hAnsi="Times New Roman" w:cs="Times New Roman" w:eastAsia="Times New Roman"/>
          <w:color w:val="000000"/>
          <w:spacing w:val="0"/>
          <w:position w:val="0"/>
          <w:sz w:val="24"/>
          <w:shd w:fill="auto" w:val="clear"/>
        </w:rPr>
        <w:t xml:space="preserve"> Uma Categoria da Prática. Papéis Avulsos. Nº 40. Rio de Janeiro: CIEC/ECO/UFRJ, 1992.</w:t>
      </w:r>
    </w:p>
    <w:p>
      <w:p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80"/>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LOURO, G. L. </w:t>
      </w:r>
      <w:r>
        <w:rPr>
          <w:rFonts w:ascii="Times New Roman" w:hAnsi="Times New Roman" w:cs="Times New Roman" w:eastAsia="Times New Roman"/>
          <w:b/>
          <w:color w:val="auto"/>
          <w:spacing w:val="0"/>
          <w:position w:val="0"/>
          <w:sz w:val="24"/>
          <w:shd w:fill="auto" w:val="clear"/>
        </w:rPr>
        <w:t xml:space="preserve">Gênero, Sexualidade e Educação:</w:t>
      </w:r>
      <w:r>
        <w:rPr>
          <w:rFonts w:ascii="Times New Roman" w:hAnsi="Times New Roman" w:cs="Times New Roman" w:eastAsia="Times New Roman"/>
          <w:color w:val="auto"/>
          <w:spacing w:val="0"/>
          <w:position w:val="0"/>
          <w:sz w:val="24"/>
          <w:shd w:fill="auto" w:val="clear"/>
        </w:rPr>
        <w:t xml:space="preserve"> Uma perspectiva pós estruturalista. Petróplolis, RJ: Vozes, 1997. </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82"/>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MEYER, D.  E. </w:t>
      </w:r>
      <w:r>
        <w:rPr>
          <w:rFonts w:ascii="Times New Roman" w:hAnsi="Times New Roman" w:cs="Times New Roman" w:eastAsia="Times New Roman"/>
          <w:b/>
          <w:color w:val="auto"/>
          <w:spacing w:val="0"/>
          <w:position w:val="0"/>
          <w:sz w:val="24"/>
          <w:shd w:fill="auto" w:val="clear"/>
        </w:rPr>
        <w:t xml:space="preserve">Gênero e Educação:</w:t>
      </w:r>
      <w:r>
        <w:rPr>
          <w:rFonts w:ascii="Times New Roman" w:hAnsi="Times New Roman" w:cs="Times New Roman" w:eastAsia="Times New Roman"/>
          <w:color w:val="auto"/>
          <w:spacing w:val="0"/>
          <w:position w:val="0"/>
          <w:sz w:val="24"/>
          <w:shd w:fill="auto" w:val="clear"/>
        </w:rPr>
        <w:t xml:space="preserve"> Teoria e Política. In: LOURO, G. L.; NECKEL, J. F.; GOELLNER, S. V. (Orgs.). Corpo, Gênero e Sexualidade: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 Debate Contemporâneo na Educação. Petrópolis, RJ: Vozes, 2003.</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84"/>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MORIN, E. </w:t>
      </w:r>
      <w:r>
        <w:rPr>
          <w:rFonts w:ascii="Times New Roman" w:hAnsi="Times New Roman" w:cs="Times New Roman" w:eastAsia="Times New Roman"/>
          <w:b/>
          <w:color w:val="auto"/>
          <w:spacing w:val="0"/>
          <w:position w:val="0"/>
          <w:sz w:val="24"/>
          <w:shd w:fill="auto" w:val="clear"/>
        </w:rPr>
        <w:t xml:space="preserve">Cultura de massas no século XX</w:t>
      </w:r>
      <w:r>
        <w:rPr>
          <w:rFonts w:ascii="Times New Roman" w:hAnsi="Times New Roman" w:cs="Times New Roman" w:eastAsia="Times New Roman"/>
          <w:color w:val="auto"/>
          <w:spacing w:val="0"/>
          <w:position w:val="0"/>
          <w:sz w:val="24"/>
          <w:shd w:fill="auto" w:val="clear"/>
        </w:rPr>
        <w:t xml:space="preserve">. O espírito do tempo. 3 ed. Rio de Janeiro: Forense, 1975.</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86"/>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NUNES, C. A. </w:t>
      </w:r>
      <w:r>
        <w:rPr>
          <w:rFonts w:ascii="Times New Roman" w:hAnsi="Times New Roman" w:cs="Times New Roman" w:eastAsia="Times New Roman"/>
          <w:b/>
          <w:color w:val="auto"/>
          <w:spacing w:val="0"/>
          <w:position w:val="0"/>
          <w:sz w:val="24"/>
          <w:shd w:fill="auto" w:val="clear"/>
        </w:rPr>
        <w:t xml:space="preserve">Desvendando a Sexualidade</w:t>
      </w:r>
      <w:r>
        <w:rPr>
          <w:rFonts w:ascii="Times New Roman" w:hAnsi="Times New Roman" w:cs="Times New Roman" w:eastAsia="Times New Roman"/>
          <w:color w:val="auto"/>
          <w:spacing w:val="0"/>
          <w:position w:val="0"/>
          <w:sz w:val="24"/>
          <w:shd w:fill="auto" w:val="clear"/>
        </w:rPr>
        <w:t xml:space="preserve">. Campinas, SP: Papirus, 2002.</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88"/>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NUNES, C A..; SILVA, E. </w:t>
      </w:r>
      <w:r>
        <w:rPr>
          <w:rFonts w:ascii="Times New Roman" w:hAnsi="Times New Roman" w:cs="Times New Roman" w:eastAsia="Times New Roman"/>
          <w:b/>
          <w:color w:val="auto"/>
          <w:spacing w:val="0"/>
          <w:position w:val="0"/>
          <w:sz w:val="24"/>
          <w:shd w:fill="auto" w:val="clear"/>
        </w:rPr>
        <w:t xml:space="preserve">A Educação Sexual da Criança</w:t>
      </w:r>
      <w:r>
        <w:rPr>
          <w:rFonts w:ascii="Times New Roman" w:hAnsi="Times New Roman" w:cs="Times New Roman" w:eastAsia="Times New Roman"/>
          <w:color w:val="auto"/>
          <w:spacing w:val="0"/>
          <w:position w:val="0"/>
          <w:sz w:val="24"/>
          <w:shd w:fill="auto" w:val="clear"/>
        </w:rPr>
        <w:t xml:space="preserve">: Subsídios teóricos e propostas práticas para uma abordagem da sexualidade para além da transversalidade. Campinas, SP: Autores Associados, 2006. </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190"/>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PAIM, M. C. C.; STREY, M. N. </w:t>
      </w:r>
      <w:r>
        <w:rPr>
          <w:rFonts w:ascii="Times New Roman" w:hAnsi="Times New Roman" w:cs="Times New Roman" w:eastAsia="Times New Roman"/>
          <w:b/>
          <w:color w:val="auto"/>
          <w:spacing w:val="0"/>
          <w:position w:val="0"/>
          <w:sz w:val="24"/>
          <w:shd w:fill="auto" w:val="clear"/>
        </w:rPr>
        <w:t xml:space="preserve">Violência no Contexto Esportivo.</w:t>
      </w:r>
      <w:r>
        <w:rPr>
          <w:rFonts w:ascii="Times New Roman" w:hAnsi="Times New Roman" w:cs="Times New Roman" w:eastAsia="Times New Roman"/>
          <w:color w:val="auto"/>
          <w:spacing w:val="0"/>
          <w:position w:val="0"/>
          <w:sz w:val="24"/>
          <w:shd w:fill="auto" w:val="clear"/>
        </w:rPr>
        <w:t xml:space="preserve"> Uma Questão de Gênero? Revista Digital – Buenos Aires, Ano 12, nº108, maio 2007. Disponível em: &lt;</w:t>
      </w:r>
      <w:hyperlink xmlns:r="http://schemas.openxmlformats.org/officeDocument/2006/relationships" r:id="docRId53">
        <w:r>
          <w:rPr>
            <w:rFonts w:ascii="Times New Roman" w:hAnsi="Times New Roman" w:cs="Times New Roman" w:eastAsia="Times New Roman"/>
            <w:color w:val="0000FF"/>
            <w:spacing w:val="0"/>
            <w:position w:val="0"/>
            <w:sz w:val="24"/>
            <w:u w:val="single"/>
            <w:shd w:fill="auto" w:val="clear"/>
          </w:rPr>
          <w:t xml:space="preserve">http://www.efdeoportes.com</w:t>
        </w:r>
      </w:hyperlink>
      <w:r>
        <w:rPr>
          <w:rFonts w:ascii="Times New Roman" w:hAnsi="Times New Roman" w:cs="Times New Roman" w:eastAsia="Times New Roman"/>
          <w:color w:val="auto"/>
          <w:spacing w:val="0"/>
          <w:position w:val="0"/>
          <w:sz w:val="24"/>
          <w:shd w:fill="auto" w:val="clear"/>
        </w:rPr>
        <w:t xml:space="preserve">&gt; Acesso em: 25 ago. 2010.</w:t>
      </w:r>
    </w:p>
    <w:p>
      <w:pPr>
        <w:spacing w:before="0" w:after="0" w:line="240"/>
        <w:ind w:right="0" w:left="709" w:firstLine="0"/>
        <w:jc w:val="both"/>
        <w:rPr>
          <w:rFonts w:ascii="Calibri" w:hAnsi="Calibri" w:cs="Calibri" w:eastAsia="Calibri"/>
          <w:color w:val="auto"/>
          <w:spacing w:val="0"/>
          <w:position w:val="0"/>
          <w:sz w:val="22"/>
          <w:shd w:fill="auto" w:val="clear"/>
        </w:rPr>
      </w:pPr>
    </w:p>
    <w:p>
      <w:pPr>
        <w:numPr>
          <w:ilvl w:val="0"/>
          <w:numId w:val="1192"/>
        </w:numPr>
        <w:tabs>
          <w:tab w:val="left" w:pos="0" w:leader="none"/>
          <w:tab w:val="left" w:pos="142"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PRIORE, M. D. </w:t>
      </w:r>
      <w:r>
        <w:rPr>
          <w:rFonts w:ascii="Times New Roman" w:hAnsi="Times New Roman" w:cs="Times New Roman" w:eastAsia="Times New Roman"/>
          <w:b/>
          <w:color w:val="auto"/>
          <w:spacing w:val="0"/>
          <w:position w:val="0"/>
          <w:sz w:val="24"/>
          <w:shd w:fill="auto" w:val="clear"/>
        </w:rPr>
        <w:t xml:space="preserve">História das mulheres no Brasil.</w:t>
      </w:r>
      <w:r>
        <w:rPr>
          <w:rFonts w:ascii="Times New Roman" w:hAnsi="Times New Roman" w:cs="Times New Roman" w:eastAsia="Times New Roman"/>
          <w:color w:val="auto"/>
          <w:spacing w:val="0"/>
          <w:position w:val="0"/>
          <w:sz w:val="24"/>
          <w:shd w:fill="auto" w:val="clear"/>
        </w:rPr>
        <w:t xml:space="preserve"> 4.ed. São Paulo: Contexto, 2001.</w:t>
      </w:r>
    </w:p>
    <w:p>
      <w:pPr>
        <w:spacing w:before="0" w:after="0" w:line="240"/>
        <w:ind w:right="0" w:left="708" w:firstLine="0"/>
        <w:jc w:val="both"/>
        <w:rPr>
          <w:rFonts w:ascii="Arial" w:hAnsi="Arial" w:cs="Arial" w:eastAsia="Arial"/>
          <w:color w:val="auto"/>
          <w:spacing w:val="0"/>
          <w:position w:val="0"/>
          <w:sz w:val="22"/>
          <w:shd w:fill="auto" w:val="clear"/>
        </w:rPr>
      </w:pPr>
    </w:p>
    <w:p>
      <w:pPr>
        <w:numPr>
          <w:ilvl w:val="0"/>
          <w:numId w:val="1194"/>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REIS, A. P. P. Z.; GOMES, C. </w:t>
      </w:r>
      <w:r>
        <w:rPr>
          <w:rFonts w:ascii="Times New Roman" w:hAnsi="Times New Roman" w:cs="Times New Roman" w:eastAsia="Times New Roman"/>
          <w:b/>
          <w:color w:val="auto"/>
          <w:spacing w:val="0"/>
          <w:position w:val="0"/>
          <w:sz w:val="24"/>
          <w:shd w:fill="auto" w:val="clear"/>
        </w:rPr>
        <w:t xml:space="preserve">A. Violência Simbólica nas Relações de Gênero:</w:t>
      </w:r>
      <w:r>
        <w:rPr>
          <w:rFonts w:ascii="Times New Roman" w:hAnsi="Times New Roman" w:cs="Times New Roman" w:eastAsia="Times New Roman"/>
          <w:color w:val="auto"/>
          <w:spacing w:val="0"/>
          <w:position w:val="0"/>
          <w:sz w:val="24"/>
          <w:shd w:fill="auto" w:val="clear"/>
        </w:rPr>
        <w:t xml:space="preserve"> Práticas Pedagógicas Reprodutoras de Desigualdades. In: IX Congresso Nacional de Educação – EDUCERE. III Encontro Sul Brasileiro de PsicoPedagogia, PUCPR,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196"/>
        </w:numPr>
        <w:tabs>
          <w:tab w:val="left" w:pos="0" w:leader="none"/>
          <w:tab w:val="left" w:pos="142"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ROSEMBERG, F. </w:t>
      </w:r>
      <w:r>
        <w:rPr>
          <w:rFonts w:ascii="Times New Roman" w:hAnsi="Times New Roman" w:cs="Times New Roman" w:eastAsia="Times New Roman"/>
          <w:b/>
          <w:color w:val="auto"/>
          <w:spacing w:val="0"/>
          <w:position w:val="0"/>
          <w:sz w:val="24"/>
          <w:shd w:fill="auto" w:val="clear"/>
        </w:rPr>
        <w:t xml:space="preserve">Caminhos Cruzados:</w:t>
      </w:r>
      <w:r>
        <w:rPr>
          <w:rFonts w:ascii="Times New Roman" w:hAnsi="Times New Roman" w:cs="Times New Roman" w:eastAsia="Times New Roman"/>
          <w:color w:val="auto"/>
          <w:spacing w:val="0"/>
          <w:position w:val="0"/>
          <w:sz w:val="24"/>
          <w:shd w:fill="auto" w:val="clear"/>
        </w:rPr>
        <w:t xml:space="preserve"> Educação e Gênero na Produção Acadêmica.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Educação e Pesquisa,  São Paulo,  v. 27,  n. 1, Junho  2001.   Disponível em: &lt;</w:t>
      </w:r>
      <w:hyperlink xmlns:r="http://schemas.openxmlformats.org/officeDocument/2006/relationships" r:id="docRId54">
        <w:r>
          <w:rPr>
            <w:rFonts w:ascii="Times New Roman" w:hAnsi="Times New Roman" w:cs="Times New Roman" w:eastAsia="Times New Roman"/>
            <w:color w:val="0000FF"/>
            <w:spacing w:val="0"/>
            <w:position w:val="0"/>
            <w:sz w:val="24"/>
            <w:u w:val="single"/>
            <w:shd w:fill="auto" w:val="clear"/>
          </w:rPr>
          <w:t xml:space="preserve">http://www.scielo.br</w:t>
        </w:r>
      </w:hyperlink>
      <w:r>
        <w:rPr>
          <w:rFonts w:ascii="Times New Roman" w:hAnsi="Times New Roman" w:cs="Times New Roman" w:eastAsia="Times New Roman"/>
          <w:color w:val="auto"/>
          <w:spacing w:val="0"/>
          <w:position w:val="0"/>
          <w:sz w:val="24"/>
          <w:shd w:fill="auto" w:val="clear"/>
        </w:rPr>
        <w:t xml:space="preserve">&gt; Acesso em:  29  set.  2010.</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numPr>
          <w:ilvl w:val="0"/>
          <w:numId w:val="1198"/>
        </w:numPr>
        <w:tabs>
          <w:tab w:val="left" w:pos="0" w:leader="none"/>
          <w:tab w:val="left" w:pos="142"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SAFFIOT, H. I. B. </w:t>
      </w:r>
      <w:r>
        <w:rPr>
          <w:rFonts w:ascii="Times New Roman" w:hAnsi="Times New Roman" w:cs="Times New Roman" w:eastAsia="Times New Roman"/>
          <w:b/>
          <w:color w:val="auto"/>
          <w:spacing w:val="0"/>
          <w:position w:val="0"/>
          <w:sz w:val="24"/>
          <w:shd w:fill="auto" w:val="clear"/>
        </w:rPr>
        <w:t xml:space="preserve">Gênero, Patriarcado, Violência</w:t>
      </w:r>
      <w:r>
        <w:rPr>
          <w:rFonts w:ascii="Times New Roman" w:hAnsi="Times New Roman" w:cs="Times New Roman" w:eastAsia="Times New Roman"/>
          <w:color w:val="auto"/>
          <w:spacing w:val="0"/>
          <w:position w:val="0"/>
          <w:sz w:val="24"/>
          <w:shd w:fill="auto" w:val="clear"/>
        </w:rPr>
        <w:t xml:space="preserve">. São Paulo: Editora Fundação Perseu Abramo, 2004. (Coleção Brasil Urgente)</w:t>
      </w:r>
    </w:p>
    <w:p>
      <w:pPr>
        <w:spacing w:before="0" w:after="0" w:line="240"/>
        <w:ind w:right="0" w:left="708" w:firstLine="0"/>
        <w:jc w:val="both"/>
        <w:rPr>
          <w:rFonts w:ascii="Times New Roman" w:hAnsi="Times New Roman" w:cs="Times New Roman" w:eastAsia="Times New Roman"/>
          <w:color w:val="auto"/>
          <w:spacing w:val="0"/>
          <w:position w:val="0"/>
          <w:sz w:val="22"/>
          <w:shd w:fill="auto" w:val="clear"/>
        </w:rPr>
      </w:pPr>
    </w:p>
    <w:p>
      <w:pPr>
        <w:numPr>
          <w:ilvl w:val="0"/>
          <w:numId w:val="1200"/>
        </w:numPr>
        <w:tabs>
          <w:tab w:val="left" w:pos="0" w:leader="none"/>
          <w:tab w:val="left" w:pos="142"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C.; BRUNS, M. A. T. </w:t>
      </w:r>
      <w:r>
        <w:rPr>
          <w:rFonts w:ascii="Times New Roman" w:hAnsi="Times New Roman" w:cs="Times New Roman" w:eastAsia="Times New Roman"/>
          <w:b/>
          <w:color w:val="auto"/>
          <w:spacing w:val="0"/>
          <w:position w:val="0"/>
          <w:sz w:val="24"/>
          <w:shd w:fill="auto" w:val="clear"/>
        </w:rPr>
        <w:t xml:space="preserve">A Educação Sexual Pede Espaço:</w:t>
      </w:r>
      <w:r>
        <w:rPr>
          <w:rFonts w:ascii="Times New Roman" w:hAnsi="Times New Roman" w:cs="Times New Roman" w:eastAsia="Times New Roman"/>
          <w:color w:val="auto"/>
          <w:spacing w:val="0"/>
          <w:position w:val="0"/>
          <w:sz w:val="24"/>
          <w:shd w:fill="auto" w:val="clear"/>
        </w:rPr>
        <w:t xml:space="preserve"> Novos Horizontes para a Práxis Pedagógica. São Paulo: Ômega Editora, 2000.</w:t>
      </w:r>
    </w:p>
    <w:p>
      <w:pPr>
        <w:spacing w:before="0" w:after="0" w:line="240"/>
        <w:ind w:right="0" w:left="708" w:firstLine="0"/>
        <w:jc w:val="both"/>
        <w:rPr>
          <w:rFonts w:ascii="Calibri" w:hAnsi="Calibri" w:cs="Calibri" w:eastAsia="Calibri"/>
          <w:color w:val="auto"/>
          <w:spacing w:val="0"/>
          <w:position w:val="0"/>
          <w:sz w:val="22"/>
          <w:shd w:fill="auto" w:val="clear"/>
        </w:rPr>
      </w:pPr>
    </w:p>
    <w:p>
      <w:pPr>
        <w:numPr>
          <w:ilvl w:val="0"/>
          <w:numId w:val="1202"/>
        </w:numPr>
        <w:spacing w:before="0" w:after="0" w:line="240"/>
        <w:ind w:right="0" w:left="567" w:hanging="567"/>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SILVA, C. </w:t>
      </w:r>
      <w:r>
        <w:rPr>
          <w:rFonts w:ascii="Times New Roman" w:hAnsi="Times New Roman" w:cs="Times New Roman" w:eastAsia="Times New Roman"/>
          <w:b/>
          <w:color w:val="auto"/>
          <w:spacing w:val="0"/>
          <w:position w:val="0"/>
          <w:sz w:val="24"/>
          <w:shd w:fill="auto" w:val="clear"/>
        </w:rPr>
        <w:t xml:space="preserve">Formação Profissional, Estágio e Gênero: </w:t>
      </w:r>
      <w:r>
        <w:rPr>
          <w:rFonts w:ascii="Times New Roman" w:hAnsi="Times New Roman" w:cs="Times New Roman" w:eastAsia="Times New Roman"/>
          <w:color w:val="auto"/>
          <w:spacing w:val="0"/>
          <w:position w:val="0"/>
          <w:sz w:val="24"/>
          <w:shd w:fill="auto" w:val="clear"/>
        </w:rPr>
        <w:t xml:space="preserve">Aspectos da Questão.</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Questões de gênero e educação ST. 58. Disponível em: &lt;</w:t>
      </w:r>
      <w:r>
        <w:rPr>
          <w:rFonts w:ascii="Calibri" w:hAnsi="Calibri" w:cs="Calibri" w:eastAsia="Calibri"/>
          <w:color w:val="auto"/>
          <w:spacing w:val="0"/>
          <w:position w:val="0"/>
          <w:sz w:val="22"/>
          <w:shd w:fill="auto" w:val="clear"/>
        </w:rPr>
        <w:t xml:space="preserve"> </w:t>
      </w:r>
      <w:hyperlink xmlns:r="http://schemas.openxmlformats.org/officeDocument/2006/relationships" r:id="docRId55">
        <w:r>
          <w:rPr>
            <w:rFonts w:ascii="Times New Roman" w:hAnsi="Times New Roman" w:cs="Times New Roman" w:eastAsia="Times New Roman"/>
            <w:color w:val="0000FF"/>
            <w:spacing w:val="0"/>
            <w:position w:val="0"/>
            <w:sz w:val="24"/>
            <w:u w:val="single"/>
            <w:shd w:fill="auto" w:val="clear"/>
          </w:rPr>
          <w:t xml:space="preserve">http://www.fazendogenero7.ufsc.br</w:t>
        </w:r>
      </w:hyperlink>
      <w:r>
        <w:rPr>
          <w:rFonts w:ascii="Times New Roman" w:hAnsi="Times New Roman" w:cs="Times New Roman" w:eastAsia="Times New Roman"/>
          <w:color w:val="auto"/>
          <w:spacing w:val="0"/>
          <w:position w:val="0"/>
          <w:sz w:val="24"/>
          <w:shd w:fill="auto" w:val="clear"/>
        </w:rPr>
        <w:t xml:space="preserve">&gt;  Acesso em: 29 set. 2010.</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numPr>
          <w:ilvl w:val="0"/>
          <w:numId w:val="1204"/>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SOARES, R. </w:t>
      </w:r>
      <w:r>
        <w:rPr>
          <w:rFonts w:ascii="Times New Roman" w:hAnsi="Times New Roman" w:cs="Times New Roman" w:eastAsia="Times New Roman"/>
          <w:b/>
          <w:color w:val="auto"/>
          <w:spacing w:val="0"/>
          <w:position w:val="0"/>
          <w:sz w:val="24"/>
          <w:shd w:fill="auto" w:val="clear"/>
        </w:rPr>
        <w:t xml:space="preserve">Pedagogias Culturais Produzindo Identidades.</w:t>
      </w:r>
      <w:r>
        <w:rPr>
          <w:rFonts w:ascii="Times New Roman" w:hAnsi="Times New Roman" w:cs="Times New Roman" w:eastAsia="Times New Roman"/>
          <w:color w:val="auto"/>
          <w:spacing w:val="0"/>
          <w:position w:val="0"/>
          <w:sz w:val="24"/>
          <w:shd w:fill="auto" w:val="clear"/>
        </w:rPr>
        <w:t xml:space="preserve"> In: Educação para a Igualdade de Gênero. TV Escola. Salto para o Futuro. Secretaria de Educação a Distância. Ministério da Educação. Proposta Pedagógica. Ano XVIII – Boletim, 26 – Nov. 2008.</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numPr>
          <w:ilvl w:val="0"/>
          <w:numId w:val="1206"/>
        </w:numPr>
        <w:spacing w:before="0" w:after="0" w:line="240"/>
        <w:ind w:right="0" w:left="567" w:hanging="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SOIHET, R. </w:t>
      </w:r>
      <w:r>
        <w:rPr>
          <w:rFonts w:ascii="Times New Roman" w:hAnsi="Times New Roman" w:cs="Times New Roman" w:eastAsia="Times New Roman"/>
          <w:b/>
          <w:color w:val="000000"/>
          <w:spacing w:val="0"/>
          <w:position w:val="0"/>
          <w:sz w:val="24"/>
          <w:shd w:fill="auto" w:val="clear"/>
        </w:rPr>
        <w:t xml:space="preserve">História, Mulheres, Gênero:</w:t>
      </w:r>
      <w:r>
        <w:rPr>
          <w:rFonts w:ascii="Times New Roman" w:hAnsi="Times New Roman" w:cs="Times New Roman" w:eastAsia="Times New Roman"/>
          <w:color w:val="000000"/>
          <w:spacing w:val="0"/>
          <w:position w:val="0"/>
          <w:sz w:val="24"/>
          <w:shd w:fill="auto" w:val="clear"/>
        </w:rPr>
        <w:t xml:space="preserve"> Contribuições para um Debate. In: AGUIAR, N. (Org.) Gênero e Ciências Humanas: Desafio às Ciências desde a Perspectiva das Mulheres. Rio de Janeiro: Record/Rosas dos Tempos, 1997.</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1208"/>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 </w:t>
      </w:r>
      <w:r>
        <w:rPr>
          <w:rFonts w:ascii="Times New Roman" w:hAnsi="Times New Roman" w:cs="Times New Roman" w:eastAsia="Times New Roman"/>
          <w:b/>
          <w:color w:val="auto"/>
          <w:spacing w:val="0"/>
          <w:position w:val="0"/>
          <w:sz w:val="24"/>
          <w:shd w:fill="auto" w:val="clear"/>
        </w:rPr>
        <w:t xml:space="preserve">Gênero:</w:t>
      </w:r>
      <w:r>
        <w:rPr>
          <w:rFonts w:ascii="Times New Roman" w:hAnsi="Times New Roman" w:cs="Times New Roman" w:eastAsia="Times New Roman"/>
          <w:color w:val="auto"/>
          <w:spacing w:val="0"/>
          <w:position w:val="0"/>
          <w:sz w:val="24"/>
          <w:shd w:fill="auto" w:val="clear"/>
        </w:rPr>
        <w:t xml:space="preserve"> Uma Cateogria Útil de Análise Histórica. Revista Educação &amp; Realidade. Porto Alegre: v. 2, n. 20, p.71-99, Jul/Dez, 1995.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210"/>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STEINBERG, S.; KINCHELOE, J. (Orgs.). </w:t>
      </w:r>
      <w:r>
        <w:rPr>
          <w:rFonts w:ascii="Times New Roman" w:hAnsi="Times New Roman" w:cs="Times New Roman" w:eastAsia="Times New Roman"/>
          <w:b/>
          <w:color w:val="auto"/>
          <w:spacing w:val="0"/>
          <w:position w:val="0"/>
          <w:sz w:val="24"/>
          <w:shd w:fill="auto" w:val="clear"/>
        </w:rPr>
        <w:t xml:space="preserve">Cultura infantil</w:t>
      </w:r>
      <w:r>
        <w:rPr>
          <w:rFonts w:ascii="Times New Roman" w:hAnsi="Times New Roman" w:cs="Times New Roman" w:eastAsia="Times New Roman"/>
          <w:i/>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A Construção Corporativa da Infância. Rio de Janeiro: Civilização Brasileira, 2001.</w:t>
      </w: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numPr>
          <w:ilvl w:val="0"/>
          <w:numId w:val="1212"/>
        </w:numPr>
        <w:spacing w:before="0" w:after="0" w:line="240"/>
        <w:ind w:right="0" w:left="567" w:hanging="567"/>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UNESCO. </w:t>
      </w:r>
      <w:r>
        <w:rPr>
          <w:rFonts w:ascii="Times New Roman" w:hAnsi="Times New Roman" w:cs="Times New Roman" w:eastAsia="Times New Roman"/>
          <w:b/>
          <w:color w:val="auto"/>
          <w:spacing w:val="0"/>
          <w:position w:val="0"/>
          <w:sz w:val="24"/>
          <w:shd w:fill="auto" w:val="clear"/>
        </w:rPr>
        <w:t xml:space="preserve">Educação para Todos:</w:t>
      </w:r>
      <w:r>
        <w:rPr>
          <w:rFonts w:ascii="Times New Roman" w:hAnsi="Times New Roman" w:cs="Times New Roman" w:eastAsia="Times New Roman"/>
          <w:color w:val="auto"/>
          <w:spacing w:val="0"/>
          <w:position w:val="0"/>
          <w:sz w:val="24"/>
          <w:shd w:fill="auto" w:val="clear"/>
        </w:rPr>
        <w:t xml:space="preserve"> Gênero e Educação para Todos.</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O salto para a Igualdade. </w:t>
      </w:r>
      <w:r>
        <w:rPr>
          <w:rFonts w:ascii="Times New Roman" w:hAnsi="Times New Roman" w:cs="Times New Roman" w:eastAsia="Times New Roman"/>
          <w:b/>
          <w:color w:val="auto"/>
          <w:spacing w:val="0"/>
          <w:position w:val="0"/>
          <w:sz w:val="24"/>
          <w:shd w:fill="auto" w:val="clear"/>
        </w:rPr>
        <w:t xml:space="preserve">Relatório global de EPT 2003/2004.</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 Paulo: Moderna, 2004.</w:t>
      </w:r>
    </w:p>
    <w:p>
      <w:p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p>
    <w:p>
      <w:pPr>
        <w:numPr>
          <w:ilvl w:val="0"/>
          <w:numId w:val="1214"/>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VIANNA, C. </w:t>
      </w:r>
      <w:r>
        <w:rPr>
          <w:rFonts w:ascii="Times New Roman" w:hAnsi="Times New Roman" w:cs="Times New Roman" w:eastAsia="Times New Roman"/>
          <w:b/>
          <w:color w:val="auto"/>
          <w:spacing w:val="0"/>
          <w:position w:val="0"/>
          <w:sz w:val="24"/>
          <w:shd w:fill="auto" w:val="clear"/>
        </w:rPr>
        <w:t xml:space="preserve">Sexo e Gênero:</w:t>
      </w:r>
      <w:r>
        <w:rPr>
          <w:rFonts w:ascii="Times New Roman" w:hAnsi="Times New Roman" w:cs="Times New Roman" w:eastAsia="Times New Roman"/>
          <w:color w:val="auto"/>
          <w:spacing w:val="0"/>
          <w:position w:val="0"/>
          <w:sz w:val="24"/>
          <w:shd w:fill="auto" w:val="clear"/>
        </w:rPr>
        <w:t xml:space="preserve"> Masculino e Feminino na Qualidade da Educação Escolar. In: AQUINO, J. G. (Org.) Sexualidade na Escola. Alternativas Teóricas e Práticas. São Paulo: Summus, 1997. </w:t>
      </w:r>
    </w:p>
    <w:p>
      <w:pPr>
        <w:spacing w:before="0" w:after="0" w:line="240"/>
        <w:ind w:right="0" w:left="708" w:firstLine="0"/>
        <w:jc w:val="both"/>
        <w:rPr>
          <w:rFonts w:ascii="Times New Roman" w:hAnsi="Times New Roman" w:cs="Times New Roman" w:eastAsia="Times New Roman"/>
          <w:color w:val="auto"/>
          <w:spacing w:val="0"/>
          <w:position w:val="0"/>
          <w:sz w:val="22"/>
          <w:shd w:fill="auto" w:val="clear"/>
        </w:rPr>
      </w:pPr>
    </w:p>
    <w:p>
      <w:pPr>
        <w:numPr>
          <w:ilvl w:val="0"/>
          <w:numId w:val="1216"/>
        </w:numPr>
        <w:tabs>
          <w:tab w:val="left" w:pos="0" w:leader="none"/>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WHITELAW, S. </w:t>
      </w:r>
      <w:r>
        <w:rPr>
          <w:rFonts w:ascii="Times New Roman" w:hAnsi="Times New Roman" w:cs="Times New Roman" w:eastAsia="Times New Roman"/>
          <w:b/>
          <w:color w:val="auto"/>
          <w:spacing w:val="0"/>
          <w:position w:val="0"/>
          <w:sz w:val="24"/>
          <w:shd w:fill="auto" w:val="clear"/>
        </w:rPr>
        <w:t xml:space="preserve">Questões de Gênero e Eqüidade na Formação Docente</w:t>
      </w:r>
      <w:r>
        <w:rPr>
          <w:rFonts w:ascii="Times New Roman" w:hAnsi="Times New Roman" w:cs="Times New Roman" w:eastAsia="Times New Roman"/>
          <w:color w:val="auto"/>
          <w:spacing w:val="0"/>
          <w:position w:val="0"/>
          <w:sz w:val="24"/>
          <w:shd w:fill="auto" w:val="clear"/>
        </w:rPr>
        <w:t xml:space="preserve">. In: CARVALHO, M. E. e PEREIRA, M. Z. C. (Org.). Gênero e Educação: Múltiplas faces. João Pessoa: Editora Universitária/UFPB, 2003</w:t>
      </w:r>
      <w:r>
        <w:rPr>
          <w:rFonts w:ascii="Times New Roman" w:hAnsi="Times New Roman" w:cs="Times New Roman" w:eastAsia="Times New Roman"/>
          <w:color w:val="003333"/>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 CONSTRUÇÃO DAS IDENTIDADES FEMININAS NA LITERATURA INFANTIL</w:t>
      </w:r>
    </w:p>
    <w:p>
      <w:pPr>
        <w:spacing w:before="0" w:after="200" w:line="276"/>
        <w:ind w:right="0" w:left="0" w:firstLine="709"/>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Ângela Márcia Damasceno Teixeira Barbosa</w:t>
      </w:r>
    </w:p>
    <w:p>
      <w:pPr>
        <w:spacing w:before="0" w:after="200" w:line="276"/>
        <w:ind w:right="0" w:left="0" w:firstLine="709"/>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Universidade do Estado da Bahia</w:t>
      </w:r>
    </w:p>
    <w:p>
      <w:pPr>
        <w:spacing w:before="0" w:after="200" w:line="276"/>
        <w:ind w:right="0" w:left="0" w:firstLine="709"/>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Orientador: Sílvio Roberto dos Santos Oliveira</w:t>
      </w:r>
    </w:p>
    <w:p>
      <w:pPr>
        <w:spacing w:before="0" w:after="200" w:line="36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CONSIDERAÇÕES INICIAIS</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mulheres são temas de diversos estudos no mundo inteiro. E um dos pontos que suscita mais debates e discussões são os papéis sociais destinados às mulheres. Esses papéis destinados às mulheres, como também aos homens, são socialmente construídos e diferenciados, e implicam em assumir responsabilidades que lhes são atribuídas pela sociedade.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Por muito tempo</w:t>
      </w:r>
      <w:r>
        <w:rPr>
          <w:rFonts w:ascii="Calibri" w:hAnsi="Calibri" w:cs="Calibri" w:eastAsia="Calibri"/>
          <w:color w:val="FF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a mulher, assumiu o papel de “sexo frágil”, emotiva, dependente, instintivamente maternal e esposa dedicada ao marido e aos filhos. Esposa que também deveria ser seguidora dos costumes que regulavam o comportamento delas em sociedade. Nesse contexto quando solteira passava o tempo (ou deveria passar) aprendendo a bordar, costurar, cozinhar, dentre outras atividades aprendidas, quase sempre, com a finalidade de arranjar um bom esposo. A mulher parecia não realizar mais nada ou, pelo menos, deveria se concentrar nessas atividades. Elas se preocupavam com o casamento e os pais buscavam acordos com outras famílias e, nessas conversas, noivos e noivas eram escolhidos, na maioria das vezes, por interesses políticos ou financeiros. Entretanto, essa realidade parece não mais traduzir de forma integral a situação da mulher na sociedade.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 século XXI, elas ocupam funções e papéis sociais bem distintos. Numerosas transformações ocorridas no campo dos costumes e da vida privada comprovam essas mudanças: os casamentos acontecem sem a intromissão dos pais, discute-se sobre a divisão de tarefas entre homens e mulheres, casa-se por amor, as feministas defendem o respeito e os desejos de liberação da classe, várias profissões, antes destinadas aos homens, agora são ocupadas por mulheres e algumas destas não veem mais o casamento como ideal de felicidade.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contrapartida, existem estudos que afirmam que as mulheres possuem a necessidade de proteção e querem ser cuidadas, como a tese da pesquisadora Colette Dowling denominada </w:t>
      </w:r>
      <w:r>
        <w:rPr>
          <w:rFonts w:ascii="Calibri" w:hAnsi="Calibri" w:cs="Calibri" w:eastAsia="Calibri"/>
          <w:i/>
          <w:color w:val="auto"/>
          <w:spacing w:val="0"/>
          <w:position w:val="0"/>
          <w:sz w:val="22"/>
          <w:shd w:fill="auto" w:val="clear"/>
        </w:rPr>
        <w:t xml:space="preserve">Complexo de Cinderela</w:t>
      </w:r>
      <w:r>
        <w:rPr>
          <w:rFonts w:ascii="Calibri" w:hAnsi="Calibri" w:cs="Calibri" w:eastAsia="Calibri"/>
          <w:color w:val="auto"/>
          <w:spacing w:val="0"/>
          <w:position w:val="0"/>
          <w:sz w:val="22"/>
          <w:shd w:fill="auto" w:val="clear"/>
        </w:rPr>
        <w:t xml:space="preserve">. Em sua tese a autora aborda um fenômeno que estaria profundamente “enraizado” nas mulheres: o desejo psicológico de serem cuidadas por alguém, de serem salvas, que se apresenta como um sistema de vontades reprimidas, memórias e atitudes distorcidas que tem início na infância, na crença da menina de que sempre haverá outra pessoa mais forte a sustentá-la e protegê-la. Esta crença, na maioria das vezes, é alimentada e com o tempo se solidifica, “seguindo” a mulher em sua vida adulta e resultando em dependência, realizações e/ou descontentamentos.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Dessa forma, pode-se observar que, na contemporaneidade, muita coisa mudou e outras permanecem bastante semelhantes ao que a sociedade considerava o papel social do “sexo frágil”. Nesse movimento de emancipação ou dependência das mulheres, deparamo-nos com a busca por reconhecimento de uma identidade feminina, através do tempo, nas diversas sociedades.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Paralelo a isso, autores criaram obras literárias protagonizadas por mulheres que colocaram em prática antigas e novas posturas diante do vivido. Vale dizer que o entendimento da literatura a ser desenvolvido nesse estudo é o de linguagem influenciada e influenciadora da história e das mudanças sociais. O texto literário traduz visões de mundo e intencionalidades do autor e</w:t>
      </w:r>
      <w:r>
        <w:rPr>
          <w:rFonts w:ascii="Calibri" w:hAnsi="Calibri" w:cs="Calibri" w:eastAsia="Calibri"/>
          <w:color w:val="0000FF"/>
          <w:spacing w:val="0"/>
          <w:position w:val="0"/>
          <w:sz w:val="22"/>
          <w:shd w:fill="auto" w:val="clear"/>
        </w:rPr>
        <w:t xml:space="preserve">,</w:t>
      </w:r>
      <w:r>
        <w:rPr>
          <w:rFonts w:ascii="Calibri" w:hAnsi="Calibri" w:cs="Calibri" w:eastAsia="Calibri"/>
          <w:color w:val="auto"/>
          <w:spacing w:val="0"/>
          <w:position w:val="0"/>
          <w:sz w:val="22"/>
          <w:shd w:fill="auto" w:val="clear"/>
        </w:rPr>
        <w:t xml:space="preserve"> consequentemente, pode influenciar a visão de mundo do leitor e despertar seu senso crítico através das situações vividas por seus personagens. Podemos citar, como exemplo de personagens em</w:t>
      </w:r>
      <w:r>
        <w:rPr>
          <w:rFonts w:ascii="Calibri" w:hAnsi="Calibri" w:cs="Calibri" w:eastAsia="Calibri"/>
          <w:color w:val="FF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obras que podem mudar ou cristalizar crenças a respeito da função destinada às mulheres, a postura das princesas das histórias de Charles Perrault e dos Irmãos Grimm: as meninas ou mulheres protagonistas pareciam esperar que um príncipe “encantado” viesse para salvá-las e protegê-las de todos os perigos, postura que ilustra o “Complexo de Cinderela”. Avistamos o contrário também em contos desses três autores, por exemplo, na versão do conto </w:t>
      </w:r>
      <w:r>
        <w:rPr>
          <w:rFonts w:ascii="Calibri" w:hAnsi="Calibri" w:cs="Calibri" w:eastAsia="Calibri"/>
          <w:i/>
          <w:color w:val="auto"/>
          <w:spacing w:val="0"/>
          <w:position w:val="0"/>
          <w:sz w:val="22"/>
          <w:shd w:fill="auto" w:val="clear"/>
        </w:rPr>
        <w:t xml:space="preserve">A Dama e o Leão</w:t>
      </w:r>
      <w:r>
        <w:rPr>
          <w:rFonts w:ascii="Calibri" w:hAnsi="Calibri" w:cs="Calibri" w:eastAsia="Calibri"/>
          <w:color w:val="auto"/>
          <w:spacing w:val="0"/>
          <w:position w:val="0"/>
          <w:sz w:val="22"/>
          <w:shd w:fill="auto" w:val="clear"/>
        </w:rPr>
        <w:t xml:space="preserve">, dos Irmãos Grimm</w:t>
      </w:r>
      <w:r>
        <w:rPr>
          <w:rFonts w:ascii="Calibri" w:hAnsi="Calibri" w:cs="Calibri" w:eastAsia="Calibri"/>
          <w:color w:val="0000FF"/>
          <w:spacing w:val="0"/>
          <w:position w:val="0"/>
          <w:sz w:val="22"/>
          <w:shd w:fill="auto" w:val="clear"/>
        </w:rPr>
        <w:t xml:space="preserve">,</w:t>
      </w:r>
      <w:r>
        <w:rPr>
          <w:rFonts w:ascii="Calibri" w:hAnsi="Calibri" w:cs="Calibri" w:eastAsia="Calibri"/>
          <w:color w:val="auto"/>
          <w:spacing w:val="0"/>
          <w:position w:val="0"/>
          <w:sz w:val="22"/>
          <w:shd w:fill="auto" w:val="clear"/>
        </w:rPr>
        <w:t xml:space="preserve"> no qual a protagonista mostra uma força e coragem, características tidas como atributos exclusivos dos homens.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 Brasil, na literatura dita para “adultos”, os leitores encontram Iracemas, Virgílias, Aurélias; entretanto, não sabíamos o que poderíamos descobrir através da leitura de obras infanto-juvenis contemporâneas escritas por autores brasileiros. O assunto provocou-nos alguns questionamentos, tais como: Qual será o papel social da mulher nessas obras escritas, a princípio, para um público infantil? Haverá diferença nas atitudes das protagonistas das obras de Charles Perrault e dos Irmãos Grimm quando compararmos com as protagonistas de intertextos desses contos escritos por autores brasileiros? Quais funções sociais estão destinadas à mulher em obras de escritoras e escritores no nosso país? A vontade de tentar responder a essas perguntas nos motivou à pesquisa. Dessa maneira, este artigo tem por objetivo principal apresentar um estudo sobre as funções sociais destinadas à figura feminina, presentes nas narrativas infantis contemporâneas produzidas por escritoras e escritores brasileiros, entendendo a relevância desses textos na identificação/construção de novas proposições identitárias para as mulheres na sociedade.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Diante do exposto, levantamos algumas hipóteses: acreditamos que as obras escritas por escritoras possuem personagens femininas independentes, fortes e corajosas e nas obras produzidas por escritores as mulheres ainda são descritas como dependentes, submissas, sensíveis e frágeis; alguns intertextos, escritos por autores brasileiros que são objetos de estudo desta dissertação, rememoram personagens femininas das obras de Charles Perrault e dos Irmãos Grimm, mas elas não possuem as mesmas funções sociais das versões europeias. </w:t>
      </w:r>
    </w:p>
    <w:p>
      <w:pPr>
        <w:spacing w:before="0" w:after="200" w:line="360"/>
        <w:ind w:right="0" w:left="0" w:firstLine="708"/>
        <w:jc w:val="both"/>
        <w:rPr>
          <w:rFonts w:ascii="Calibri" w:hAnsi="Calibri" w:cs="Calibri" w:eastAsia="Calibri"/>
          <w:color w:val="auto"/>
          <w:spacing w:val="0"/>
          <w:position w:val="0"/>
          <w:sz w:val="22"/>
          <w:shd w:fill="auto" w:val="clear"/>
        </w:rPr>
      </w:pP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 nosso corpus é constituído por algumas obras da literatura infantil editadas no Brasil nos últimos anos. E para poder colocar em prática a análise comparativa escolhemos obras de um escritor e uma escritora. São elas: </w:t>
      </w:r>
      <w:r>
        <w:rPr>
          <w:rFonts w:ascii="Calibri" w:hAnsi="Calibri" w:cs="Calibri" w:eastAsia="Calibri"/>
          <w:i/>
          <w:color w:val="auto"/>
          <w:spacing w:val="0"/>
          <w:position w:val="0"/>
          <w:sz w:val="22"/>
          <w:shd w:fill="auto" w:val="clear"/>
        </w:rPr>
        <w:t xml:space="preserve">O fantástico mistério de Feiurinha</w:t>
      </w:r>
      <w:r>
        <w:rPr>
          <w:rFonts w:ascii="Calibri" w:hAnsi="Calibri" w:cs="Calibri" w:eastAsia="Calibri"/>
          <w:color w:val="auto"/>
          <w:spacing w:val="0"/>
          <w:position w:val="0"/>
          <w:sz w:val="22"/>
          <w:shd w:fill="auto" w:val="clear"/>
        </w:rPr>
        <w:t xml:space="preserve">, de Pedro Bandeira e </w:t>
      </w:r>
      <w:r>
        <w:rPr>
          <w:rFonts w:ascii="Calibri" w:hAnsi="Calibri" w:cs="Calibri" w:eastAsia="Calibri"/>
          <w:i/>
          <w:color w:val="auto"/>
          <w:spacing w:val="0"/>
          <w:position w:val="0"/>
          <w:sz w:val="22"/>
          <w:shd w:fill="auto" w:val="clear"/>
        </w:rPr>
        <w:t xml:space="preserve">Mulheres de Coragem</w:t>
      </w:r>
      <w:r>
        <w:rPr>
          <w:rFonts w:ascii="Calibri" w:hAnsi="Calibri" w:cs="Calibri" w:eastAsia="Calibri"/>
          <w:color w:val="auto"/>
          <w:spacing w:val="0"/>
          <w:position w:val="0"/>
          <w:sz w:val="22"/>
          <w:shd w:fill="auto" w:val="clear"/>
        </w:rPr>
        <w:t xml:space="preserve">, de Ruth Rocha. A metodologia utilizada consiste em uma análise descritiva e conceitual fundamentada em estudos teóricos e pesquisas sobre a revisitação dos contos infantis numa perspectiva cultural, comparativista e intertextual.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Num segundo momento da pesquisa, fizemos uma análise das duas obras supracitadas. A análise foi feita com o objetivo de averiguar quais funções sociais são atribuídas às personagens femininas criadas por eles.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escolha de obras da literatura infantil foi feita por acreditar que a leitura das histórias infanto-juvenis permite à criança a possibilidade de estabelecer um contato, de forma reflexiva, com situações que retratam papéis sociais destinados à mulher na sociedade. Histórias que, na quase totalidade dos casos, são produzidas por adultos que estão transmitindo, consciente ou inconscientemente, valores e tipos de comportamento que poderão ser assimilados pelos pequenos receptores, por estarem em fase de formação ou como leitores críticos as crianças e jovens podem não assimilar, mas desconstruir preconceitos existentes e denunciados ou reproduzidos pelos escritores.</w:t>
      </w:r>
    </w:p>
    <w:tbl>
      <w:tblPr/>
      <w:tblGrid>
        <w:gridCol w:w="2484"/>
        <w:gridCol w:w="6802"/>
      </w:tblGrid>
      <w:tr>
        <w:trPr>
          <w:trHeight w:val="1" w:hRule="atLeast"/>
          <w:jc w:val="left"/>
        </w:trPr>
        <w:tc>
          <w:tcPr>
            <w:tcW w:w="248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spacing w:val="0"/>
                <w:position w:val="0"/>
                <w:sz w:val="22"/>
                <w:shd w:fill="auto" w:val="clear"/>
              </w:rPr>
            </w:pPr>
            <w:r>
              <w:rPr>
                <w:rFonts w:ascii="Calibri" w:hAnsi="Calibri" w:cs="Calibri" w:eastAsia="Calibri"/>
                <w:b/>
                <w:color w:val="000000"/>
                <w:spacing w:val="0"/>
                <w:position w:val="0"/>
                <w:sz w:val="22"/>
                <w:shd w:fill="auto" w:val="clear"/>
              </w:rPr>
              <w:t xml:space="preserve">REPRESENTAÇÕES</w:t>
            </w:r>
          </w:p>
        </w:tc>
        <w:tc>
          <w:tcPr>
            <w:tcW w:w="680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spacing w:val="0"/>
                <w:position w:val="0"/>
                <w:sz w:val="22"/>
                <w:shd w:fill="auto" w:val="clear"/>
              </w:rPr>
            </w:pPr>
            <w:r>
              <w:rPr>
                <w:rFonts w:ascii="Calibri" w:hAnsi="Calibri" w:cs="Calibri" w:eastAsia="Calibri"/>
                <w:b/>
                <w:color w:val="000000"/>
                <w:spacing w:val="0"/>
                <w:position w:val="0"/>
                <w:sz w:val="22"/>
                <w:shd w:fill="auto" w:val="clear"/>
              </w:rPr>
              <w:t xml:space="preserve">IDENTITÁRIAS FEMININAS NA LITERATURA INFANTIL</w:t>
            </w:r>
          </w:p>
        </w:tc>
      </w:tr>
    </w:tbl>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 identidade tem se destacado como uma questão central nas discussões contemporâneas, </w:t>
      </w:r>
      <w:r>
        <w:rPr>
          <w:rFonts w:ascii="Calibri" w:hAnsi="Calibri" w:cs="Calibri" w:eastAsia="Calibri"/>
          <w:color w:val="auto"/>
          <w:spacing w:val="0"/>
          <w:position w:val="0"/>
          <w:sz w:val="22"/>
          <w:shd w:fill="auto" w:val="clear"/>
        </w:rPr>
        <w:t xml:space="preserve">tempo de reconstruções globais das configurações identitárias e culturais.</w:t>
      </w:r>
      <w:r>
        <w:rPr>
          <w:rFonts w:ascii="Calibri" w:hAnsi="Calibri" w:cs="Calibri" w:eastAsia="Calibri"/>
          <w:color w:val="000000"/>
          <w:spacing w:val="0"/>
          <w:position w:val="0"/>
          <w:sz w:val="22"/>
          <w:shd w:fill="auto" w:val="clear"/>
        </w:rPr>
        <w:t xml:space="preserve"> Segundo Hall (2005, p. 07), isso vem acontecendo porque “[...] as velhas identidades, que por tanto tempo estabilizaram o mundo social, estão em declínio, fazendo surgir novas identidades [...]”. Indivíduos que compartilham sua cultura e princípios de visão comum, que se unem em comunidades, formam grupos que cultivam valores e interesses e que enfim identificam-se, povoam a sociedade contemporânea. As possibilidades de identificação são inúmeras, podendo o indivíduo ter identidade, pessoal, coletiva, profissional, de classe, de gênero, entre outras. Hall também define as identidades culturais como sendo “[...] aqueles aspectos de nossas identidades que surgem de nosso ‘pertencimento’ a culturas étnicas, raciais, linguísticas, religiosas e, acima de tudo, nacionais. [...]” (HALL, 2005, p. 08). E complementa:</w:t>
      </w:r>
    </w:p>
    <w:p>
      <w:pPr>
        <w:spacing w:before="0" w:after="200" w:line="276"/>
        <w:ind w:right="0" w:left="2268" w:firstLine="0"/>
        <w:jc w:val="both"/>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 Um tipo diferente de mudança estrutural está transformando as sociedades modernas no final do século XX. Isso está fragmentando as paisagens culturais de classe, gênero, sexualidade, etnia, raça e nacionalidade, que no passado, nos tinham fornecido sólidas localizações como indivíduos sociais. Estas transformações estão também mudando nossas identidades pessoais [...] (HALL, 2005, p. 09).</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Chartier (1990, p. 23) também aborda o assunto. Para ele, a representação permite articular três modalidades na relação com o mundo social. São elas:</w:t>
      </w:r>
    </w:p>
    <w:p>
      <w:pPr>
        <w:spacing w:before="0" w:after="200" w:line="360"/>
        <w:ind w:right="0" w:left="0" w:firstLine="708"/>
        <w:jc w:val="both"/>
        <w:rPr>
          <w:rFonts w:ascii="Calibri" w:hAnsi="Calibri" w:cs="Calibri" w:eastAsia="Calibri"/>
          <w:color w:val="000000"/>
          <w:spacing w:val="0"/>
          <w:position w:val="0"/>
          <w:sz w:val="22"/>
          <w:shd w:fill="auto" w:val="clear"/>
        </w:rPr>
      </w:pPr>
    </w:p>
    <w:p>
      <w:pPr>
        <w:spacing w:before="0" w:after="200" w:line="276"/>
        <w:ind w:right="0" w:left="2268" w:firstLine="0"/>
        <w:jc w:val="both"/>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 em primeiro lugar, o trabalho de classificação e de delimitação que produz as configurações intelectuais múltiplas, através das quais a realidade é contraditoriamente construída pelos diferentes grupos; seguidamente, as práticas que visam fazer reconhecer uma identidade social, exibir uma maneira própria de estar no mundo, significar simbolicamente um estatuto e uma posição; por fim, as formas institucionalizadas e objetivadas graças às quais uns “representantes” (instâncias coletivas ou pessoas singulares) marcam de forma visível e perpetuada a existência do grupo, da classe ou da comunidade. [...] (CHARTIER, 1990, p. 23). </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Se a questão da construção da identidade envolve o “tornar-se”, homens e mulheres estão a todo o momento mudando a sua posição na sociedade e na literatura, construindo novas identidades. Dessa forma, elas são marcadas pela diferença e pelas similaridades. De certa maneira, essas pesquisas reafirmam o pensamento de Bourdieu (1989), pois a ideia que o indivíduo possui de si está diretamente ligada ao que constitui o “nós”, por oposição a “eles” e aos “outros”. Os homens, por exemplo, tendem a construir posições sociais para as mulheres tomando a si próprios como ponto de referência e o contrário também é verdadeiro, isto é, as mulheres exercem funções sociais a partir das ações do homem. Assim, a cultura molda a identidade. </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 mulher vem sendo moldada através de atribuições e papéis que deve exercer. Segundo Dowling (1987), o problema remonta à infância, fase em que a criança sente a necessidade de apoiar-se em alguém, ser cuidada e preservada dos males e até certo ponto isso é normal tanto para os homens quanto para as mulheres. Ela ainda afirma que, para as meninas, essa necessidade de dependência perdura, em alguns casos, durante toda a vida e que qualquer mulher sabe quão destreinada foi para sentir-se confiante perante ideia de cuidar de si própria, afirmar-se como pessoa e defender-se. Já os homens, foram educados para a independência desde o dia de seu nascimento. Além de comparar a educação de meninos e meninas, a autora faz uma referência a um possível “conto de fadas” que seria vivido pelas mulheres na vida real. Nas palavras de Dowling,</w:t>
      </w:r>
    </w:p>
    <w:p>
      <w:pPr>
        <w:spacing w:before="0" w:after="200" w:line="276"/>
        <w:ind w:right="0" w:left="2340" w:firstLine="0"/>
        <w:jc w:val="both"/>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 as mulheres são ensinadas a crer que, algum dia, de algum modo, serão salvas. Esse é o conto de fadas, a mensagem da vida que ingerimos juntamente com o leite materno. Podemos aventurar-nos a viver por nossa conta por algum tempo. Subjacente a isso tudo, porém, está o conto de fadas, dizendo: aguente firme, e um dia alguém virá salvá-la. [...] (DOWLING, 1987, p. 13).</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Essa declaração da autora muito nos auxiliou na análise das mulheres dos contos de fadas, muitas delas princesas frágeis, sonhadoras, à espera de um príncipe para salvá-las, da felicidade eterna, e a literatura vem retratando situações vivenciadas pelas mulheres reais. Essas são identificações culturais que sofreram muitas mudanças na passagem do século XIX para o século XX.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Louro (2001), por sua vez, afirma que as identidades de gênero seriam as formas pelas quais os sujeitos se identificariam histórica e socialmente como masculinos e femininos. Dessa maneira, estamos entendendo gênero como constituinte das identidades do sujeito, como acontece com a etnia, a classe, a raça e outros marcadores sociais. Do mesmo modo, entendemos que as identidades são instáveis, móveis, plurais.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Como podemos observar o tema Gênero tem sido abordado por diversos pesquisadores inclusive em seminários, encontros e congressos. Entretanto, citaremos apenas alguns aspectos da produção teórica e crítica sobre gênero, representações femininas e masculinas e identidade que serão importantes para dar início ao estudo das obras supracitadas.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w:t>
      </w:r>
      <w:r>
        <w:rPr>
          <w:rFonts w:ascii="Calibri" w:hAnsi="Calibri" w:cs="Calibri" w:eastAsia="Calibri"/>
          <w:i/>
          <w:color w:val="auto"/>
          <w:spacing w:val="0"/>
          <w:position w:val="0"/>
          <w:sz w:val="22"/>
          <w:shd w:fill="auto" w:val="clear"/>
        </w:rPr>
        <w:t xml:space="preserve">O Segundo Sexo</w:t>
      </w:r>
      <w:r>
        <w:rPr>
          <w:rFonts w:ascii="Calibri" w:hAnsi="Calibri" w:cs="Calibri" w:eastAsia="Calibri"/>
          <w:color w:val="auto"/>
          <w:spacing w:val="0"/>
          <w:position w:val="0"/>
          <w:sz w:val="22"/>
          <w:shd w:fill="auto" w:val="clear"/>
        </w:rPr>
        <w:t xml:space="preserve">,</w:t>
      </w:r>
      <w:r>
        <w:rPr>
          <w:rFonts w:ascii="Calibri" w:hAnsi="Calibri" w:cs="Calibri" w:eastAsia="Calibri"/>
          <w: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de Simone de Beauvoir, a autora tece estudos sobre a mulher. E já no seu primeiro parágrafo o leitor se depara com uma afirmação curiosa: Beauvoir afirma que hesitou muito tempo em escrever um livro sobre a mulher, pois o tema é, segundo ela, “irritante” principalmente para as mulheres. A partir daí, seguem diversas colocações pronunciados por homens de várias épocas e lugares distintos, desde a história do Gênese, passando por Sócrates e Platão, chegando até os séculos XVIII e XIX com Diderot e Stuart Mill. Beauvoir se utiliza dessas conceituações do que é uma mulher para levantar alguns questionamentos como, por exemplo: Que lugar a mulher ocupa no mundo ou deveriam ocupar? Esses questionamentos vêm acompanhados de outras concepções sobre a mulher, só que dessa vez, do ponto de vista da biologia, da psicanálise e do materialismo histórico.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w:t>
      </w:r>
      <w:r>
        <w:rPr>
          <w:rFonts w:ascii="Calibri" w:hAnsi="Calibri" w:cs="Calibri" w:eastAsia="Calibri"/>
          <w:i/>
          <w:color w:val="auto"/>
          <w:spacing w:val="0"/>
          <w:position w:val="0"/>
          <w:sz w:val="22"/>
          <w:shd w:fill="auto" w:val="clear"/>
        </w:rPr>
        <w:t xml:space="preserve">Teoria Feminista e as filosofias do homem</w:t>
      </w:r>
      <w:r>
        <w:rPr>
          <w:rFonts w:ascii="Calibri" w:hAnsi="Calibri" w:cs="Calibri" w:eastAsia="Calibri"/>
          <w:color w:val="auto"/>
          <w:spacing w:val="0"/>
          <w:position w:val="0"/>
          <w:sz w:val="22"/>
          <w:shd w:fill="auto" w:val="clear"/>
        </w:rPr>
        <w:t xml:space="preserve"> (1995)</w:t>
      </w:r>
      <w:r>
        <w:rPr>
          <w:rFonts w:ascii="Calibri" w:hAnsi="Calibri" w:cs="Calibri" w:eastAsia="Calibri"/>
          <w: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Andréa Nye também desenvolve um estudo sobre a mulher, só dessa vez, a partir da Filosofia. Nos primeiros parágrafos do segundo capítulo, intitulado: Liberte, Égalité et Fraternité- Liberalismo e Direitos das Mulheres no Século XIX,</w:t>
      </w:r>
      <w:r>
        <w:rPr>
          <w:rFonts w:ascii="Calibri" w:hAnsi="Calibri" w:cs="Calibri" w:eastAsia="Calibri"/>
          <w: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a autora também usa exemplos de discursos masculinos sobre o papel da mulher na sociedade. Um desses discursos foi enunciado por David Hume. Para ele, os homens são chefes naturais do lar e há diferentes virtudes para as mulheres como recato e castidade. Ele ainda reafirma que só para mulheres, não para os homens. As mulheres são vistas como “o belo sexo”. E salienta que essas restrições às mulheres são necessárias. Para Rosseau (apud NYE, 1995), as mulheres são naturalmente mais fracas, apropriadas para a reprodução, mas não para a vida pública.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pesquisadoras Eveline Assmar e Mª Cristina Ferreira (2004, p. 92-93) também não deixam de comentar os papéis sociais de homens e mulheres na sociedade: </w:t>
      </w:r>
    </w:p>
    <w:p>
      <w:pPr>
        <w:spacing w:before="0" w:after="200" w:line="276"/>
        <w:ind w:right="0" w:left="234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 que se observa nas últimas décadas é que os papéis sociais de homens e de mulheres vêm-se tornando mais semelhantes. Com isso, redefine-se o papel social da mulher, o que, provavelmente, irá levar a novas configurações dos estereótipos de gênero, que incorporem as características identificadas como inerentes ao desempenho de novas atividades. Particularmente no que tange ao estereótipo feminino, é possível que ele sofra modificações capazes de absorver atributos mais instrumentais e menos expressivos que os atributos tradicionais, estereotipicamente associados ao papel doméstico.</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Sobre essas possíveis novas configurações dos estereótipos de gênero, a psicóloga Kátia Cordeiro Antas abordou, em sua dissertação do mestrado em Psicologia Social, as relações entre homens e mulheres. Nesse estudo, a pesquisadora deteve-se, em parte, na identificação de um conjunto de visões sociais acerca do que é ser homem e do que é ser mulher, bem como a construção dessas visões do ponto de vista cognitivo, identitário e cultural. Nas suas conclusões, ela afirma: </w:t>
      </w:r>
    </w:p>
    <w:p>
      <w:pPr>
        <w:spacing w:before="0" w:after="200" w:line="276"/>
        <w:ind w:right="0" w:left="234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os resultados obtidos indicam, acima de tudo, uma percepção bem definida e tradicionalista a respeito das visões sociais que se tem da figura masculina e da figura feminina. O homem como determinado, competente, inteligente, forte, chefe de família, honesto e machista; a mulher como meiga, sensível, frágil, amiga, forte, batalhadora, sensata, dona de casa, boa esposa, feminina e mãe. Isso faz pensar que, apesar de todo o avanço nas questões de gênero, a sociedade em geral continua reproduzindo os papéis sexuais de forma tradicional e polarizada, contribuindo, portanto, para a manutenção da imagem do homem como forte e voltado ao espaço público e da mulher como meiga e voltada para o espaço privado. Analisando essas concepções, pode-se concluir que elas ajudam a manter a hegemonia masculina em detrimento da submissão feminina. [...] Entretanto, nesse conjunto de visões, foram encontradas algumas novas formas de conceber o que é ser homem e o que é ser mulher. Como exemplos, tem-se a mulher vista como lutadora, independente e racional e o homem visto como sensível, inseguro e bom marido. (ANTAS, 2005,</w:t>
      </w:r>
      <w:r>
        <w:rPr>
          <w:rFonts w:ascii="Calibri" w:hAnsi="Calibri" w:cs="Calibri" w:eastAsia="Calibri"/>
          <w:color w:val="FF0000"/>
          <w:spacing w:val="0"/>
          <w:position w:val="0"/>
          <w:sz w:val="20"/>
          <w:shd w:fill="auto" w:val="clear"/>
        </w:rPr>
        <w:t xml:space="preserve"> </w:t>
      </w:r>
      <w:r>
        <w:rPr>
          <w:rFonts w:ascii="Calibri" w:hAnsi="Calibri" w:cs="Calibri" w:eastAsia="Calibri"/>
          <w:color w:val="auto"/>
          <w:spacing w:val="0"/>
          <w:position w:val="0"/>
          <w:sz w:val="20"/>
          <w:shd w:fill="auto" w:val="clear"/>
        </w:rPr>
        <w:t xml:space="preserve">p. 119).</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É </w:t>
      </w:r>
      <w:r>
        <w:rPr>
          <w:rFonts w:ascii="Calibri" w:hAnsi="Calibri" w:cs="Calibri" w:eastAsia="Calibri"/>
          <w:color w:val="auto"/>
          <w:spacing w:val="0"/>
          <w:position w:val="0"/>
          <w:sz w:val="20"/>
          <w:shd w:fill="auto" w:val="clear"/>
        </w:rPr>
        <w:t xml:space="preserve">i</w:t>
      </w:r>
      <w:r>
        <w:rPr>
          <w:rFonts w:ascii="Calibri" w:hAnsi="Calibri" w:cs="Calibri" w:eastAsia="Calibri"/>
          <w:color w:val="auto"/>
          <w:spacing w:val="0"/>
          <w:position w:val="0"/>
          <w:sz w:val="22"/>
          <w:shd w:fill="auto" w:val="clear"/>
        </w:rPr>
        <w:t xml:space="preserve">nteressante notar como ainda mantemos essas visões tradicionais do que é ser homem e mulher e dos papéis que eles ocupam ou deveriam ocupar na sociedade. Parece uma visão ultrapassada, mas que persiste. Dessa maneira, observamos que a hegemonia masculina permanece junto com a submissão da mulher, contudo os novos papéis sociais começaram a ser partilhados e defendidos.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Já Oakley (1998), afirma que produzir e disseminar saberes que não sejam apenas </w:t>
      </w:r>
      <w:r>
        <w:rPr>
          <w:rFonts w:ascii="Calibri" w:hAnsi="Calibri" w:cs="Calibri" w:eastAsia="Calibri"/>
          <w:i/>
          <w:color w:val="auto"/>
          <w:spacing w:val="0"/>
          <w:position w:val="0"/>
          <w:sz w:val="22"/>
          <w:shd w:fill="auto" w:val="clear"/>
        </w:rPr>
        <w:t xml:space="preserve">sobre </w:t>
      </w:r>
      <w:r>
        <w:rPr>
          <w:rFonts w:ascii="Calibri" w:hAnsi="Calibri" w:cs="Calibri" w:eastAsia="Calibri"/>
          <w:color w:val="auto"/>
          <w:spacing w:val="0"/>
          <w:position w:val="0"/>
          <w:sz w:val="22"/>
          <w:shd w:fill="auto" w:val="clear"/>
        </w:rPr>
        <w:t xml:space="preserve">ou</w:t>
      </w:r>
      <w:r>
        <w:rPr>
          <w:rFonts w:ascii="Calibri" w:hAnsi="Calibri" w:cs="Calibri" w:eastAsia="Calibri"/>
          <w:i/>
          <w:color w:val="auto"/>
          <w:spacing w:val="0"/>
          <w:position w:val="0"/>
          <w:sz w:val="22"/>
          <w:shd w:fill="auto" w:val="clear"/>
        </w:rPr>
        <w:t xml:space="preserve"> por</w:t>
      </w:r>
      <w:r>
        <w:rPr>
          <w:rFonts w:ascii="Calibri" w:hAnsi="Calibri" w:cs="Calibri" w:eastAsia="Calibri"/>
          <w:color w:val="auto"/>
          <w:spacing w:val="0"/>
          <w:position w:val="0"/>
          <w:sz w:val="22"/>
          <w:shd w:fill="auto" w:val="clear"/>
        </w:rPr>
        <w:t xml:space="preserve"> mulheres, mas também de relevância para</w:t>
      </w:r>
      <w:r>
        <w:rPr>
          <w:rFonts w:ascii="Calibri" w:hAnsi="Calibri" w:cs="Calibri" w:eastAsia="Calibri"/>
          <w: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as mulheres e suas (nossas) lutas é o objetivo maior do projeto feminista na ciência e na academia. Mostrar a nossa singularidade. Singularidade que não significa querer igualdade, nem destacar diferenças como afirma Torres:</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O Movimento Feminista, até os anos 60, tinha como meta o paradigma de </w:t>
      </w:r>
      <w:r>
        <w:rPr>
          <w:rFonts w:ascii="Calibri" w:hAnsi="Calibri" w:cs="Calibri" w:eastAsia="Calibri"/>
          <w:b/>
          <w:color w:val="auto"/>
          <w:spacing w:val="0"/>
          <w:position w:val="0"/>
          <w:sz w:val="20"/>
          <w:shd w:fill="auto" w:val="clear"/>
        </w:rPr>
        <w:t xml:space="preserve">igualdade</w:t>
      </w:r>
      <w:r>
        <w:rPr>
          <w:rFonts w:ascii="Calibri" w:hAnsi="Calibri" w:cs="Calibri" w:eastAsia="Calibri"/>
          <w:color w:val="auto"/>
          <w:spacing w:val="0"/>
          <w:position w:val="0"/>
          <w:sz w:val="20"/>
          <w:shd w:fill="auto" w:val="clear"/>
        </w:rPr>
        <w:t xml:space="preserve">, no qual o </w:t>
      </w:r>
      <w:r>
        <w:rPr>
          <w:rFonts w:ascii="Calibri" w:hAnsi="Calibri" w:cs="Calibri" w:eastAsia="Calibri"/>
          <w:i/>
          <w:color w:val="auto"/>
          <w:spacing w:val="0"/>
          <w:position w:val="0"/>
          <w:sz w:val="20"/>
          <w:shd w:fill="auto" w:val="clear"/>
        </w:rPr>
        <w:t xml:space="preserve">masculino </w:t>
      </w:r>
      <w:r>
        <w:rPr>
          <w:rFonts w:ascii="Calibri" w:hAnsi="Calibri" w:cs="Calibri" w:eastAsia="Calibri"/>
          <w:color w:val="auto"/>
          <w:spacing w:val="0"/>
          <w:position w:val="0"/>
          <w:sz w:val="20"/>
          <w:shd w:fill="auto" w:val="clear"/>
        </w:rPr>
        <w:t xml:space="preserve">era o modelo e o ideal a ser seguido. Nos anos 70, o </w:t>
      </w:r>
      <w:r>
        <w:rPr>
          <w:rFonts w:ascii="Calibri" w:hAnsi="Calibri" w:cs="Calibri" w:eastAsia="Calibri"/>
          <w:i/>
          <w:color w:val="auto"/>
          <w:spacing w:val="0"/>
          <w:position w:val="0"/>
          <w:sz w:val="20"/>
          <w:shd w:fill="auto" w:val="clear"/>
        </w:rPr>
        <w:t xml:space="preserve">neofeminismo </w:t>
      </w:r>
      <w:r>
        <w:rPr>
          <w:rFonts w:ascii="Calibri" w:hAnsi="Calibri" w:cs="Calibri" w:eastAsia="Calibri"/>
          <w:color w:val="auto"/>
          <w:spacing w:val="0"/>
          <w:position w:val="0"/>
          <w:sz w:val="20"/>
          <w:shd w:fill="auto" w:val="clear"/>
        </w:rPr>
        <w:t xml:space="preserve">reformula a definição de igualdade, que assumiu a conotação de </w:t>
      </w:r>
      <w:r>
        <w:rPr>
          <w:rFonts w:ascii="Calibri" w:hAnsi="Calibri" w:cs="Calibri" w:eastAsia="Calibri"/>
          <w:b/>
          <w:color w:val="auto"/>
          <w:spacing w:val="0"/>
          <w:position w:val="0"/>
          <w:sz w:val="20"/>
          <w:shd w:fill="auto" w:val="clear"/>
        </w:rPr>
        <w:t xml:space="preserve">afirmação da diferença</w:t>
      </w:r>
      <w:r>
        <w:rPr>
          <w:rFonts w:ascii="Calibri" w:hAnsi="Calibri" w:cs="Calibri" w:eastAsia="Calibri"/>
          <w:color w:val="auto"/>
          <w:spacing w:val="0"/>
          <w:position w:val="0"/>
          <w:sz w:val="20"/>
          <w:shd w:fill="auto" w:val="clear"/>
        </w:rPr>
        <w:t xml:space="preserve">. Mais tarde, essa igualdade foi substituída pela busca e invenção da identidade e do desejo femininos: a mulher não quer mais ser o espelho do homem, nem mesmo o seu avesso ou contrário; quer encontrar a sua própria marca, seus valores e direitos, suas satisfações e desígnios próprios, sua feminilidade, sua identidade; aquilo que a faz ser único, numa mudança de consciência e de atitude […] (TORRES, [199-], p. 10, grifo do autor).</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Os autores da literatura infantil acompanham essas transformações que estão acontecendo na sociedade e tentam demonstrar que os textos, ditos “para crianças”, à medida que retratam essas transformações, podem auxiliar no autoconhecimento e na construção dessas novas identidades coletivas e pessoais que nascem e mudam a depender da época. Além disso, segundo Bettelheim (1980, p. 12-13) </w:t>
      </w:r>
    </w:p>
    <w:p>
      <w:pPr>
        <w:spacing w:before="0" w:after="200" w:line="276"/>
        <w:ind w:right="0" w:left="2340" w:firstLine="0"/>
        <w:jc w:val="both"/>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 A criança, à medida que se desenvolve, deve aprender passo a passo a se entender melhor; com isto, torna-se mais capaz de entender os outros, e eventualmente pode-se relacionar com eles de forma mutuamente satisfatória e significativa. [...] </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Na contemporaneidade, os escritores produzem cada vez mais e as obras são, muitas vezes, destinadas a esses leitores. Elas vão surgindo e abordando temas considerados importantes para que a criança possa ser capaz de se entender e conviver com os outros respeitando e sendo respeitada. Dentre tantas produções, o chamado conto de fadas tradicional e contemporâneo vem, realmente, conquistando espaço pela qualidade das produções e pelos novos formatos. Essas </w:t>
      </w:r>
      <w:r>
        <w:rPr>
          <w:rFonts w:ascii="Calibri" w:hAnsi="Calibri" w:cs="Calibri" w:eastAsia="Calibri"/>
          <w:color w:val="auto"/>
          <w:spacing w:val="0"/>
          <w:position w:val="0"/>
          <w:sz w:val="22"/>
          <w:shd w:fill="auto" w:val="clear"/>
        </w:rPr>
        <w:t xml:space="preserve">remodelações dos contos provocam novas percepções também sobre as formas. Daí faz-se necessário repensar algumas definições de alguns gêneros.</w:t>
      </w:r>
    </w:p>
    <w:p>
      <w:pPr>
        <w:spacing w:before="0" w:after="200" w:line="36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ELAS POR ELES: ESCRITORES E IDENTIDADE FEMININA</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partir deste tópico, começaremos a tentar enxergar as funções sociais exercidas pelas protagonistas das obras que fazem parte do nosso corpus. Comecemos então por Pedro Bandeira e a sua Feiurinha.</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Nessa história, </w:t>
      </w:r>
      <w:r>
        <w:rPr>
          <w:rFonts w:ascii="Calibri" w:hAnsi="Calibri" w:cs="Calibri" w:eastAsia="Calibri"/>
          <w:color w:val="auto"/>
          <w:spacing w:val="0"/>
          <w:position w:val="0"/>
          <w:sz w:val="22"/>
          <w:shd w:fill="auto" w:val="clear"/>
        </w:rPr>
        <w:t xml:space="preserve">Ilustrada por Avelino Guedes,</w:t>
      </w:r>
      <w:r>
        <w:rPr>
          <w:rFonts w:ascii="Calibri" w:hAnsi="Calibri" w:cs="Calibri" w:eastAsia="Calibri"/>
          <w:color w:val="000000"/>
          <w:spacing w:val="0"/>
          <w:position w:val="0"/>
          <w:sz w:val="22"/>
          <w:shd w:fill="auto" w:val="clear"/>
        </w:rPr>
        <w:t xml:space="preserve"> o escritor Pedro Bandeira é narrador personagem e conta detalhes sobre a busca desesperada de algumas das “damas” dos contos de fadas pela amiga Princesa Feiurinha, que desaparecera e também dá continuidade a algumas histórias de mulheres conhecidas no mundo todo. São elas: Branca de Neve, Cinderela, Chapeuzinho Vermelho, A Bela e a Fera, Rapunzel, Bela Adormecida e A Moura Torta.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Pedro Bandeira construiu uma nova história com personagens que fazem referência aos antigos príncipes e princesas, apontando algumas semelhanças e diferenças entre eles, e os acontecimentos que podemos encontrar em suas respectivas narrativas. O autor nos surpreende quando a história começa e termina de uma forma diferente. Ele estava metido, por vontade, no meio de outras histórias ao usá-las na construção do fantástico mistério que ronda o desaparecimento de Feiurinha. E o capítulo inicial dessa obra começa com questionamentos sobre o que acontece depois da frase tão conhecida: “viveram felizes para sempre” que finaliza os contos clássicos. Entretanto, o autor faz questão de lembrar que essa frase, na maioria das vezes, significava que a heroína se casava com o príncipe encantado e pronto: iam viver “felizes para sempre”. Observe o trecho no qual o narrador nos expõe a dúvida sobre a possibilidade do casamento representar a felicidade para as “damas dos contos de fadas”:</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Mas o que significa ‘viver feliz para sempre’? Significa casar, ter filhos, engordar e reunir a família no domingo para comer macarronada? Quer dizer que a felicidade é não viver mais nenhuma aventura? Nada mais de anõezinhos, maças vermelhas envenenadas e sapatinhos de cristal? Como é que alguém pode viver feliz sem aventuras? Ah, não pode ser! É preciso saber o que acontece depois do fim.  (BANDEIRA, 1999, p. 10)</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 comentário acima vem acompanhado da ilustração abaixo que sugere uma situação produzida pela imaginação de Pedro Bandeira ao refletir sobre as vivências das princesas após o matrimônio. Nela aparece Branca Encantado almoçando com a sogra, a filha e o esposo. Este último com características bem distintas dos príncipes encantados dos contos clássicos: um senhor de meia idade, careca, deselegante e barrigudo.</w:t>
      </w:r>
    </w:p>
    <w:p>
      <w:pPr>
        <w:spacing w:before="0" w:after="200" w:line="360"/>
        <w:ind w:right="0" w:left="0" w:firstLine="0"/>
        <w:jc w:val="both"/>
        <w:rPr>
          <w:rFonts w:ascii="Calibri" w:hAnsi="Calibri" w:cs="Calibri" w:eastAsia="Calibri"/>
          <w:color w:val="FF0000"/>
          <w:spacing w:val="0"/>
          <w:position w:val="0"/>
          <w:sz w:val="22"/>
          <w:shd w:fill="auto" w:val="clear"/>
        </w:rPr>
      </w:pPr>
      <w:r>
        <w:rPr>
          <w:rFonts w:ascii="Calibri" w:hAnsi="Calibri" w:cs="Calibri" w:eastAsia="Calibri"/>
          <w:color w:val="FF0000"/>
          <w:spacing w:val="0"/>
          <w:position w:val="0"/>
          <w:sz w:val="22"/>
          <w:shd w:fill="auto" w:val="clear"/>
        </w:rPr>
        <w:tab/>
      </w:r>
      <w:r>
        <w:object w:dxaOrig="3032" w:dyaOrig="1362">
          <v:rect xmlns:o="urn:schemas-microsoft-com:office:office" xmlns:v="urn:schemas-microsoft-com:vml" id="rectole0000000014" style="width:151.600000pt;height:68.1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14" ShapeID="rectole0000000014" r:id="docRId56"/>
        </w:object>
      </w:r>
    </w:p>
    <w:p>
      <w:pPr>
        <w:spacing w:before="0" w:after="200" w:line="276"/>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FF0000"/>
          <w:spacing w:val="0"/>
          <w:position w:val="0"/>
          <w:sz w:val="22"/>
          <w:shd w:fill="auto" w:val="clear"/>
        </w:rPr>
        <w:tab/>
      </w:r>
      <w:r>
        <w:rPr>
          <w:rFonts w:ascii="Calibri" w:hAnsi="Calibri" w:cs="Calibri" w:eastAsia="Calibri"/>
          <w:color w:val="auto"/>
          <w:spacing w:val="0"/>
          <w:position w:val="0"/>
          <w:sz w:val="20"/>
          <w:shd w:fill="auto" w:val="clear"/>
        </w:rPr>
        <w:t xml:space="preserve">Figura 1 - Branca Encantado almoça com a família.</w:t>
      </w:r>
    </w:p>
    <w:p>
      <w:pPr>
        <w:spacing w:before="0" w:after="200" w:line="276"/>
        <w:ind w:right="0" w:left="0" w:firstLine="0"/>
        <w:jc w:val="both"/>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8"/>
          <w:shd w:fill="auto" w:val="clear"/>
        </w:rPr>
        <w:tab/>
        <w:t xml:space="preserve">Fonte: </w:t>
      </w:r>
      <w:r>
        <w:rPr>
          <w:rFonts w:ascii="Calibri" w:hAnsi="Calibri" w:cs="Calibri" w:eastAsia="Calibri"/>
          <w:color w:val="auto"/>
          <w:spacing w:val="0"/>
          <w:position w:val="0"/>
          <w:sz w:val="16"/>
          <w:shd w:fill="auto" w:val="clear"/>
        </w:rPr>
        <w:t xml:space="preserve">BANDEIRA, Pedro. </w:t>
      </w:r>
      <w:r>
        <w:rPr>
          <w:rFonts w:ascii="Calibri" w:hAnsi="Calibri" w:cs="Calibri" w:eastAsia="Calibri"/>
          <w:i/>
          <w:color w:val="auto"/>
          <w:spacing w:val="0"/>
          <w:position w:val="0"/>
          <w:sz w:val="16"/>
          <w:shd w:fill="auto" w:val="clear"/>
        </w:rPr>
        <w:t xml:space="preserve">O Fantástico mistério de Feiurinha</w:t>
      </w:r>
      <w:r>
        <w:rPr>
          <w:rFonts w:ascii="Calibri" w:hAnsi="Calibri" w:cs="Calibri" w:eastAsia="Calibri"/>
          <w:color w:val="auto"/>
          <w:spacing w:val="0"/>
          <w:position w:val="0"/>
          <w:sz w:val="16"/>
          <w:shd w:fill="auto" w:val="clear"/>
        </w:rPr>
        <w:t xml:space="preserve">. São Paulo: FTD, 1999, p. 10-11.</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Nessa busca para saber e mostrar o que aconteceu depois do fim, o escritor provoca quem lê no momento em que questiona o casamento das princesas e, como também é personagem, relata que as aventuras continuam depois do fim das histórias e continuarão existindo. De certa forma, o casamento é mostrado como algo que não impede a heroína e o herói de continuar vivendo aventuras que dão “sabor” à existência e o casamento não cairá na “possível” rotina da vida a dois.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Para Diniz (2005), alguns desses diálogos intertextuais desvalorizam os textos pré-existentes, outros reescrevem em outro estilo; outros reelaboram e outros ainda modernizam obras anteriores, acentuando certas características do clássico. Pedro Bandeira usa a intertextualidade como estratégia narrativa transformando a obra em ponto de encontro entre personagens famosas: Chapeuzinho Vermelho, Cinderela, Rapunzel, Bela Adormecida, Branca de Neve e a Bela-Fera como já foi dito. A novidade é que, em </w:t>
      </w:r>
      <w:r>
        <w:rPr>
          <w:rFonts w:ascii="Calibri" w:hAnsi="Calibri" w:cs="Calibri" w:eastAsia="Calibri"/>
          <w:i/>
          <w:color w:val="auto"/>
          <w:spacing w:val="0"/>
          <w:position w:val="0"/>
          <w:sz w:val="22"/>
          <w:shd w:fill="auto" w:val="clear"/>
        </w:rPr>
        <w:t xml:space="preserve">O fantástico mistério de Feiurinha</w:t>
      </w:r>
      <w:r>
        <w:rPr>
          <w:rFonts w:ascii="Calibri" w:hAnsi="Calibri" w:cs="Calibri" w:eastAsia="Calibri"/>
          <w:color w:val="auto"/>
          <w:spacing w:val="0"/>
          <w:position w:val="0"/>
          <w:sz w:val="22"/>
          <w:shd w:fill="auto" w:val="clear"/>
        </w:rPr>
        <w:t xml:space="preserve">, o autor dá continuidade às histórias e por isso quase todas elas casaram, tiveram filhos, algumas estão grávidas, serão mães pela primeira vez, outras pela segunda vez, (exceto Chapeuzinho Vermelho, porque, segundo o narrador, na sua história não tinha príncipe e ela não casou, ficou “solteirona” e “encalhada”), envelheceram e em sua maioria estão completando 25 anos de casadas com seus respectivos príncipes encantados. Vinte e cinco anos de convivência e muitas histórias para contar sobre a vida a dois.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Destarte, nesse contexto a intertextualidade é aliada dos escritores em prol de leitores das novas gerações, das personagens que se eternizam, da desconstrução de estereótipos e da construção de novas identidades para as mulheres.</w:t>
      </w:r>
    </w:p>
    <w:tbl>
      <w:tblPr/>
      <w:tblGrid>
        <w:gridCol w:w="696"/>
        <w:gridCol w:w="8515"/>
      </w:tblGrid>
      <w:tr>
        <w:trPr>
          <w:trHeight w:val="1" w:hRule="atLeast"/>
          <w:jc w:val="left"/>
        </w:trPr>
        <w:tc>
          <w:tcPr>
            <w:tcW w:w="6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851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MULHERES REVISITADAS E RECRIADAS EM</w:t>
            </w:r>
            <w:r>
              <w:rPr>
                <w:rFonts w:ascii="Calibri" w:hAnsi="Calibri" w:cs="Calibri" w:eastAsia="Calibri"/>
                <w:b/>
                <w:i/>
                <w:color w:val="auto"/>
                <w:spacing w:val="0"/>
                <w:position w:val="0"/>
                <w:sz w:val="22"/>
                <w:shd w:fill="auto" w:val="clear"/>
              </w:rPr>
              <w:t xml:space="preserve"> O FANTÁSTICO MISTÉRIO DE FEIURINHA</w:t>
            </w:r>
            <w:r>
              <w:rPr>
                <w:rFonts w:ascii="Calibri" w:hAnsi="Calibri" w:cs="Calibri" w:eastAsia="Calibri"/>
                <w:b/>
                <w:color w:val="auto"/>
                <w:spacing w:val="0"/>
                <w:position w:val="0"/>
                <w:sz w:val="22"/>
                <w:shd w:fill="auto" w:val="clear"/>
              </w:rPr>
              <w:t xml:space="preserve">, DE PEDRO BANDEIRA</w:t>
            </w:r>
          </w:p>
        </w:tc>
      </w:tr>
    </w:tbl>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princesas dos contos de fadas revisitadas por Pedro Bandeira, em </w:t>
      </w:r>
      <w:r>
        <w:rPr>
          <w:rFonts w:ascii="Calibri" w:hAnsi="Calibri" w:cs="Calibri" w:eastAsia="Calibri"/>
          <w:i/>
          <w:color w:val="auto"/>
          <w:spacing w:val="0"/>
          <w:position w:val="0"/>
          <w:sz w:val="22"/>
          <w:shd w:fill="auto" w:val="clear"/>
        </w:rPr>
        <w:t xml:space="preserve">O fantástico mistério de Feiurinha</w:t>
      </w:r>
      <w:r>
        <w:rPr>
          <w:rFonts w:ascii="Calibri" w:hAnsi="Calibri" w:cs="Calibri" w:eastAsia="Calibri"/>
          <w:color w:val="auto"/>
          <w:spacing w:val="0"/>
          <w:position w:val="0"/>
          <w:sz w:val="22"/>
          <w:shd w:fill="auto" w:val="clear"/>
        </w:rPr>
        <w:t xml:space="preserve">, possuem semelhanças e diferenças com relação às versões dos Irmãos Grimm e Charles Perrault. Consideramos importante para a nossa pesquisa realizar um estudo comparativo entre o intertexto de Pedro Bandeira e os contos dos Grimm e de Perrault para que possamos averiguar como a mulher vem sendo descrita nessas narrativas. De todos os textos que Bandeira revisita escolhemos fazer uma análise comparativa de </w:t>
      </w:r>
      <w:r>
        <w:rPr>
          <w:rFonts w:ascii="Calibri" w:hAnsi="Calibri" w:cs="Calibri" w:eastAsia="Calibri"/>
          <w:i/>
          <w:color w:val="auto"/>
          <w:spacing w:val="0"/>
          <w:position w:val="0"/>
          <w:sz w:val="22"/>
          <w:shd w:fill="auto" w:val="clear"/>
        </w:rPr>
        <w:t xml:space="preserve">Branca de Neve</w:t>
      </w:r>
      <w:r>
        <w:rPr>
          <w:rFonts w:ascii="Calibri" w:hAnsi="Calibri" w:cs="Calibri" w:eastAsia="Calibri"/>
          <w:color w:val="auto"/>
          <w:spacing w:val="0"/>
          <w:position w:val="0"/>
          <w:sz w:val="22"/>
          <w:shd w:fill="auto" w:val="clear"/>
        </w:rPr>
        <w:t xml:space="preserve">, além de dar destaque para a protagonista Feiurinha.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princípio, é preciso esclarecer, para que não haja confusões, que as princesas, na obra produzida por Pedro Bandeira, não são mais chamadas pelo nome e sobrenome de batismo, mas pelo nome que consta na certidão de casamento, ou seja, o nome de solteira e um dos sobrenomes do esposo, hábito praticado ao longo dos últimos séculos, no Brasil. Dessa maneira, os nomes das princesas pós matrimônio ficaram assim: Senhora ou Dona Branca Encantado, Senhora ou Dona Cinderela Encantado, Senhora ou Dona Rapunzel Encantado, Senhora ou Dona Bela Adormecida Encantado e a Senhora ou Dona Rosaflor Della Moura Torta Encantado. Inicialmente, nos questionamos sobre o porquê de todas elas possuírem o sobrenome Encantado, entretanto logo veio a resposta com explicação detalhada do narrador: “[...] O nome da tal senhora era Branca Encantado.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Nos tempos de solteira, o sobrenome dela era ‘De neve’, mas depois que se casou com o príncipe Encantado, Dona Branca passou a usar o sobrenome do marido [...]”. (BANDEIRA, 1999, p. 15). Príncipes estereótipos de homens perfeitos para o papel de companheiros, desejados quando as princesas ainda eram solteiras, contudo não tão idealizados por Pedro Bandeira.  Nessa história, os príncipes, que tradicionalmente aparecem com perfis de grandes heróis, são “desnudados” através dos comentários das suas respectivas esposas. Passemos a refletir, então, sobre essa “revisão” das princesas e de seus encantamentos.</w:t>
      </w:r>
    </w:p>
    <w:p>
      <w:pPr>
        <w:tabs>
          <w:tab w:val="left" w:pos="3195" w:leader="none"/>
        </w:tabs>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Branca de Neve</w:t>
      </w:r>
    </w:p>
    <w:p>
      <w:pPr>
        <w:spacing w:before="0" w:after="200" w:line="360"/>
        <w:ind w:right="0" w:left="0" w:firstLine="708"/>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2"/>
          <w:shd w:fill="auto" w:val="clear"/>
        </w:rPr>
        <w:t xml:space="preserve">Branca de Neve é rememorada por Pedro Bandeira, só que passou a ser chamada Dona Branca Encantado. Ela não é mais aquela menina inocente e exerce o papel de líder na busca por Feiurinha. Na maioria das vezes, é Branca quem toma a frente e assume a liderança da situação, como no trecho a seguir: “[...] Dona Branca era a dona do castelo e era também quem tomava as decisões. [...]” (BANDEIRA, 1999, p. 45).</w:t>
      </w:r>
      <w:r>
        <w:rPr>
          <w:rFonts w:ascii="Calibri" w:hAnsi="Calibri" w:cs="Calibri" w:eastAsia="Calibri"/>
          <w:color w:val="auto"/>
          <w:spacing w:val="0"/>
          <w:position w:val="0"/>
          <w:sz w:val="20"/>
          <w:shd w:fill="auto" w:val="clear"/>
        </w:rPr>
        <w:t xml:space="preserve">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Além de ser descrita como uma mulher destemida e geniosa, o escritor-narrador-personagem nos conta fatos, criados por ele, que teriam acontecido depois do final feliz na história de Branca de Neve ao dar início ao “Capítulo Zero e meio”: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Era uma vez, há muitos, muitos anos atrás mais vinte e cinco anos, uma senhora de cabelos negros como o ébano, onde já começavam a aparecer alguns fios brancos como a neve, bem da cor da pele dela, que também era branca como a neve. O nome da tal senhora era Branca Encantado. [...] Dona Branca estava com uma barriga enorme, esperando o seu sétimo filho, para ser afilhado do sétimo anãozinho, que vivia reclamando pelo fato de todos os outros anões já serem padrinhos de filhos de Dona Branca e faltar um para ser afilhado dele. Dali a uma semana ia fazer vinte e cinco anos que Dona Branca havia se casado para ser feliz para sempre. E, como você sabe, quem fica vinte e cinco anos casado com a mesma pessoa faz uma bruta festa para comemorar as Bodas de Prata. Feliz com tudo isso, Dona Branca tricotava um casaquinho de lã para o principezinho que ia nascer, sozinha no grande salão do castelo, forrado de mármore cor-de-rosa e veludo vermelho. (BANDEIRA, 1999, p. 15-16).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 início do trecho, parece-nos que o escritor está contando a versão dos Irmãos Grimm ao rememorar o nome da personagem, a presença dos sete anões e, principalmente, no que se refere a descrição física da princesa (cabelos negros, pele branca como a neve). Só mais adiante é que se pode perceber que a personagem está casada, já é mãe de seis filhos, está grávida do sétimo e possui alguns fios de cabelos brancos simbolizando a maturidade de Branca. Assim, nos é apresentada uma princesa corajosa e ao mesmo tempo exercendo funções e ações destinadas à mulher após o casamento: mãe dedicada, costurando roupas para o próximo filho (como mostra a ilustração a seguir) e demonstrou ser muito caseira. </w:t>
      </w:r>
    </w:p>
    <w:p>
      <w:pPr>
        <w:spacing w:before="0" w:after="200" w:line="360"/>
        <w:ind w:right="0" w:left="0" w:firstLine="0"/>
        <w:jc w:val="both"/>
        <w:rPr>
          <w:rFonts w:ascii="Calibri" w:hAnsi="Calibri" w:cs="Calibri" w:eastAsia="Calibri"/>
          <w:color w:val="FF0000"/>
          <w:spacing w:val="0"/>
          <w:position w:val="0"/>
          <w:sz w:val="22"/>
          <w:shd w:fill="auto" w:val="clear"/>
        </w:rPr>
      </w:pPr>
      <w:r>
        <w:rPr>
          <w:rFonts w:ascii="Calibri" w:hAnsi="Calibri" w:cs="Calibri" w:eastAsia="Calibri"/>
          <w:color w:val="FF0000"/>
          <w:spacing w:val="0"/>
          <w:position w:val="0"/>
          <w:sz w:val="22"/>
          <w:shd w:fill="auto" w:val="clear"/>
        </w:rPr>
        <w:tab/>
      </w:r>
      <w:r>
        <w:object w:dxaOrig="2084" w:dyaOrig="1898">
          <v:rect xmlns:o="urn:schemas-microsoft-com:office:office" xmlns:v="urn:schemas-microsoft-com:vml" id="rectole0000000015" style="width:104.200000pt;height:94.9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15" ShapeID="rectole0000000015" r:id="docRId58"/>
        </w:object>
      </w:r>
    </w:p>
    <w:p>
      <w:pPr>
        <w:spacing w:before="0" w:after="200" w:line="276"/>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FF0000"/>
          <w:spacing w:val="0"/>
          <w:position w:val="0"/>
          <w:sz w:val="22"/>
          <w:shd w:fill="auto" w:val="clear"/>
        </w:rPr>
        <w:tab/>
      </w:r>
      <w:r>
        <w:rPr>
          <w:rFonts w:ascii="Calibri" w:hAnsi="Calibri" w:cs="Calibri" w:eastAsia="Calibri"/>
          <w:color w:val="auto"/>
          <w:spacing w:val="0"/>
          <w:position w:val="0"/>
          <w:sz w:val="20"/>
          <w:shd w:fill="auto" w:val="clear"/>
        </w:rPr>
        <w:t xml:space="preserve">Figura 2 – Branca Encantado costurando enquanto aguarda o nascimento do sétimo filho.</w:t>
      </w:r>
    </w:p>
    <w:p>
      <w:pPr>
        <w:spacing w:before="0" w:after="200" w:line="276"/>
        <w:ind w:right="0" w:left="0" w:firstLine="0"/>
        <w:jc w:val="both"/>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8"/>
          <w:shd w:fill="auto" w:val="clear"/>
        </w:rPr>
        <w:tab/>
        <w:t xml:space="preserve">Fonte: </w:t>
      </w:r>
      <w:r>
        <w:rPr>
          <w:rFonts w:ascii="Calibri" w:hAnsi="Calibri" w:cs="Calibri" w:eastAsia="Calibri"/>
          <w:color w:val="auto"/>
          <w:spacing w:val="0"/>
          <w:position w:val="0"/>
          <w:sz w:val="16"/>
          <w:shd w:fill="auto" w:val="clear"/>
        </w:rPr>
        <w:t xml:space="preserve">BANDEIRA, Pedro. </w:t>
      </w:r>
      <w:r>
        <w:rPr>
          <w:rFonts w:ascii="Calibri" w:hAnsi="Calibri" w:cs="Calibri" w:eastAsia="Calibri"/>
          <w:i/>
          <w:color w:val="auto"/>
          <w:spacing w:val="0"/>
          <w:position w:val="0"/>
          <w:sz w:val="16"/>
          <w:shd w:fill="auto" w:val="clear"/>
        </w:rPr>
        <w:t xml:space="preserve">O fantástico mistério de Feiurinha.</w:t>
      </w:r>
      <w:r>
        <w:rPr>
          <w:rFonts w:ascii="Calibri" w:hAnsi="Calibri" w:cs="Calibri" w:eastAsia="Calibri"/>
          <w:color w:val="auto"/>
          <w:spacing w:val="0"/>
          <w:position w:val="0"/>
          <w:sz w:val="16"/>
          <w:shd w:fill="auto" w:val="clear"/>
        </w:rPr>
        <w:t xml:space="preserve"> São Paulo: FTD, 1999, p. 14.</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Por outro lado, os homens não são nada caseiros. O príncipe, esposo de Branca Encantado (o príncipe), por exemplo, estava caçando segundo o narrador “como sempre”. </w:t>
      </w:r>
    </w:p>
    <w:p>
      <w:pPr>
        <w:spacing w:before="0" w:after="200" w:line="36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ELAS POR ELAS: ESCRITORAS E IDENTIDADE FEMININA </w:t>
      </w:r>
    </w:p>
    <w:tbl>
      <w:tblPr/>
      <w:tblGrid>
        <w:gridCol w:w="534"/>
        <w:gridCol w:w="8677"/>
      </w:tblGrid>
      <w:tr>
        <w:trPr>
          <w:trHeight w:val="1" w:hRule="atLeast"/>
          <w:jc w:val="left"/>
        </w:trPr>
        <w:tc>
          <w:tcPr>
            <w:tcW w:w="53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867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PRINCESAS E ESPOSAS REINVENTADAS NA OBRA </w:t>
            </w:r>
            <w:r>
              <w:rPr>
                <w:rFonts w:ascii="Calibri" w:hAnsi="Calibri" w:cs="Calibri" w:eastAsia="Calibri"/>
                <w:i/>
                <w:color w:val="auto"/>
                <w:spacing w:val="0"/>
                <w:position w:val="0"/>
                <w:sz w:val="22"/>
                <w:shd w:fill="auto" w:val="clear"/>
              </w:rPr>
              <w:t xml:space="preserve">MULHERES DE CORAGEM</w:t>
            </w:r>
            <w:r>
              <w:rPr>
                <w:rFonts w:ascii="Calibri" w:hAnsi="Calibri" w:cs="Calibri" w:eastAsia="Calibri"/>
                <w:color w:val="auto"/>
                <w:spacing w:val="0"/>
                <w:position w:val="0"/>
                <w:sz w:val="22"/>
                <w:shd w:fill="auto" w:val="clear"/>
              </w:rPr>
              <w:t xml:space="preserve">, DE RUTH ROCHA</w:t>
            </w:r>
          </w:p>
        </w:tc>
      </w:tr>
    </w:tbl>
    <w:p>
      <w:pPr>
        <w:spacing w:before="0" w:after="200" w:line="276"/>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Lenda da Moça Guerreira</w:t>
        <w:tab/>
        <w:tab/>
        <w:tab/>
        <w:tab/>
      </w:r>
    </w:p>
    <w:p>
      <w:pPr>
        <w:spacing w:before="0" w:after="200" w:line="360"/>
        <w:ind w:right="0" w:left="0" w:firstLine="708"/>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2"/>
          <w:shd w:fill="auto" w:val="clear"/>
        </w:rPr>
        <w:t xml:space="preserve">Os autores dos contos de fadas contemporâneos relembram, em suas obras, os papéis sociais exercidos pela mulher em contos anteriores, proporcionando aos leitores um momento para refletir sobre os estereótipos existentes na sociedade. As personagens femininas eram frágeis e passivas nos contos de fadas clássicos e consideramos importante averiguar se mudanças são percebidas nos contemporâneos. Algumas situações que envolvem a mulher vêm sendo abordadas na literatura infanto-juvenil e envolvem as princesas e seus companheiros. Sônia Salomão Khéde, após longa pesquisa sobre o assunto, comenta as descrições dos príncipes e princesas mais usadas por escritores do mundo todo nas narrativas tradicionais:</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Príncipes e princesas são personagens mais predispostos às aventuras. Os primeiros desempenham papéis ativos, heroicos e transgressores, servindo, muitas vezes, como intermediários, num resgate. As princesas são caracterizadas pelos atributos femininos que marcam a passividade e a sua função social como objeto do prazer e da organização familiar. Belas, virtuosas, honestas e piedosas, elas mereceram, como prêmio o seu príncipe encantado [...]. (KHÉDE, 1990, p. 33).</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Temos, como exemplo dessas tendências, a postura dessas personagens em histórias conhecidas por grande parte dos leitores: antes coragem, força e esperteza pareciam ser atributos primordialmente masculinos e o que é lido como natural na masculinidade pode ser lido como não natural e ameaçador na feminilidade.  O “natural” seria que a personagem feminina tivesse seus medos e fosse frágil, características tradicionalmente ligadas ao feminino como afirma Khéde (1990). Entretanto, nas histórias escritas nas últimas décadas, os autores descrevem as princesas muito mais destemidas, autônomas e na maioria das vezes não são mais submissas aos príncipes. Elas não esperam para serem libertadas, mas lutam com inimigos e conseguem a liberdade, não aguardam príncipes e casamentos para terem felicidade, pois decidiram que podem ser felizes de várias outras formas e escolhem seu próprio destino; quando resolvem se casar, escolhem seus maridos sem interferência familiar. Ainda a respeito dessas tendências contemporâneas da literatura infantil, Sonia Salomão Khéde afirma que “[...] De modo geral, as histórias de fadas da literatura infanto-juvenil contemporânea estão a favor da desconstrução de estereótipos que aprisionem as atitudes comportamentais das crianças. Inscrevem-se na linha da paródia e da crítica social. […]” (KHÉDE, 1990, p. 33).</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preocupação dos autores parece ser: despertar a consciência crítica das crianças e não impor modelos de conduta e comportamento. Modelos que podem gerar estereótipos. Estes últimos foram entendidos por vários pesquisadores, dentre eles Krüger (2004), como: </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crença coletivamente compartilhada acerca de algum atributo, característica ou traço psicológico, moral ou físico, atribuído extensivamente a um agrupamento humano, formado mediante a aplicação de um ou mais critérios, como por exemplo, idade, sexo, inteligência, moralidade, profissão, estado civil, escolaridade, formação política e filiação religiosa</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0"/>
          <w:shd w:fill="auto" w:val="clear"/>
        </w:rPr>
        <w:t xml:space="preserve">(KRUGER, 2004, p. 36-37).</w:t>
      </w:r>
    </w:p>
    <w:p>
      <w:pPr>
        <w:spacing w:before="0" w:after="200" w:line="360"/>
        <w:ind w:right="0" w:left="0" w:firstLine="708"/>
        <w:jc w:val="both"/>
        <w:rPr>
          <w:rFonts w:ascii="Calibri" w:hAnsi="Calibri" w:cs="Calibri" w:eastAsia="Calibri"/>
          <w:color w:val="FF0000"/>
          <w:spacing w:val="0"/>
          <w:position w:val="0"/>
          <w:sz w:val="22"/>
          <w:shd w:fill="auto" w:val="clear"/>
        </w:rPr>
      </w:pPr>
      <w:r>
        <w:rPr>
          <w:rFonts w:ascii="Calibri" w:hAnsi="Calibri" w:cs="Calibri" w:eastAsia="Calibri"/>
          <w:color w:val="auto"/>
          <w:spacing w:val="0"/>
          <w:position w:val="0"/>
          <w:sz w:val="22"/>
          <w:shd w:fill="auto" w:val="clear"/>
        </w:rPr>
        <w:t xml:space="preserve">Já para Bhabha (1998, p. 105), o estereótipo é “[...] uma forma de conhecimento e identificação que vacila entre o que está sempre ‘no lugar’, já conhecido, e algo que deve ser ansiosamente repetido [...]”. Nas sociedades, repete-se a função social das mulheres: belas, doces, frágeis, inocentes e sonhadoras. Sonham com companheiros e casamentos. E antes de encontrá-los, preparam-se para a “vida a dois”, bordando, costurando e aprendendo a cuidar da casa (lavar, passar, cozinhar, etc.).</w:t>
      </w:r>
      <w:r>
        <w:rPr>
          <w:rFonts w:ascii="Calibri" w:hAnsi="Calibri" w:cs="Calibri" w:eastAsia="Calibri"/>
          <w:color w:val="FF0000"/>
          <w:spacing w:val="0"/>
          <w:position w:val="0"/>
          <w:sz w:val="22"/>
          <w:shd w:fill="auto" w:val="clear"/>
        </w:rPr>
        <w:t xml:space="preserve">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Exemplos de mulheres que desafiam as funções sociais a elas destinadas encontramos nas personagens da obra </w:t>
      </w:r>
      <w:r>
        <w:rPr>
          <w:rFonts w:ascii="Calibri" w:hAnsi="Calibri" w:cs="Calibri" w:eastAsia="Calibri"/>
          <w:i/>
          <w:color w:val="auto"/>
          <w:spacing w:val="0"/>
          <w:position w:val="0"/>
          <w:sz w:val="22"/>
          <w:shd w:fill="auto" w:val="clear"/>
        </w:rPr>
        <w:t xml:space="preserve">Mulheres de Coragem</w:t>
      </w:r>
      <w:r>
        <w:rPr>
          <w:rFonts w:ascii="Calibri" w:hAnsi="Calibri" w:cs="Calibri" w:eastAsia="Calibri"/>
          <w:color w:val="auto"/>
          <w:spacing w:val="0"/>
          <w:position w:val="0"/>
          <w:sz w:val="22"/>
          <w:shd w:fill="auto" w:val="clear"/>
        </w:rPr>
        <w:t xml:space="preserve">, escrita por Ruth Rocha.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Mulheres de Coragem</w:t>
      </w:r>
      <w:r>
        <w:rPr>
          <w:rFonts w:ascii="Calibri" w:hAnsi="Calibri" w:cs="Calibri" w:eastAsia="Calibri"/>
          <w:color w:val="auto"/>
          <w:spacing w:val="0"/>
          <w:position w:val="0"/>
          <w:sz w:val="22"/>
          <w:shd w:fill="auto" w:val="clear"/>
        </w:rPr>
        <w:t xml:space="preserve"> é uma obra ilustrada por Lúcia Hiratsuka. E a parceria entre esta ilustradora e a autora parece ter dado muito certo porque as ilustrações dialogam com as histórias contadas de forma harmônica. Desde a capa, já se percebe o uso de imagens que possivelmente provocarão a imaginação de quem lê e despertarão suposições: </w:t>
      </w:r>
    </w:p>
    <w:p>
      <w:pPr>
        <w:spacing w:before="0" w:after="200" w:line="276"/>
        <w:ind w:right="0" w:left="0" w:firstLine="0"/>
        <w:jc w:val="both"/>
        <w:rPr>
          <w:rFonts w:ascii="Calibri" w:hAnsi="Calibri" w:cs="Calibri" w:eastAsia="Calibri"/>
          <w:color w:val="FF0000"/>
          <w:spacing w:val="0"/>
          <w:position w:val="0"/>
          <w:sz w:val="22"/>
          <w:shd w:fill="auto" w:val="clear"/>
        </w:rPr>
      </w:pPr>
      <w:r>
        <w:rPr>
          <w:rFonts w:ascii="Calibri" w:hAnsi="Calibri" w:cs="Calibri" w:eastAsia="Calibri"/>
          <w:color w:val="FF0000"/>
          <w:spacing w:val="0"/>
          <w:position w:val="0"/>
          <w:sz w:val="22"/>
          <w:shd w:fill="auto" w:val="clear"/>
        </w:rPr>
        <w:tab/>
      </w:r>
      <w:r>
        <w:object w:dxaOrig="1815" w:dyaOrig="2063">
          <v:rect xmlns:o="urn:schemas-microsoft-com:office:office" xmlns:v="urn:schemas-microsoft-com:vml" id="rectole0000000016" style="width:90.750000pt;height:103.1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16" ShapeID="rectole0000000016" r:id="docRId60"/>
        </w:object>
      </w:r>
    </w:p>
    <w:p>
      <w:pPr>
        <w:spacing w:before="0" w:after="200" w:line="276"/>
        <w:ind w:right="0" w:left="0" w:firstLine="708"/>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Figura 3 – Capa da obra “Mulheres de Coragem”.</w:t>
      </w:r>
    </w:p>
    <w:p>
      <w:pPr>
        <w:spacing w:before="0" w:after="200" w:line="276"/>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8"/>
          <w:shd w:fill="auto" w:val="clear"/>
        </w:rPr>
        <w:tab/>
      </w:r>
      <w:r>
        <w:rPr>
          <w:rFonts w:ascii="Calibri" w:hAnsi="Calibri" w:cs="Calibri" w:eastAsia="Calibri"/>
          <w:color w:val="auto"/>
          <w:spacing w:val="0"/>
          <w:position w:val="0"/>
          <w:sz w:val="16"/>
          <w:shd w:fill="auto" w:val="clear"/>
        </w:rPr>
        <w:t xml:space="preserve">Fonte: ROCHA, Ruth</w:t>
      </w:r>
      <w:r>
        <w:rPr>
          <w:rFonts w:ascii="Calibri" w:hAnsi="Calibri" w:cs="Calibri" w:eastAsia="Calibri"/>
          <w:i/>
          <w:color w:val="auto"/>
          <w:spacing w:val="0"/>
          <w:position w:val="0"/>
          <w:sz w:val="16"/>
          <w:shd w:fill="auto" w:val="clear"/>
        </w:rPr>
        <w:t xml:space="preserve">. Mulheres de Coragem</w:t>
      </w:r>
      <w:r>
        <w:rPr>
          <w:rFonts w:ascii="Calibri" w:hAnsi="Calibri" w:cs="Calibri" w:eastAsia="Calibri"/>
          <w:color w:val="auto"/>
          <w:spacing w:val="0"/>
          <w:position w:val="0"/>
          <w:sz w:val="16"/>
          <w:shd w:fill="auto" w:val="clear"/>
        </w:rPr>
        <w:t xml:space="preserve">. São Paulo: FTD, 2006.</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Como podemos observar, o título aparece em destaque e as palavras Mulher e Coragem foram grafadas com iniciais maiúsculas, a imagem de mulher está cercada de símbolos femininos: cabelos compridos, vestido, espelho e cuidado com a aparência com a ajuda de duas outras damas (provavelmente serviçais responsáveis por cuidar das filhas do barão) e, na parte inferior da capa, a ilustradora usou uma imagem de cavaleiro vestindo armadura, empunhando sua espada e acompanhado de sua montaria. A aparência dessa última imagem, a princípio, parece ser de um cavaleiro, mas na verdade com a leitura da obra o leitor descobrirá que ela pode ser uma imagem de uma amazona. Na contracapa da obra, antes do início das narrativas, encontramos outra provocação da escritora e/ou ilustradora: a imagem de uma mulher, com traços delicados e usando batom, vestida com a armadura semelhante àquela da capa do livro. Essa obra possui três contos: </w:t>
      </w:r>
      <w:r>
        <w:rPr>
          <w:rFonts w:ascii="Calibri" w:hAnsi="Calibri" w:cs="Calibri" w:eastAsia="Calibri"/>
          <w:i/>
          <w:color w:val="auto"/>
          <w:spacing w:val="0"/>
          <w:position w:val="0"/>
          <w:sz w:val="22"/>
          <w:shd w:fill="auto" w:val="clear"/>
        </w:rPr>
        <w:t xml:space="preserve">Mulheres de Coragem</w:t>
      </w:r>
      <w:r>
        <w:rPr>
          <w:rFonts w:ascii="Calibri" w:hAnsi="Calibri" w:cs="Calibri" w:eastAsia="Calibri"/>
          <w:color w:val="auto"/>
          <w:spacing w:val="0"/>
          <w:position w:val="0"/>
          <w:sz w:val="22"/>
          <w:shd w:fill="auto" w:val="clear"/>
        </w:rPr>
        <w:t xml:space="preserve">, </w:t>
      </w:r>
      <w:r>
        <w:rPr>
          <w:rFonts w:ascii="Calibri" w:hAnsi="Calibri" w:cs="Calibri" w:eastAsia="Calibri"/>
          <w:i/>
          <w:color w:val="auto"/>
          <w:spacing w:val="0"/>
          <w:position w:val="0"/>
          <w:sz w:val="22"/>
          <w:shd w:fill="auto" w:val="clear"/>
        </w:rPr>
        <w:t xml:space="preserve">Romancinho Romanceiro</w:t>
      </w:r>
      <w:r>
        <w:rPr>
          <w:rFonts w:ascii="Calibri" w:hAnsi="Calibri" w:cs="Calibri" w:eastAsia="Calibri"/>
          <w:color w:val="auto"/>
          <w:spacing w:val="0"/>
          <w:position w:val="0"/>
          <w:sz w:val="22"/>
          <w:shd w:fill="auto" w:val="clear"/>
        </w:rPr>
        <w:t xml:space="preserve"> e </w:t>
      </w:r>
      <w:r>
        <w:rPr>
          <w:rFonts w:ascii="Calibri" w:hAnsi="Calibri" w:cs="Calibri" w:eastAsia="Calibri"/>
          <w:i/>
          <w:color w:val="auto"/>
          <w:spacing w:val="0"/>
          <w:position w:val="0"/>
          <w:sz w:val="22"/>
          <w:shd w:fill="auto" w:val="clear"/>
        </w:rPr>
        <w:t xml:space="preserve">Lenda da Moça Guerreira</w:t>
      </w:r>
      <w:r>
        <w:rPr>
          <w:rFonts w:ascii="Calibri" w:hAnsi="Calibri" w:cs="Calibri" w:eastAsia="Calibri"/>
          <w:color w:val="auto"/>
          <w:spacing w:val="0"/>
          <w:position w:val="0"/>
          <w:sz w:val="22"/>
          <w:shd w:fill="auto" w:val="clear"/>
        </w:rPr>
        <w:t xml:space="preserve">. Neste último conto, o narrador não identifica a época em que os fatos acontecem, apenas o lugar: “[...] Há muitos e muitos anos, nas terras da Europa havia muitos reinos. Cada reino com seu rei, seus barões, seus castelos. [...]” (ROCHA, 2006, p. 12). Nesse conto, em especial, logo após o início do texto, o narrador descreve os reinos e seus habitantes. Observe o trecho a seguir no qual ele caracteriza homens e mulheres que habitavam esses reinos:</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Os reinos estavam sempre em luta, que a ocupação favorita dos cavaleiros era ir à guerra. Pois quem ia à guerra e, principalmente, quem a ganhava, voltava com muitos bens e com muita glória. Como hoje, eram os homens que iam à guerra. Por isso, desde pequenos os meninos eram treinados na esgrima, na cavalaria, no manejo de muitas armas. As meninas aprendiam bordados, tapeçaria e artes. E com isso passavam seu tempo. […] (ROCHA, 2006, p. 12).</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Responsabilidades, glória para os homens e tempo livre para que as mulheres pudessem se distrair com atividades consideradas “femininas”. De acordo com o narrador enquanto homens eram, desde pequenos, preparados para a guerra, as meninas bordavam e faziam outras artes para “passar o tempo”, ou seja, funções sociais bem definidas e delimitadas para homens e mulheres, sem mudanças aparentes com relação aos contos de fadas clássicos e pela sociedade. Na imagem a seguir, podem-se observar as atividades desenvolvidas pelas filhas do barão de Aragão:</w:t>
      </w:r>
    </w:p>
    <w:p>
      <w:pPr>
        <w:spacing w:before="0" w:after="200" w:line="36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r>
      <w:r>
        <w:object w:dxaOrig="1795" w:dyaOrig="1773">
          <v:rect xmlns:o="urn:schemas-microsoft-com:office:office" xmlns:v="urn:schemas-microsoft-com:vml" id="rectole0000000017" style="width:89.750000pt;height:88.6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17" ShapeID="rectole0000000017" r:id="docRId62"/>
        </w:object>
      </w:r>
    </w:p>
    <w:p>
      <w:pPr>
        <w:spacing w:before="0" w:after="200" w:line="276"/>
        <w:ind w:right="0" w:left="70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Figura 4 – Atividades destinadas às mulheres e desenvolvidas, também, pelas filhas do barão de Aragão.</w:t>
      </w:r>
    </w:p>
    <w:p>
      <w:pPr>
        <w:spacing w:before="0" w:after="200" w:line="276"/>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8"/>
          <w:shd w:fill="auto" w:val="clear"/>
        </w:rPr>
        <w:tab/>
        <w:t xml:space="preserve">Fonte: </w:t>
      </w:r>
      <w:r>
        <w:rPr>
          <w:rFonts w:ascii="Calibri" w:hAnsi="Calibri" w:cs="Calibri" w:eastAsia="Calibri"/>
          <w:color w:val="auto"/>
          <w:spacing w:val="0"/>
          <w:position w:val="0"/>
          <w:sz w:val="16"/>
          <w:shd w:fill="auto" w:val="clear"/>
        </w:rPr>
        <w:t xml:space="preserve">ROCHA, Ruth. </w:t>
      </w:r>
      <w:r>
        <w:rPr>
          <w:rFonts w:ascii="Calibri" w:hAnsi="Calibri" w:cs="Calibri" w:eastAsia="Calibri"/>
          <w:i/>
          <w:color w:val="auto"/>
          <w:spacing w:val="0"/>
          <w:position w:val="0"/>
          <w:sz w:val="16"/>
          <w:shd w:fill="auto" w:val="clear"/>
        </w:rPr>
        <w:t xml:space="preserve">Mulheres de Coragem</w:t>
      </w:r>
      <w:r>
        <w:rPr>
          <w:rFonts w:ascii="Calibri" w:hAnsi="Calibri" w:cs="Calibri" w:eastAsia="Calibri"/>
          <w:color w:val="auto"/>
          <w:spacing w:val="0"/>
          <w:position w:val="0"/>
          <w:sz w:val="16"/>
          <w:shd w:fill="auto" w:val="clear"/>
        </w:rPr>
        <w:t xml:space="preserve">. São Paulo: FTD, 2006, p.13.</w:t>
      </w:r>
    </w:p>
    <w:p>
      <w:pPr>
        <w:tabs>
          <w:tab w:val="left" w:pos="4035" w:leader="none"/>
        </w:tabs>
        <w:spacing w:before="0" w:after="200" w:line="360"/>
        <w:ind w:right="0" w:left="0" w:firstLine="0"/>
        <w:jc w:val="both"/>
        <w:rPr>
          <w:rFonts w:ascii="Calibri" w:hAnsi="Calibri" w:cs="Calibri" w:eastAsia="Calibri"/>
          <w:color w:val="000000"/>
          <w:spacing w:val="0"/>
          <w:position w:val="0"/>
          <w:sz w:val="20"/>
          <w:shd w:fill="auto" w:val="clear"/>
        </w:rPr>
      </w:pPr>
      <w:r>
        <w:rPr>
          <w:rFonts w:ascii="Calibri" w:hAnsi="Calibri" w:cs="Calibri" w:eastAsia="Calibri"/>
          <w:color w:val="auto"/>
          <w:spacing w:val="0"/>
          <w:position w:val="0"/>
          <w:sz w:val="16"/>
          <w:shd w:fill="auto" w:val="clear"/>
        </w:rPr>
        <w:t xml:space="preserve">              </w:t>
      </w:r>
      <w:r>
        <w:rPr>
          <w:rFonts w:ascii="Calibri" w:hAnsi="Calibri" w:cs="Calibri" w:eastAsia="Calibri"/>
          <w:color w:val="auto"/>
          <w:spacing w:val="0"/>
          <w:position w:val="0"/>
          <w:sz w:val="22"/>
          <w:shd w:fill="auto" w:val="clear"/>
        </w:rPr>
        <w:t xml:space="preserve">Interessante citar que </w:t>
      </w:r>
      <w:r>
        <w:rPr>
          <w:rFonts w:ascii="Calibri" w:hAnsi="Calibri" w:cs="Calibri" w:eastAsia="Calibri"/>
          <w:color w:val="000000"/>
          <w:spacing w:val="0"/>
          <w:position w:val="0"/>
          <w:sz w:val="22"/>
          <w:shd w:fill="auto" w:val="clear"/>
        </w:rPr>
        <w:t xml:space="preserve">o barão de Aragão tinha duas filhas e por não ter filho varão não teria um representante nas guerras, não conseguiria bens nem glória com as lutas constantes entre os reinos: “[...] E, embora gostasse muito das filhas, se entristecia, pois gostaria que os estandartes de sua casa pudessem tremular ainda nos campos de luta. [...]”. (ROCHA, 2006, p. 12).</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2"/>
          <w:shd w:fill="auto" w:val="clear"/>
        </w:rPr>
        <w:t xml:space="preserve">Foi percebendo a vontade e tristeza do pai que Isabel, a filha mais velha do barão, decidiu se preparar e ir para guerra representar a família: começou a cavalgar, manejar todo tipo de arma, participou de competições que os cavaleiros organizavam e em todos os jogos que eram próprios dos rapazes. A decisão provocou um enorme estranhamento, pois essas </w:t>
      </w:r>
      <w:r>
        <w:rPr>
          <w:rFonts w:ascii="Calibri" w:hAnsi="Calibri" w:cs="Calibri" w:eastAsia="Calibri"/>
          <w:color w:val="auto"/>
          <w:spacing w:val="0"/>
          <w:position w:val="0"/>
          <w:sz w:val="22"/>
          <w:shd w:fill="auto" w:val="clear"/>
        </w:rPr>
        <w:t xml:space="preserve">atividades eram vistas como masculinas pela sociedade em que vivia e o pai de Isabel questionou a filha ao perceber que ela estava decidida</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 então veio a guerra entre Aragão e França. Todos os rapazes em idade de combater foram partindo para o campo de batalha a fim de emprestar ao rei a sua espada.</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O velho barão se lamentava com a mulher:</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Estou velho e não posso mais combater pelo meu rei. Se tivéssemos filho homem, nossa casa poderia ainda cobrir-se de glórias.</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Dona Isabel foi então ao pai e disse:</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Eu levarei os estandartes, meu pai. Vou combater ao lado do rei pela glória maior de nossa casa.</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Minha filha – disse o pai -, mulheres não vão à luta.</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Eu me disfarço, meu pai. Não me reconhecerão!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Suas formas são de mulher.</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Me aperto numa armadura. Não me reconhecerão!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Seus cabelos, minha filha...</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Esconderei minhas tranças. Não me reconhecerão!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Suas mãos, tão delicadas...    </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0"/>
          <w:shd w:fill="auto" w:val="clear"/>
        </w:rPr>
        <w:t xml:space="preserve">Usarei luvas de ferro. Não me reconhecerão!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Seus pés são tão pequeninos...</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Usarei botas grosseiras. Não me reconhecerão!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Seus olhos, filha, seus olhos...</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Abaixarei os meus olhos. Não me reconhecerão! [...] (ROCHA, 2006, p. 14).</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Primeiro veio a surpresa do barão, depois os questionamentos e em todos eles o fato de ser mulher era o impedimento para não ir à guerra. Cada questão foi formulada utilizando o porte físico como frágil e despreparado: mãos delicadas, pés pequeninos e olhos e cabelos bem femininos em contraste com armadura, luvas de ferro, botas grosseiras, elementos que parecem caracterizar os homens nessa narrativa. Para se parecer com eles, tudo isso foi necessário e muito mais. Outras duas estratégias foram usadas para completar o disfarce: um “nome masculino”, João foi o nome escolhido, e orientaram a mudança que deveria acontecer no comportamento daquela moça. </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 lá se foi Isabel. E se misturou aos homens. E combateu como um homem. Foi chamada de Dom João. E, como um homem, dormiu ao relento. E para se banhar saía do acampamento à noite, entre as sombras. Ninguém conheceu que era mulher. E se cobriu de glórias, por sua valentia, e foi combater ao lado do próprio príncipe real, que a tomou como companheiro de lutas. [...] (ROCHA, 2006, p. 14 - 15).</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Isabel comportou-se como homem, foi aceita no grupo por causa do seu disfarce e conseguiu o que almejava: a glória e reconhecimento. Outra vez fica claro que a sociedade da qual esses personagens faziam parte, na Europa, acreditava nas diferenças e/ou características masculinas e femininas. Dormir ao relento, viver sem conforto e ser valente era algo para homens; as mulheres não eram capazes, até então, de enfrentar a guerra, pois não possuíam esses atributos. Daí a afirmação do pai de Isabel de que mulheres não vão à luta. Essa distribuição de papéis sociais, denunciada pela literatura, foi comentada por Guacira Lopes Louro: “[...]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 casamento e a maternidade eram efetivamente constituído como a verdadeira carreira feminina. [...]”. (LOURO, 2001, p. 454). Dessa maneira, mulheres da vida real eram preparadas para casar e ser mães, jamais deveriam participar de atividades consideradas “masculinas”.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Ao mesmo tempo em que Isabel consegue ser amazona valente e começa a combater ao lado do príncipe, o inusitado acontece: por trás da armadura, a mulher começa a se envolver com seu companheiro durante a guerra e o que nos parece é que o sentimento de amizade é recíproco, ou seja, o príncipe retribui o afeto e atenção àquele “bravo cavaleiro”. Companheirismo ilustrado pelas imagens de Lúcia Hiratsuka. </w:t>
      </w:r>
    </w:p>
    <w:p>
      <w:pPr>
        <w:spacing w:before="0" w:after="200" w:line="276"/>
        <w:ind w:right="0" w:left="0" w:firstLine="709"/>
        <w:jc w:val="left"/>
        <w:rPr>
          <w:rFonts w:ascii="Calibri" w:hAnsi="Calibri" w:cs="Calibri" w:eastAsia="Calibri"/>
          <w:color w:val="FF0000"/>
          <w:spacing w:val="0"/>
          <w:position w:val="0"/>
          <w:sz w:val="22"/>
          <w:shd w:fill="auto" w:val="clear"/>
        </w:rPr>
      </w:pPr>
      <w:r>
        <w:object w:dxaOrig="1691" w:dyaOrig="1402">
          <v:rect xmlns:o="urn:schemas-microsoft-com:office:office" xmlns:v="urn:schemas-microsoft-com:vml" id="rectole0000000018" style="width:84.550000pt;height:70.1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18" ShapeID="rectole0000000018" r:id="docRId64"/>
        </w:object>
      </w:r>
      <w:r>
        <w:rPr>
          <w:rFonts w:ascii="Calibri" w:hAnsi="Calibri" w:cs="Calibri" w:eastAsia="Calibri"/>
          <w:color w:val="FF0000"/>
          <w:spacing w:val="0"/>
          <w:position w:val="0"/>
          <w:sz w:val="22"/>
          <w:shd w:fill="auto" w:val="clear"/>
        </w:rPr>
        <w:tab/>
      </w:r>
    </w:p>
    <w:p>
      <w:pPr>
        <w:spacing w:before="0" w:after="200" w:line="276"/>
        <w:ind w:right="0" w:left="0" w:firstLine="708"/>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Figura 5 – Isabel participa da guerra. </w:t>
      </w:r>
    </w:p>
    <w:p>
      <w:pPr>
        <w:spacing w:before="0" w:after="200" w:line="276"/>
        <w:ind w:right="0" w:left="0" w:firstLine="708"/>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8"/>
          <w:shd w:fill="auto" w:val="clear"/>
        </w:rPr>
        <w:t xml:space="preserve"> Fonte: </w:t>
      </w:r>
      <w:r>
        <w:rPr>
          <w:rFonts w:ascii="Calibri" w:hAnsi="Calibri" w:cs="Calibri" w:eastAsia="Calibri"/>
          <w:color w:val="auto"/>
          <w:spacing w:val="0"/>
          <w:position w:val="0"/>
          <w:sz w:val="16"/>
          <w:shd w:fill="auto" w:val="clear"/>
        </w:rPr>
        <w:t xml:space="preserve">ROCHA, Ruth. </w:t>
      </w:r>
      <w:r>
        <w:rPr>
          <w:rFonts w:ascii="Calibri" w:hAnsi="Calibri" w:cs="Calibri" w:eastAsia="Calibri"/>
          <w:i/>
          <w:color w:val="auto"/>
          <w:spacing w:val="0"/>
          <w:position w:val="0"/>
          <w:sz w:val="16"/>
          <w:shd w:fill="auto" w:val="clear"/>
        </w:rPr>
        <w:t xml:space="preserve">Mulheres de Coragem</w:t>
      </w:r>
      <w:r>
        <w:rPr>
          <w:rFonts w:ascii="Calibri" w:hAnsi="Calibri" w:cs="Calibri" w:eastAsia="Calibri"/>
          <w:color w:val="auto"/>
          <w:spacing w:val="0"/>
          <w:position w:val="0"/>
          <w:sz w:val="16"/>
          <w:shd w:fill="auto" w:val="clear"/>
        </w:rPr>
        <w:t xml:space="preserve">. São Paulo: FTD, 2006, p. 15.</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 fato, Isabel estava apaixonada e o príncipe confuso. Ela nunca encarava os companheiros de luta com medo de perder o disfarce. E os olhos realmente parecem ser “o espelho da alma”, porque, num descuido da amazona, o príncipe suspeita do rapaz que lhe acompanha</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Um dia o príncipe caiu ferido. Seus homens logo o cercaram e o retiraram da luta, levando-o para o acampamento e colocando-o em sua tenda. O príncipe não quis que ninguém, senão Isabel, se ocupasse dele.</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 uma noite, Isabel velava enquanto o príncipe dormia. Ela, que já sabia que sua afeição pelo príncipe era mais que afeição de companheiro de armas, se pôs a olhar longamente o rosto do moço.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 o moço de repente acordou. Seus olhos se cruzaram por um instante. E, nesse instante, os olhos de Isabel brilhavam tanto... que o príncipe pensou: ‘Os olhos de Dom João... Olhos de homem não são...’ E quis olhar de novo nos olhos de Isabel, mas Isabel já os tinha baixado, como sempre fazia. [...]                                                                              (ROCHA, 2006, p. 16).</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Confusa ficou a rainha ao reconhecer mais que admiração no momento em que seu filho demonstrara afeto por Dom João. Neste instante, o príncipe relata a sua desconfiança à mãe e esta orienta o rapaz para que ele prepare armadilhas com o objetivo de descobrir afinal de Dom João era homem ou mulher. O interessante das armadilhas montadas é que a rainha ensinou ao filho as prováveis escolhas de uma mulher. A rainha continuou usando seu conhecimento do que pode ser a identidade coletiva das mulheres daquele reino, só que nessa nova tentativa ela tentou sensibilizar Isabel e conseguiu. Uma das frases mais repetidas, pela mãe do príncipe, nesse conto, foi: “Se for mulher”, com certeza, Dom João se comportará de determinada forma. Acreditando na solidariedade e amizade de Dom João, a família real enviou um comunicado para Isabel. Assim que ela leu o documento avisando que o estado de saúde do príncipe, seu amigo, ou o amigo de Dom João havia piorado por causa dos ferimentos contraídos na guerra, a princesa resolveu visitá-lo, só que não mais disfarçada de homem. </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Iria imediatamente, partiria incontinenti, se daria a conhecer.</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 então quis ficar bonita. Quis ser de novo mulher:</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Quero minhas tranças longas. Todos me 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 suas luvas de ferro?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Tiro minhas mãos das luvas. Todos me 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 suas formas de mulher? </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Tiro armadura e gibão. Todos me 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E seus pés, tão pequeninos?   </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Tiro essas botas grosseiras. Todos me conhecerão!</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Seus olhos, como fará? </w:t>
      </w:r>
    </w:p>
    <w:p>
      <w:pPr>
        <w:spacing w:before="0" w:after="200" w:line="276"/>
        <w:ind w:right="0" w:left="2268"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Levanto os olhos para ele. Ele me reconhecerá! [...] (ROCHA, 2006, p. 18).</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Podem-se observar detalhes instigantes, na passagem acima transcrita. Isabel, como já foi dito, usou diversas estratégias para que todos acreditassem que ela era um cavaleiro. Contudo, a citação demonstra que o processo contrário também aconteceu: ela “E então quis ficar bonita. Quis ser mulher de novo” como se ela tivesse deixado de ser bonita para se assemelhar aos homens e, por consequência, deixou de ser mulher no momento do disfarce. Para voltar a “ser mulher”, retirou a armadura, passou a usar vestidos, soltou os cabelos, cuidou da aparência. Na ilustração a seguir, pode-se acompanhar a transformação e verificar como algumas características são descritas como femininas.</w:t>
      </w:r>
    </w:p>
    <w:p>
      <w:pPr>
        <w:spacing w:before="0" w:after="200" w:line="360"/>
        <w:ind w:right="0" w:left="0" w:firstLine="708"/>
        <w:jc w:val="both"/>
        <w:rPr>
          <w:rFonts w:ascii="Calibri" w:hAnsi="Calibri" w:cs="Calibri" w:eastAsia="Calibri"/>
          <w:color w:val="auto"/>
          <w:spacing w:val="0"/>
          <w:position w:val="0"/>
          <w:sz w:val="22"/>
          <w:shd w:fill="auto" w:val="clear"/>
        </w:rPr>
      </w:pPr>
      <w:r>
        <w:object w:dxaOrig="1691" w:dyaOrig="1506">
          <v:rect xmlns:o="urn:schemas-microsoft-com:office:office" xmlns:v="urn:schemas-microsoft-com:vml" id="rectole0000000019" style="width:84.550000pt;height:75.3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19" ShapeID="rectole0000000019" r:id="docRId66"/>
        </w:object>
      </w:r>
    </w:p>
    <w:p>
      <w:pPr>
        <w:spacing w:before="0" w:after="200" w:line="276"/>
        <w:ind w:right="0" w:left="0" w:firstLine="708"/>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Figura 6 – Isabel se prepara para encontrar o príncipe.</w:t>
      </w:r>
    </w:p>
    <w:p>
      <w:pPr>
        <w:spacing w:before="0" w:after="200" w:line="276"/>
        <w:ind w:right="0" w:left="0" w:firstLine="708"/>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Fonte: ROCHA, Ruth. </w:t>
      </w:r>
      <w:r>
        <w:rPr>
          <w:rFonts w:ascii="Calibri" w:hAnsi="Calibri" w:cs="Calibri" w:eastAsia="Calibri"/>
          <w:i/>
          <w:color w:val="auto"/>
          <w:spacing w:val="0"/>
          <w:position w:val="0"/>
          <w:sz w:val="16"/>
          <w:shd w:fill="auto" w:val="clear"/>
        </w:rPr>
        <w:t xml:space="preserve">Mulheres de Coragem</w:t>
      </w:r>
      <w:r>
        <w:rPr>
          <w:rFonts w:ascii="Calibri" w:hAnsi="Calibri" w:cs="Calibri" w:eastAsia="Calibri"/>
          <w:color w:val="auto"/>
          <w:spacing w:val="0"/>
          <w:position w:val="0"/>
          <w:sz w:val="16"/>
          <w:shd w:fill="auto" w:val="clear"/>
        </w:rPr>
        <w:t xml:space="preserve">. São Paulo: FTD, 2006, p. 19.</w:t>
      </w:r>
    </w:p>
    <w:p>
      <w:pPr>
        <w:spacing w:before="0" w:after="200" w:line="360"/>
        <w:ind w:right="0" w:left="0" w:firstLine="1134"/>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Interessante notar que a protagonista afirma que todos do reino não a “conhecerão”, pois nunca a viram e apenas o príncipe a “reconhecerá” sem o disfarce.  Isabel ainda diz que, dessa vez, ela levantará os olhos para ele. Mesmo tendo mantido os olhos baixos durante todo o tempo em que esteve na guerra, ela acredita que o príncipe lembrar-se-ia do olhar do amigo Dom João e, finalmente, descobriria que suas desconfianças não surgiram do nada. No fundo, algo no amigo Dom João denunciava que ele era diferente dos outros cavaleiros. Dessa maneira, o desenlace da história se dá nas últimas páginas com a narração de um final bastante usado nos contos de fadas tradicionais: enlace do casal e o viveram felizes.</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 título desse conto, a Moça é chamada de Guerreira, talvez por ter ido literalmente à luta, ter mudado seu destino, atendido seus desejos sem se importar com o que outros pensariam e ter rompido com os padrões de comportamento, ou seja, Isabel construiu uma identidade pessoal singular.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Desde a década de 1980, Franchetto (1981) já comentava algumas reivindicações das mulheres. De acordo com esse autor, elas vêm recusando a representação de “segundo sexo” ou “sexo frágil” por excelência. Afirmam-se como sexo, mas em sua singularidade, se descobrem, ou se querem, sujeitos de seus próprios corpos, de sua sexualidade, de sua vida, ocasionando as mais diversas consequências políticas, econômicas e culturais. </w:t>
      </w:r>
    </w:p>
    <w:p>
      <w:pPr>
        <w:spacing w:before="0" w:after="200" w:line="360"/>
        <w:ind w:right="0" w:left="0" w:firstLine="708"/>
        <w:jc w:val="both"/>
        <w:rPr>
          <w:rFonts w:ascii="Calibri" w:hAnsi="Calibri" w:cs="Calibri" w:eastAsia="Calibri"/>
          <w:color w:val="FF0000"/>
          <w:spacing w:val="0"/>
          <w:position w:val="0"/>
          <w:sz w:val="22"/>
          <w:shd w:fill="auto" w:val="clear"/>
        </w:rPr>
      </w:pPr>
      <w:r>
        <w:rPr>
          <w:rFonts w:ascii="Calibri" w:hAnsi="Calibri" w:cs="Calibri" w:eastAsia="Calibri"/>
          <w:color w:val="auto"/>
          <w:spacing w:val="0"/>
          <w:position w:val="0"/>
          <w:sz w:val="22"/>
          <w:shd w:fill="auto" w:val="clear"/>
        </w:rPr>
        <w:t xml:space="preserve">Franchetto (1981) tem razão quando afirma que as mulheres adquiriram consciência de sua opressão e, na contemporaneidade, a literatura infanto-juvenil é prova disso. As escritoras, como Ruth Rocha, por exemplo, estão produzindo obras e revendo estereótipos. Quem sabe assim podem contribuir para mudar essa situação. E elas não ficaram sozinhas nessa “luta”, existem escritores colaborando e que não ficaram alheios a essa discriminação. Uma literatura consciente para leitores críticos. Prática que não passou despercebida nos estudos de Bettelheim (1980, p. 20). Para ele: “[...] Enquanto diverte a criança, o conto de fadas esclarece coisas sobre si mesma e favorece o desenvolvimento de sua personalidade. Oferece significado em tantos níveis diferentes, e enriquece a existência da criança [...]”. Dessa forma, percebemos a literatura como um recurso poderoso para combater preconceitos.</w:t>
      </w:r>
    </w:p>
    <w:p>
      <w:pPr>
        <w:spacing w:before="0" w:after="200" w:line="36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CONSIDERAÇÕES FINAIS</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 o objetivo de expor as considerações finais do presente trabalho, faço, a seguir, alguns comentários acerca do estudo realizado.</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Num primeiro momento do nosso estudo abordamos as representações identitárias femininas na sociedade e na literatura infantil e constatamos que as possibilidades de identificação são inúmeras, podendo o indivíduo ter identidade pessoal, coletiva, profissional, de classe, de gênero, entre outras, e que essas identificações são construídas através das relações sociais. À luz desses comentários teóricos, busquei conduzir minha análise no sentido de poder averiguar quais identidades femininas estão presentes nas obras da literatura infantil brasileira. </w:t>
      </w:r>
    </w:p>
    <w:p>
      <w:pPr>
        <w:spacing w:before="0" w:after="200" w:line="360"/>
        <w:ind w:right="0" w:left="0" w:firstLine="708"/>
        <w:jc w:val="both"/>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Preocupei-me, igualmente, em salientar que </w:t>
      </w:r>
      <w:r>
        <w:rPr>
          <w:rFonts w:ascii="Calibri" w:hAnsi="Calibri" w:cs="Calibri" w:eastAsia="Calibri"/>
          <w:color w:val="000000"/>
          <w:spacing w:val="0"/>
          <w:position w:val="0"/>
          <w:sz w:val="22"/>
          <w:shd w:fill="auto" w:val="clear"/>
        </w:rPr>
        <w:t xml:space="preserve">a questão da construção da identidade gira em torno do “tornar-se”, por isso homens e mulheres estão a todo o momento mudando a sua função na sociedade e na literatura, construindo novas identidades. Dessa forma, elas são marcadas pelas diferenças e pelas similaridades.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2"/>
          <w:shd w:fill="auto" w:val="clear"/>
        </w:rPr>
        <w:t xml:space="preserve">De certa maneira, a análise do corpus comprovou que a ideia construída pelo indivíduo sobre si está diretamente ligada ao que se constitui o “nós” por oposição a “eles” aos “outros”. Os homens, personagens das obras analisadas, por exemplo, tendem a construir posições sociais para as mulheres, tomando a si próprios como ponto de referência e o contrário também é verdadeiro, isto é, as mulheres exercem funções sociais a partir das ações do homem. São indivíduos tentando a todo o momento “moldar” o comportamento das mulheres, definir funções que devem ser exercidas e decidir o destino delas. Essas identificações puderam ser constatadas através dos comentários realizados ao analisar nosso corpus.</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Num segundo momento da pesquisa fizemos uma análise de duas obras produzidas por escritores brasileiros com o objetivo de averiguar quais funções sociais são atribuídas às personagens femininas criadas por eles. A obra </w:t>
      </w:r>
      <w:r>
        <w:rPr>
          <w:rFonts w:ascii="Calibri" w:hAnsi="Calibri" w:cs="Calibri" w:eastAsia="Calibri"/>
          <w:i/>
          <w:color w:val="auto"/>
          <w:spacing w:val="0"/>
          <w:position w:val="0"/>
          <w:sz w:val="22"/>
          <w:shd w:fill="auto" w:val="clear"/>
        </w:rPr>
        <w:t xml:space="preserve">O fantástico mistério de Feiurinha</w:t>
      </w:r>
      <w:r>
        <w:rPr>
          <w:rFonts w:ascii="Calibri" w:hAnsi="Calibri" w:cs="Calibri" w:eastAsia="Calibri"/>
          <w:color w:val="auto"/>
          <w:spacing w:val="0"/>
          <w:position w:val="0"/>
          <w:sz w:val="22"/>
          <w:shd w:fill="auto" w:val="clear"/>
        </w:rPr>
        <w:t xml:space="preserve">, de Pedro Bandeira. Descobrimos, ao colocar em prática a comparação entre a obra escrita por Pedro Bandeira e os contos de Charles Perrault e dos Irmãos Grimm, que, nos intertextos, quase todas as protagonistas ganharam algumas semelhanças e muitas diferenças com relação à identidade pessoal que possuíam nas versões europeias como, por exemplo, o fato de as princesas não serem descritas de forma idealizada e frágil, mas como destemidas, corajosas, aventureiras. Contudo, demonstram também que ainda são vistas como “aquela que cuida” de marido e dos filhos. O instinto maternal e a maternidade continuam sendo valorizados, pois quase todas se preocupam com seus esposos e estão grávidas de oito meses; são caseiras, até descobrirem o sumiço de Feiurinha, e não trabalham; vivem costurando roupas para o próximo filho e tomando conta dos outros como é o caso de Branca de Neve. Dessa forma, algumas funções destinadas às mulheres foram mantidas e novas surgiram.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Nas obras escolhidas, encontramos mulheres submissas e independentes. Algumas serviram de modelos de obediência aos pais, outras decidiram exercer funções antes destinadas aos homens como lutar numa guerra. Enquanto algumas personagens podem manter outras podem desconstruir estereótipos. Para entendermos melhor como isso acontece, buscamos a concepção de estereótipo. Com base nessa concepção, fomos analisando a obra de Ruth Rocha e, ao concluir a nossa análise, podemos afirmar que a autora tentou desconstruir identificações sociais cristalizadas, proporcionando aos leitores um momento para refletir sobre os estereótipos existentes na sociedade.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Dessa forma, através do estudo efetuado, verificamos que nem todas as hipóteses inicialmente levantadas foram confirmadas em seus pontos basilares, a saber: as obras escritas por escritoras possuem personagens femininas independentes, fortes e corajosas e nas obras produzidas por escritores acontece algo semelhante, e as mulheres não são descritas como dependentes, submissas, sensíveis e frágeis; os intertextos, escritos por autores brasileiros, que são objetos de estudo desta dissertação rememoram personagens femininas das obras de Charles Perrault e dos Irmãos Grimm e a maior parte delas não possui as mesmas funções sociais das versões europeias. </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Vale ressaltar que a escolha de obras da literatura infantil foi feita por acreditar que a leitura das histórias infanto-juvenis permite à criança a possibilidade de estabelecer um contato, de forma reflexiva, com situações que retratam papéis sociais destinados à mulher na sociedade. Histórias que, na quase totalidade dos casos, são produzidas por adultos e eles estão transmitindo, consciente ou inconscientemente, valores e tipos de comportamento que poderão ser assimilados pelos pequenos receptores, por estarem em fase de formação ou como leitores críticos as crianças e jovens podem não assimilar, mas desconstruir preconceitos existentes e denunciados pelos escritores.</w:t>
      </w:r>
    </w:p>
    <w:p>
      <w:pPr>
        <w:spacing w:before="0" w:after="200" w:line="360"/>
        <w:ind w:right="0" w:left="0" w:firstLine="708"/>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Destarte, as mudanças e/ou semelhanças com os estereótipos já existentes em nossa sociedade, encontradas nas obras estudadas, atestam mais inovações do que repetições na forma de representação do feminino, questionando o que é belo ou feio, a mulher frágil ou forte, o príncipe encantado ou desencantado e, dessa maneira, podem despertar o senso crítico dos leitores. Não existem papéis ou funções sociais que devem ser destinados a homens e mulheres, mas cada um deve preservar a sua singularidade. Diante disso, através da análise das quatro obras de escritores e escritoras, averiguamos que as personagens desejam encontrar a sua identidade pessoal, possuir “a sua marca”, e a literatura infantil aborda essa busca e as opções escolhidas por cada uma delas. Assim, a literatura propicia uma reorganização das percepções do mundo e, desse modo, possibilita uma nova ordenação das experiências existenciais da criança. </w:t>
      </w:r>
    </w:p>
    <w:p>
      <w:pPr>
        <w:spacing w:before="0" w:after="20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REFERÊNCIAS</w:t>
      </w:r>
    </w:p>
    <w:p>
      <w:pPr>
        <w:spacing w:before="0" w:after="200" w:line="276"/>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ANTAS, Kátia Cordeiro. </w:t>
      </w:r>
      <w:r>
        <w:rPr>
          <w:rFonts w:ascii="Calibri" w:hAnsi="Calibri" w:cs="Calibri" w:eastAsia="Calibri"/>
          <w:b/>
          <w:color w:val="auto"/>
          <w:spacing w:val="0"/>
          <w:position w:val="0"/>
          <w:sz w:val="22"/>
          <w:shd w:fill="auto" w:val="clear"/>
        </w:rPr>
        <w:t xml:space="preserve">Visões Sociais de Homem e de Mulher: </w:t>
      </w:r>
      <w:r>
        <w:rPr>
          <w:rFonts w:ascii="Calibri" w:hAnsi="Calibri" w:cs="Calibri" w:eastAsia="Calibri"/>
          <w:color w:val="auto"/>
          <w:spacing w:val="0"/>
          <w:position w:val="0"/>
          <w:sz w:val="22"/>
          <w:shd w:fill="auto" w:val="clear"/>
        </w:rPr>
        <w:t xml:space="preserve">um estudo do conhecimento social acerca do ser homem e do ser mulher.</w:t>
      </w:r>
      <w:r>
        <w:rPr>
          <w:rFonts w:ascii="Calibri" w:hAnsi="Calibri" w:cs="Calibri" w:eastAsia="Calibri"/>
          <w:b/>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2005. 132 p. Dissertação (Mestrado em Psicologia) – Faculdade Federal da Paraíba, João Pessoa.</w:t>
      </w:r>
    </w:p>
    <w:p>
      <w:pPr>
        <w:spacing w:before="0" w:after="200" w:line="276"/>
        <w:ind w:right="0" w:left="0" w:firstLine="0"/>
        <w:jc w:val="both"/>
        <w:rPr>
          <w:rFonts w:ascii="Calibri" w:hAnsi="Calibri" w:cs="Calibri" w:eastAsia="Calibri"/>
          <w:color w:val="FF0000"/>
          <w:spacing w:val="0"/>
          <w:position w:val="0"/>
          <w:sz w:val="22"/>
          <w:shd w:fill="auto" w:val="clear"/>
        </w:rPr>
      </w:pPr>
      <w:r>
        <w:rPr>
          <w:rFonts w:ascii="Calibri" w:hAnsi="Calibri" w:cs="Calibri" w:eastAsia="Calibri"/>
          <w:color w:val="auto"/>
          <w:spacing w:val="0"/>
          <w:position w:val="0"/>
          <w:sz w:val="22"/>
          <w:shd w:fill="auto" w:val="clear"/>
        </w:rPr>
        <w:t xml:space="preserve">ASSMAR, Eveline Mª Leal; FERREIRA, Mª Cristina. Estereótipos e preconceitos de gênero, liderança e justiça organizacional: controvérsias e sugestões para uma agenda de pesquisa. In: </w:t>
      </w:r>
      <w:r>
        <w:rPr>
          <w:rFonts w:ascii="Calibri" w:hAnsi="Calibri" w:cs="Calibri" w:eastAsia="Calibri"/>
          <w:b/>
          <w:color w:val="auto"/>
          <w:spacing w:val="0"/>
          <w:position w:val="0"/>
          <w:sz w:val="22"/>
          <w:shd w:fill="auto" w:val="clear"/>
        </w:rPr>
        <w:t xml:space="preserve">Estereótipos, Preconceito e Discriminação: </w:t>
      </w:r>
      <w:r>
        <w:rPr>
          <w:rFonts w:ascii="Calibri" w:hAnsi="Calibri" w:cs="Calibri" w:eastAsia="Calibri"/>
          <w:color w:val="auto"/>
          <w:spacing w:val="0"/>
          <w:position w:val="0"/>
          <w:sz w:val="22"/>
          <w:shd w:fill="auto" w:val="clear"/>
        </w:rPr>
        <w:t xml:space="preserve">perspectivas teóricas e metodológicas. Marcus Eugênio Oliveira Lima, Marcos Emanoel Pereira (Orgs.). Salvador: EDUFBA, 2004.</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BANDEIRA, Pedro. </w:t>
      </w:r>
      <w:r>
        <w:rPr>
          <w:rFonts w:ascii="Calibri" w:hAnsi="Calibri" w:cs="Calibri" w:eastAsia="Calibri"/>
          <w:b/>
          <w:color w:val="auto"/>
          <w:spacing w:val="0"/>
          <w:position w:val="0"/>
          <w:sz w:val="22"/>
          <w:shd w:fill="auto" w:val="clear"/>
        </w:rPr>
        <w:t xml:space="preserve">O Fantástico mistério de Feiurinha</w:t>
      </w:r>
      <w:r>
        <w:rPr>
          <w:rFonts w:ascii="Calibri" w:hAnsi="Calibri" w:cs="Calibri" w:eastAsia="Calibri"/>
          <w:color w:val="auto"/>
          <w:spacing w:val="0"/>
          <w:position w:val="0"/>
          <w:sz w:val="22"/>
          <w:shd w:fill="auto" w:val="clear"/>
        </w:rPr>
        <w:t xml:space="preserve">. São Paulo: FTD, 1999.</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BHABHA, Homi K. </w:t>
      </w:r>
      <w:r>
        <w:rPr>
          <w:rFonts w:ascii="Calibri" w:hAnsi="Calibri" w:cs="Calibri" w:eastAsia="Calibri"/>
          <w:b/>
          <w:color w:val="auto"/>
          <w:spacing w:val="0"/>
          <w:position w:val="0"/>
          <w:sz w:val="22"/>
          <w:shd w:fill="auto" w:val="clear"/>
        </w:rPr>
        <w:t xml:space="preserve">O local da cultura. </w:t>
      </w:r>
      <w:r>
        <w:rPr>
          <w:rFonts w:ascii="Calibri" w:hAnsi="Calibri" w:cs="Calibri" w:eastAsia="Calibri"/>
          <w:color w:val="auto"/>
          <w:spacing w:val="0"/>
          <w:position w:val="0"/>
          <w:sz w:val="22"/>
          <w:shd w:fill="auto" w:val="clear"/>
        </w:rPr>
        <w:t xml:space="preserve">Trad. Myriam Ávila, Eliana Lourenço de Lima Reis e Gláucia Renata Gonçalves. Belo Horizonte: UFMG, 1998.</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BEAUVOIR, Simone. </w:t>
      </w:r>
      <w:r>
        <w:rPr>
          <w:rFonts w:ascii="Calibri" w:hAnsi="Calibri" w:cs="Calibri" w:eastAsia="Calibri"/>
          <w:b/>
          <w:color w:val="auto"/>
          <w:spacing w:val="0"/>
          <w:position w:val="0"/>
          <w:sz w:val="22"/>
          <w:shd w:fill="auto" w:val="clear"/>
        </w:rPr>
        <w:t xml:space="preserve">O Segundo Sexo. </w:t>
      </w:r>
      <w:r>
        <w:rPr>
          <w:rFonts w:ascii="Calibri" w:hAnsi="Calibri" w:cs="Calibri" w:eastAsia="Calibri"/>
          <w:color w:val="auto"/>
          <w:spacing w:val="0"/>
          <w:position w:val="0"/>
          <w:sz w:val="22"/>
          <w:shd w:fill="auto" w:val="clear"/>
        </w:rPr>
        <w:t xml:space="preserve">Fatos e Mitos. Trad. Sérgio Milliet, 7. ed. Rio de Janeiro: Ed. Nova Fronteira, 1980. 309 p. Volume 1.</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BETTELHEIM, Bruno. </w:t>
      </w:r>
      <w:r>
        <w:rPr>
          <w:rFonts w:ascii="Calibri" w:hAnsi="Calibri" w:cs="Calibri" w:eastAsia="Calibri"/>
          <w:b/>
          <w:color w:val="auto"/>
          <w:spacing w:val="0"/>
          <w:position w:val="0"/>
          <w:sz w:val="22"/>
          <w:shd w:fill="auto" w:val="clear"/>
        </w:rPr>
        <w:t xml:space="preserve">A psicanálise dos contos de fadas. </w:t>
      </w:r>
      <w:r>
        <w:rPr>
          <w:rFonts w:ascii="Calibri" w:hAnsi="Calibri" w:cs="Calibri" w:eastAsia="Calibri"/>
          <w:color w:val="auto"/>
          <w:spacing w:val="0"/>
          <w:position w:val="0"/>
          <w:sz w:val="22"/>
          <w:shd w:fill="auto" w:val="clear"/>
        </w:rPr>
        <w:t xml:space="preserve">Tradução Arlene Caetano. 16. ed. São Paulo: Paz e Terra, 1980.</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BOURDIEU, PIERRE. </w:t>
      </w:r>
      <w:r>
        <w:rPr>
          <w:rFonts w:ascii="Calibri" w:hAnsi="Calibri" w:cs="Calibri" w:eastAsia="Calibri"/>
          <w:b/>
          <w:color w:val="auto"/>
          <w:spacing w:val="0"/>
          <w:position w:val="0"/>
          <w:sz w:val="22"/>
          <w:shd w:fill="auto" w:val="clear"/>
        </w:rPr>
        <w:t xml:space="preserve">O poder simbólico</w:t>
      </w:r>
      <w:r>
        <w:rPr>
          <w:rFonts w:ascii="Calibri" w:hAnsi="Calibri" w:cs="Calibri" w:eastAsia="Calibri"/>
          <w:color w:val="auto"/>
          <w:spacing w:val="0"/>
          <w:position w:val="0"/>
          <w:sz w:val="22"/>
          <w:shd w:fill="auto" w:val="clear"/>
        </w:rPr>
        <w:t xml:space="preserve">. Lisboa: Difel, 1989.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CASCUDO, Luis da Câmara. </w:t>
      </w:r>
      <w:r>
        <w:rPr>
          <w:rFonts w:ascii="Calibri" w:hAnsi="Calibri" w:cs="Calibri" w:eastAsia="Calibri"/>
          <w:b/>
          <w:color w:val="auto"/>
          <w:spacing w:val="0"/>
          <w:position w:val="0"/>
          <w:sz w:val="22"/>
          <w:shd w:fill="auto" w:val="clear"/>
        </w:rPr>
        <w:t xml:space="preserve">Contos tradicionais do Brasil. </w:t>
      </w:r>
      <w:r>
        <w:rPr>
          <w:rFonts w:ascii="Calibri" w:hAnsi="Calibri" w:cs="Calibri" w:eastAsia="Calibri"/>
          <w:color w:val="auto"/>
          <w:spacing w:val="0"/>
          <w:position w:val="0"/>
          <w:sz w:val="22"/>
          <w:shd w:fill="auto" w:val="clear"/>
        </w:rPr>
        <w:t xml:space="preserve">Belo Horizonte: Itatiaia; São Paulo: Universidade de São Paulo, 1986.</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CHARTIER, Roger. História e Literatura. In: </w:t>
      </w:r>
      <w:r>
        <w:rPr>
          <w:rFonts w:ascii="Calibri" w:hAnsi="Calibri" w:cs="Calibri" w:eastAsia="Calibri"/>
          <w:b/>
          <w:color w:val="auto"/>
          <w:spacing w:val="0"/>
          <w:position w:val="0"/>
          <w:sz w:val="22"/>
          <w:shd w:fill="auto" w:val="clear"/>
        </w:rPr>
        <w:t xml:space="preserve">À Beira da falésia</w:t>
      </w:r>
      <w:r>
        <w:rPr>
          <w:rFonts w:ascii="Calibri" w:hAnsi="Calibri" w:cs="Calibri" w:eastAsia="Calibri"/>
          <w:color w:val="auto"/>
          <w:spacing w:val="0"/>
          <w:position w:val="0"/>
          <w:sz w:val="22"/>
          <w:shd w:fill="auto" w:val="clear"/>
        </w:rPr>
        <w:t xml:space="preserve">: a história entre incertezas e inquietude. Trad. Patrícia Chittoni Ramos. Porto Alegre: Universidade; UFRGS, 2002.</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 </w:t>
      </w:r>
      <w:r>
        <w:rPr>
          <w:rFonts w:ascii="Calibri" w:hAnsi="Calibri" w:cs="Calibri" w:eastAsia="Calibri"/>
          <w:b/>
          <w:color w:val="auto"/>
          <w:spacing w:val="0"/>
          <w:position w:val="0"/>
          <w:sz w:val="22"/>
          <w:shd w:fill="auto" w:val="clear"/>
        </w:rPr>
        <w:t xml:space="preserve">A história cultural: </w:t>
      </w:r>
      <w:r>
        <w:rPr>
          <w:rFonts w:ascii="Calibri" w:hAnsi="Calibri" w:cs="Calibri" w:eastAsia="Calibri"/>
          <w:color w:val="auto"/>
          <w:spacing w:val="0"/>
          <w:position w:val="0"/>
          <w:sz w:val="22"/>
          <w:shd w:fill="auto" w:val="clear"/>
        </w:rPr>
        <w:t xml:space="preserve">entre práticas e representações. Trad. Maria Manuela Galhardo. Rio de Janeiro: Bertrand Brasil, 1990.</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 </w:t>
      </w:r>
      <w:r>
        <w:rPr>
          <w:rFonts w:ascii="Calibri" w:hAnsi="Calibri" w:cs="Calibri" w:eastAsia="Calibri"/>
          <w:b/>
          <w:color w:val="auto"/>
          <w:spacing w:val="0"/>
          <w:position w:val="0"/>
          <w:sz w:val="22"/>
          <w:shd w:fill="auto" w:val="clear"/>
        </w:rPr>
        <w:t xml:space="preserve">A ordem dos livros: </w:t>
      </w:r>
      <w:r>
        <w:rPr>
          <w:rFonts w:ascii="Calibri" w:hAnsi="Calibri" w:cs="Calibri" w:eastAsia="Calibri"/>
          <w:color w:val="auto"/>
          <w:spacing w:val="0"/>
          <w:position w:val="0"/>
          <w:sz w:val="22"/>
          <w:shd w:fill="auto" w:val="clear"/>
        </w:rPr>
        <w:t xml:space="preserve">leitores, autores e bibliotecas na Europa entre os séculos XIV e XVII. Trad. Mary Del Priore. Brasília: UnB, 1994.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 O mundo como representação.</w:t>
      </w:r>
      <w:r>
        <w:rPr>
          <w:rFonts w:ascii="Calibri" w:hAnsi="Calibri" w:cs="Calibri" w:eastAsia="Calibri"/>
          <w:b/>
          <w:color w:val="auto"/>
          <w:spacing w:val="0"/>
          <w:position w:val="0"/>
          <w:sz w:val="22"/>
          <w:shd w:fill="auto" w:val="clear"/>
        </w:rPr>
        <w:t xml:space="preserve"> Estudos Avançados</w:t>
      </w:r>
      <w:r>
        <w:rPr>
          <w:rFonts w:ascii="Calibri" w:hAnsi="Calibri" w:cs="Calibri" w:eastAsia="Calibri"/>
          <w:color w:val="auto"/>
          <w:spacing w:val="0"/>
          <w:position w:val="0"/>
          <w:sz w:val="22"/>
          <w:shd w:fill="auto" w:val="clear"/>
        </w:rPr>
        <w:t xml:space="preserve">, São Paulo, v. 5, n. 11, 1991. Disponível em: &lt;</w:t>
      </w:r>
      <w:hyperlink xmlns:r="http://schemas.openxmlformats.org/officeDocument/2006/relationships" r:id="docRId68">
        <w:r>
          <w:rPr>
            <w:rFonts w:ascii="Calibri" w:hAnsi="Calibri" w:cs="Calibri" w:eastAsia="Calibri"/>
            <w:color w:val="0000FF"/>
            <w:spacing w:val="0"/>
            <w:position w:val="0"/>
            <w:sz w:val="22"/>
            <w:u w:val="single"/>
            <w:shd w:fill="auto" w:val="clear"/>
          </w:rPr>
          <w:t xml:space="preserve">http://www.scielo.br/scielo.php?script=sci_arttext&amp;pid=S0103-4014199100001000010&amp;ing=pt&amp;nrm=iso</w:t>
        </w:r>
      </w:hyperlink>
      <w:r>
        <w:rPr>
          <w:rFonts w:ascii="Calibri" w:hAnsi="Calibri" w:cs="Calibri" w:eastAsia="Calibri"/>
          <w:color w:val="auto"/>
          <w:spacing w:val="0"/>
          <w:position w:val="0"/>
          <w:sz w:val="22"/>
          <w:shd w:fill="auto" w:val="clear"/>
        </w:rPr>
        <w:t xml:space="preserve">&gt; . Acesso em: 18 ago.2008.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 </w:t>
      </w:r>
      <w:r>
        <w:rPr>
          <w:rFonts w:ascii="Calibri" w:hAnsi="Calibri" w:cs="Calibri" w:eastAsia="Calibri"/>
          <w:b/>
          <w:color w:val="auto"/>
          <w:spacing w:val="0"/>
          <w:position w:val="0"/>
          <w:sz w:val="22"/>
          <w:shd w:fill="auto" w:val="clear"/>
        </w:rPr>
        <w:t xml:space="preserve">O Conto de Fadas: </w:t>
      </w:r>
      <w:r>
        <w:rPr>
          <w:rFonts w:ascii="Calibri" w:hAnsi="Calibri" w:cs="Calibri" w:eastAsia="Calibri"/>
          <w:color w:val="auto"/>
          <w:spacing w:val="0"/>
          <w:position w:val="0"/>
          <w:sz w:val="22"/>
          <w:shd w:fill="auto" w:val="clear"/>
        </w:rPr>
        <w:t xml:space="preserve">Símbolos, Mitos, Arquétipos. São Paulo: DCL, 2003. </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Contos de Andersen, Grimm e Perrault</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Trad. Maria Luisa de Abreu Lima Paz. Ilustrações Eduardo Trujillo e Marcela Grez. São Paulo: Girassol, 2005. </w:t>
      </w:r>
      <w:r>
        <w:rPr>
          <w:rFonts w:ascii="Times New Roman" w:hAnsi="Times New Roman" w:cs="Times New Roman" w:eastAsia="Times New Roman"/>
          <w:b/>
          <w:color w:val="auto"/>
          <w:spacing w:val="0"/>
          <w:position w:val="0"/>
          <w:sz w:val="22"/>
          <w:shd w:fill="auto" w:val="clear"/>
        </w:rPr>
        <w:t xml:space="preserve">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DINIZ, Thais Flores Nogueira. </w:t>
      </w:r>
      <w:r>
        <w:rPr>
          <w:rFonts w:ascii="Calibri" w:hAnsi="Calibri" w:cs="Calibri" w:eastAsia="Calibri"/>
          <w:b/>
          <w:color w:val="auto"/>
          <w:spacing w:val="0"/>
          <w:position w:val="0"/>
          <w:sz w:val="22"/>
          <w:shd w:fill="auto" w:val="clear"/>
        </w:rPr>
        <w:t xml:space="preserve">Literatura e cinema</w:t>
      </w:r>
      <w:r>
        <w:rPr>
          <w:rFonts w:ascii="Calibri" w:hAnsi="Calibri" w:cs="Calibri" w:eastAsia="Calibri"/>
          <w:color w:val="auto"/>
          <w:spacing w:val="0"/>
          <w:position w:val="0"/>
          <w:sz w:val="22"/>
          <w:shd w:fill="auto" w:val="clear"/>
        </w:rPr>
        <w:t xml:space="preserve">: tradução, hipertextualidade, reciclagem. Belo Horizonte: Faculdade de Letras da UFMG, 2005.</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DOWLING, Colette. </w:t>
      </w:r>
      <w:r>
        <w:rPr>
          <w:rFonts w:ascii="Calibri" w:hAnsi="Calibri" w:cs="Calibri" w:eastAsia="Calibri"/>
          <w:b/>
          <w:color w:val="auto"/>
          <w:spacing w:val="0"/>
          <w:position w:val="0"/>
          <w:sz w:val="22"/>
          <w:shd w:fill="auto" w:val="clear"/>
        </w:rPr>
        <w:t xml:space="preserve">Complexo de Cinderela. </w:t>
      </w:r>
      <w:r>
        <w:rPr>
          <w:rFonts w:ascii="Calibri" w:hAnsi="Calibri" w:cs="Calibri" w:eastAsia="Calibri"/>
          <w:color w:val="auto"/>
          <w:spacing w:val="0"/>
          <w:position w:val="0"/>
          <w:sz w:val="22"/>
          <w:shd w:fill="auto" w:val="clear"/>
        </w:rPr>
        <w:t xml:space="preserve">Trad. Amalys Eugenia F. Miazzi. 30. ed. São Paulo: Melhoramentos, 1987.</w:t>
      </w:r>
    </w:p>
    <w:p>
      <w:pPr>
        <w:spacing w:before="0" w:after="0" w:line="240"/>
        <w:ind w:right="0" w:left="0" w:firstLine="0"/>
        <w:jc w:val="both"/>
        <w:rPr>
          <w:rFonts w:ascii="Times New Roman" w:hAnsi="Times New Roman" w:cs="Times New Roman" w:eastAsia="Times New Roman"/>
          <w:color w:val="FF0000"/>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FRANCHETTO, Bruna et al. Antropologia e Feminismo. </w:t>
      </w:r>
      <w:r>
        <w:rPr>
          <w:rFonts w:ascii="Times New Roman" w:hAnsi="Times New Roman" w:cs="Times New Roman" w:eastAsia="Times New Roman"/>
          <w:b/>
          <w:i/>
          <w:color w:val="auto"/>
          <w:spacing w:val="0"/>
          <w:position w:val="0"/>
          <w:sz w:val="22"/>
          <w:shd w:fill="auto" w:val="clear"/>
        </w:rPr>
        <w:t xml:space="preserve">In:______.</w:t>
      </w:r>
      <w:r>
        <w:rPr>
          <w:rFonts w:ascii="Times New Roman" w:hAnsi="Times New Roman" w:cs="Times New Roman" w:eastAsia="Times New Roman"/>
          <w:i/>
          <w:color w:val="auto"/>
          <w:spacing w:val="0"/>
          <w:position w:val="0"/>
          <w:sz w:val="22"/>
          <w:shd w:fill="auto" w:val="clear"/>
        </w:rPr>
        <w:t xml:space="preserve"> Perspectivas Antropológicas da Mulher</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Rio de Janeiro: Jorge Zahar, 1981.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FRANZ, Marie Louise Von. </w:t>
      </w:r>
      <w:r>
        <w:rPr>
          <w:rFonts w:ascii="Calibri" w:hAnsi="Calibri" w:cs="Calibri" w:eastAsia="Calibri"/>
          <w:b/>
          <w:color w:val="auto"/>
          <w:spacing w:val="0"/>
          <w:position w:val="0"/>
          <w:sz w:val="22"/>
          <w:shd w:fill="auto" w:val="clear"/>
        </w:rPr>
        <w:t xml:space="preserve">A interpretação dos contos de fadas</w:t>
      </w:r>
      <w:r>
        <w:rPr>
          <w:rFonts w:ascii="Calibri" w:hAnsi="Calibri" w:cs="Calibri" w:eastAsia="Calibri"/>
          <w: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Rio de Janeiro: Achiamé, 1981.</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GRIMM, Jacob; GRIMM, Wilhelm. Chapeuzinho Vermelho. In: ABREU, Ana Rosa. </w:t>
      </w:r>
      <w:r>
        <w:rPr>
          <w:rFonts w:ascii="Calibri" w:hAnsi="Calibri" w:cs="Calibri" w:eastAsia="Calibri"/>
          <w:b/>
          <w:color w:val="auto"/>
          <w:spacing w:val="0"/>
          <w:position w:val="0"/>
          <w:sz w:val="22"/>
          <w:shd w:fill="auto" w:val="clear"/>
        </w:rPr>
        <w:t xml:space="preserve">Alfabetização. </w:t>
      </w:r>
      <w:r>
        <w:rPr>
          <w:rFonts w:ascii="Calibri" w:hAnsi="Calibri" w:cs="Calibri" w:eastAsia="Calibri"/>
          <w:color w:val="auto"/>
          <w:spacing w:val="0"/>
          <w:position w:val="0"/>
          <w:sz w:val="22"/>
          <w:shd w:fill="auto" w:val="clear"/>
        </w:rPr>
        <w:t xml:space="preserve">Brasília: Fundescola/SEF-MEC, 2000.</w:t>
      </w:r>
      <w:r>
        <w:rPr>
          <w:rFonts w:ascii="Calibri" w:hAnsi="Calibri" w:cs="Calibri" w:eastAsia="Calibri"/>
          <w:b/>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Não paginado.</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______. </w:t>
      </w:r>
      <w:r>
        <w:rPr>
          <w:rFonts w:ascii="Calibri" w:hAnsi="Calibri" w:cs="Calibri" w:eastAsia="Calibri"/>
          <w:b/>
          <w:color w:val="auto"/>
          <w:spacing w:val="0"/>
          <w:position w:val="0"/>
          <w:sz w:val="22"/>
          <w:shd w:fill="auto" w:val="clear"/>
        </w:rPr>
        <w:t xml:space="preserve">Contos de Fadas</w:t>
      </w:r>
      <w:r>
        <w:rPr>
          <w:rFonts w:ascii="Calibri" w:hAnsi="Calibri" w:cs="Calibri" w:eastAsia="Calibri"/>
          <w:color w:val="auto"/>
          <w:spacing w:val="0"/>
          <w:position w:val="0"/>
          <w:sz w:val="22"/>
          <w:shd w:fill="auto" w:val="clear"/>
        </w:rPr>
        <w:t xml:space="preserve">. São Paulo:  Iluminuras, 2002.</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HALL, Stuart. </w:t>
      </w:r>
      <w:r>
        <w:rPr>
          <w:rFonts w:ascii="Calibri" w:hAnsi="Calibri" w:cs="Calibri" w:eastAsia="Calibri"/>
          <w:b/>
          <w:color w:val="auto"/>
          <w:spacing w:val="0"/>
          <w:position w:val="0"/>
          <w:sz w:val="22"/>
          <w:shd w:fill="auto" w:val="clear"/>
        </w:rPr>
        <w:t xml:space="preserve">A identidade cultural na pós-modernidade. </w:t>
      </w:r>
      <w:r>
        <w:rPr>
          <w:rFonts w:ascii="Calibri" w:hAnsi="Calibri" w:cs="Calibri" w:eastAsia="Calibri"/>
          <w:color w:val="auto"/>
          <w:spacing w:val="0"/>
          <w:position w:val="0"/>
          <w:sz w:val="22"/>
          <w:shd w:fill="auto" w:val="clear"/>
        </w:rPr>
        <w:t xml:space="preserve">Trad. Tomaz Tadeu da Silva e Guacira Lopes Louro. Rio de Janeiro: DP&amp;A, 2005.</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KHÉDE, Sônia Salomão. </w:t>
      </w:r>
      <w:r>
        <w:rPr>
          <w:rFonts w:ascii="Calibri" w:hAnsi="Calibri" w:cs="Calibri" w:eastAsia="Calibri"/>
          <w:b/>
          <w:color w:val="auto"/>
          <w:spacing w:val="0"/>
          <w:position w:val="0"/>
          <w:sz w:val="22"/>
          <w:shd w:fill="auto" w:val="clear"/>
        </w:rPr>
        <w:t xml:space="preserve">Personagens da Literatura Infanto-Juvenil.</w:t>
      </w:r>
      <w:r>
        <w:rPr>
          <w:rFonts w:ascii="Calibri" w:hAnsi="Calibri" w:cs="Calibri" w:eastAsia="Calibri"/>
          <w:color w:val="auto"/>
          <w:spacing w:val="0"/>
          <w:position w:val="0"/>
          <w:sz w:val="22"/>
          <w:shd w:fill="auto" w:val="clear"/>
        </w:rPr>
        <w:t xml:space="preserve"> São Paulo: Ática, 1990.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KOFES, Suely. </w:t>
      </w:r>
      <w:r>
        <w:rPr>
          <w:rFonts w:ascii="Calibri" w:hAnsi="Calibri" w:cs="Calibri" w:eastAsia="Calibri"/>
          <w:b/>
          <w:color w:val="auto"/>
          <w:spacing w:val="0"/>
          <w:position w:val="0"/>
          <w:sz w:val="22"/>
          <w:shd w:fill="auto" w:val="clear"/>
        </w:rPr>
        <w:t xml:space="preserve">Categoria analítica e empírica</w:t>
      </w:r>
      <w:r>
        <w:rPr>
          <w:rFonts w:ascii="Calibri" w:hAnsi="Calibri" w:cs="Calibri" w:eastAsia="Calibri"/>
          <w:color w:val="auto"/>
          <w:spacing w:val="0"/>
          <w:position w:val="0"/>
          <w:sz w:val="22"/>
          <w:shd w:fill="auto" w:val="clear"/>
        </w:rPr>
        <w:t xml:space="preserve">: Gênero e mulher: disjunções, conjunções e mediações. </w:t>
      </w:r>
      <w:r>
        <w:rPr>
          <w:rFonts w:ascii="Calibri" w:hAnsi="Calibri" w:cs="Calibri" w:eastAsia="Calibri"/>
          <w:b/>
          <w:i/>
          <w:color w:val="auto"/>
          <w:spacing w:val="0"/>
          <w:position w:val="0"/>
          <w:sz w:val="22"/>
          <w:shd w:fill="auto" w:val="clear"/>
        </w:rPr>
        <w:t xml:space="preserve">Revista Pagu</w:t>
      </w:r>
      <w:r>
        <w:rPr>
          <w:rFonts w:ascii="Calibri" w:hAnsi="Calibri" w:cs="Calibri" w:eastAsia="Calibri"/>
          <w:color w:val="auto"/>
          <w:spacing w:val="0"/>
          <w:position w:val="0"/>
          <w:sz w:val="22"/>
          <w:shd w:fill="auto" w:val="clear"/>
        </w:rPr>
        <w:t xml:space="preserve">, No.1, 1993:19-30.</w:t>
      </w:r>
    </w:p>
    <w:p>
      <w:pPr>
        <w:spacing w:before="0" w:after="0" w:line="240"/>
        <w:ind w:right="0" w:left="0" w:firstLine="0"/>
        <w:jc w:val="both"/>
        <w:rPr>
          <w:rFonts w:ascii="Times New Roman" w:hAnsi="Times New Roman" w:cs="Times New Roman" w:eastAsia="Times New Roman"/>
          <w:color w:val="808000"/>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KRUGER, Helmuth. Cognição, estereótipos e preconceitos sociais. In: </w:t>
      </w:r>
      <w:r>
        <w:rPr>
          <w:rFonts w:ascii="Times New Roman" w:hAnsi="Times New Roman" w:cs="Times New Roman" w:eastAsia="Times New Roman"/>
          <w:b/>
          <w:color w:val="auto"/>
          <w:spacing w:val="0"/>
          <w:position w:val="0"/>
          <w:sz w:val="22"/>
          <w:shd w:fill="auto" w:val="clear"/>
        </w:rPr>
        <w:t xml:space="preserve">Estereótipos, Preconceito e Discriminação:</w:t>
      </w:r>
      <w:r>
        <w:rPr>
          <w:rFonts w:ascii="Times New Roman" w:hAnsi="Times New Roman" w:cs="Times New Roman" w:eastAsia="Times New Roman"/>
          <w:color w:val="auto"/>
          <w:spacing w:val="0"/>
          <w:position w:val="0"/>
          <w:sz w:val="22"/>
          <w:shd w:fill="auto" w:val="clear"/>
        </w:rPr>
        <w:t xml:space="preserve"> perspectivas teóricas e metodológicas. Marcus Eugênio Oliveira Lima, Marcos Emanoel Pereira (Orgs.) Salvador: EDUFBA, 2004.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KRISTEVA, Julia. </w:t>
      </w:r>
      <w:r>
        <w:rPr>
          <w:rFonts w:ascii="Calibri" w:hAnsi="Calibri" w:cs="Calibri" w:eastAsia="Calibri"/>
          <w:b/>
          <w:color w:val="auto"/>
          <w:spacing w:val="0"/>
          <w:position w:val="0"/>
          <w:sz w:val="22"/>
          <w:shd w:fill="auto" w:val="clear"/>
        </w:rPr>
        <w:t xml:space="preserve">Semanálise. </w:t>
      </w:r>
      <w:r>
        <w:rPr>
          <w:rFonts w:ascii="Calibri" w:hAnsi="Calibri" w:cs="Calibri" w:eastAsia="Calibri"/>
          <w:color w:val="auto"/>
          <w:spacing w:val="0"/>
          <w:position w:val="0"/>
          <w:sz w:val="22"/>
          <w:shd w:fill="auto" w:val="clear"/>
        </w:rPr>
        <w:t xml:space="preserve">Trad.</w:t>
      </w:r>
      <w:r>
        <w:rPr>
          <w:rFonts w:ascii="Calibri" w:hAnsi="Calibri" w:cs="Calibri" w:eastAsia="Calibri"/>
          <w:b/>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Lúcia Helena França Ferraz.</w:t>
      </w:r>
      <w:r>
        <w:rPr>
          <w:rFonts w:ascii="Calibri" w:hAnsi="Calibri" w:cs="Calibri" w:eastAsia="Calibri"/>
          <w:b/>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São Paulo: Perspectiva, 1989.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LOURO, Guacira Lopes. </w:t>
      </w:r>
      <w:r>
        <w:rPr>
          <w:rFonts w:ascii="Calibri" w:hAnsi="Calibri" w:cs="Calibri" w:eastAsia="Calibri"/>
          <w:b/>
          <w:color w:val="auto"/>
          <w:spacing w:val="0"/>
          <w:position w:val="0"/>
          <w:sz w:val="22"/>
          <w:shd w:fill="auto" w:val="clear"/>
        </w:rPr>
        <w:t xml:space="preserve">Gênero, sexualidade e educação.</w:t>
      </w:r>
      <w:r>
        <w:rPr>
          <w:rFonts w:ascii="Calibri" w:hAnsi="Calibri" w:cs="Calibri" w:eastAsia="Calibri"/>
          <w:color w:val="auto"/>
          <w:spacing w:val="0"/>
          <w:position w:val="0"/>
          <w:sz w:val="22"/>
          <w:shd w:fill="auto" w:val="clear"/>
        </w:rPr>
        <w:t xml:space="preserve"> Petrópolis: Vozes, 2001.</w:t>
      </w:r>
    </w:p>
    <w:p>
      <w:pPr>
        <w:spacing w:before="0" w:after="200" w:line="276"/>
        <w:ind w:right="0" w:left="0" w:firstLine="0"/>
        <w:jc w:val="both"/>
        <w:rPr>
          <w:rFonts w:ascii="Calibri" w:hAnsi="Calibri" w:cs="Calibri" w:eastAsia="Calibri"/>
          <w:color w:val="808000"/>
          <w:spacing w:val="0"/>
          <w:position w:val="0"/>
          <w:sz w:val="22"/>
          <w:shd w:fill="auto" w:val="clear"/>
        </w:rPr>
      </w:pPr>
      <w:r>
        <w:rPr>
          <w:rFonts w:ascii="Calibri" w:hAnsi="Calibri" w:cs="Calibri" w:eastAsia="Calibri"/>
          <w:color w:val="auto"/>
          <w:spacing w:val="0"/>
          <w:position w:val="0"/>
          <w:sz w:val="22"/>
          <w:shd w:fill="auto" w:val="clear"/>
        </w:rPr>
        <w:t xml:space="preserve">_______. Mulheres na sala de aula. In: DEL PRIORE, Mary; BASSANEZI, Carla. </w:t>
      </w:r>
      <w:r>
        <w:rPr>
          <w:rFonts w:ascii="Calibri" w:hAnsi="Calibri" w:cs="Calibri" w:eastAsia="Calibri"/>
          <w:b/>
          <w:color w:val="auto"/>
          <w:spacing w:val="0"/>
          <w:position w:val="0"/>
          <w:sz w:val="22"/>
          <w:shd w:fill="auto" w:val="clear"/>
        </w:rPr>
        <w:t xml:space="preserve">História das mulheres no Brasil. </w:t>
      </w:r>
      <w:r>
        <w:rPr>
          <w:rFonts w:ascii="Calibri" w:hAnsi="Calibri" w:cs="Calibri" w:eastAsia="Calibri"/>
          <w:color w:val="auto"/>
          <w:spacing w:val="0"/>
          <w:position w:val="0"/>
          <w:sz w:val="22"/>
          <w:shd w:fill="auto" w:val="clear"/>
        </w:rPr>
        <w:t xml:space="preserve">São Paulo: Contexto, 2004.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MEAD, Margareth. </w:t>
      </w:r>
      <w:r>
        <w:rPr>
          <w:rFonts w:ascii="Calibri" w:hAnsi="Calibri" w:cs="Calibri" w:eastAsia="Calibri"/>
          <w:i/>
          <w:color w:val="auto"/>
          <w:spacing w:val="0"/>
          <w:position w:val="0"/>
          <w:sz w:val="22"/>
          <w:shd w:fill="auto" w:val="clear"/>
        </w:rPr>
        <w:t xml:space="preserve">Sexo e temperamento</w:t>
      </w:r>
      <w:r>
        <w:rPr>
          <w:rFonts w:ascii="Calibri" w:hAnsi="Calibri" w:cs="Calibri" w:eastAsia="Calibri"/>
          <w:color w:val="auto"/>
          <w:spacing w:val="0"/>
          <w:position w:val="0"/>
          <w:sz w:val="22"/>
          <w:shd w:fill="auto" w:val="clear"/>
        </w:rPr>
        <w:t xml:space="preserve">. São Paulo: Perspectiva, 1969.</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MEIRELES, Cecília. </w:t>
      </w:r>
      <w:r>
        <w:rPr>
          <w:rFonts w:ascii="Calibri" w:hAnsi="Calibri" w:cs="Calibri" w:eastAsia="Calibri"/>
          <w:b/>
          <w:color w:val="auto"/>
          <w:spacing w:val="0"/>
          <w:position w:val="0"/>
          <w:sz w:val="22"/>
          <w:shd w:fill="auto" w:val="clear"/>
        </w:rPr>
        <w:t xml:space="preserve">Problemas da Literatura Infantil. </w:t>
      </w:r>
      <w:r>
        <w:rPr>
          <w:rFonts w:ascii="Calibri" w:hAnsi="Calibri" w:cs="Calibri" w:eastAsia="Calibri"/>
          <w:color w:val="auto"/>
          <w:spacing w:val="0"/>
          <w:position w:val="0"/>
          <w:sz w:val="22"/>
          <w:shd w:fill="auto" w:val="clear"/>
        </w:rPr>
        <w:t xml:space="preserve">Rio de Janeiro: Editora Nova Fronteira, 1984.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MENDES, Marisa B. T. </w:t>
      </w:r>
      <w:r>
        <w:rPr>
          <w:rFonts w:ascii="Times New Roman" w:hAnsi="Times New Roman" w:cs="Times New Roman" w:eastAsia="Times New Roman"/>
          <w:b/>
          <w:color w:val="auto"/>
          <w:spacing w:val="0"/>
          <w:position w:val="0"/>
          <w:sz w:val="22"/>
          <w:shd w:fill="auto" w:val="clear"/>
        </w:rPr>
        <w:t xml:space="preserve">Em busca dos contos perdidos: </w:t>
      </w:r>
      <w:r>
        <w:rPr>
          <w:rFonts w:ascii="Times New Roman" w:hAnsi="Times New Roman" w:cs="Times New Roman" w:eastAsia="Times New Roman"/>
          <w:color w:val="auto"/>
          <w:spacing w:val="0"/>
          <w:position w:val="0"/>
          <w:sz w:val="22"/>
          <w:shd w:fill="auto" w:val="clear"/>
        </w:rPr>
        <w:t xml:space="preserve">o significado das funções femininas nos Contos de Perrault. São Paulo: Unesp; Imprensa Oficial do Estado de São Paulo, 2000.</w:t>
      </w:r>
    </w:p>
    <w:p>
      <w:pPr>
        <w:spacing w:before="0" w:after="0" w:line="240"/>
        <w:ind w:right="0" w:left="0" w:firstLine="0"/>
        <w:jc w:val="both"/>
        <w:rPr>
          <w:rFonts w:ascii="Times New Roman" w:hAnsi="Times New Roman" w:cs="Times New Roman" w:eastAsia="Times New Roman"/>
          <w:color w:val="808000"/>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NYE, Andrea. Liberté, Égalité et Fraternité: Liberalismo e Direitos das mulheres no século XIX. In: </w:t>
      </w:r>
      <w:r>
        <w:rPr>
          <w:rFonts w:ascii="Times New Roman" w:hAnsi="Times New Roman" w:cs="Times New Roman" w:eastAsia="Times New Roman"/>
          <w:b/>
          <w:color w:val="auto"/>
          <w:spacing w:val="0"/>
          <w:position w:val="0"/>
          <w:sz w:val="22"/>
          <w:shd w:fill="auto" w:val="clear"/>
        </w:rPr>
        <w:t xml:space="preserve">Teoria feminista e as filosofias do homem</w:t>
      </w:r>
      <w:r>
        <w:rPr>
          <w:rFonts w:ascii="Times New Roman" w:hAnsi="Times New Roman" w:cs="Times New Roman" w:eastAsia="Times New Roman"/>
          <w:color w:val="auto"/>
          <w:spacing w:val="0"/>
          <w:position w:val="0"/>
          <w:sz w:val="22"/>
          <w:shd w:fill="auto" w:val="clear"/>
        </w:rPr>
        <w:t xml:space="preserve">.  Rio de Janeiro: Rosa dos Tempos, 1995.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OAKLEY, Ann. Science, gender, and women’s liberation: na argument against postmodernism. Women’s Studies International Forum, New York, v. 21, n. 2, p. 133-146, 1998.</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OLIVEIRA, Francisco de. </w:t>
      </w:r>
      <w:r>
        <w:rPr>
          <w:rFonts w:ascii="Times New Roman" w:hAnsi="Times New Roman" w:cs="Times New Roman" w:eastAsia="Times New Roman"/>
          <w:b/>
          <w:color w:val="auto"/>
          <w:spacing w:val="0"/>
          <w:position w:val="0"/>
          <w:sz w:val="22"/>
          <w:shd w:fill="auto" w:val="clear"/>
        </w:rPr>
        <w:t xml:space="preserve">O Elo perdido</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São Paulo: Brasiliense, 1987.</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OLIVEIRA, Sílvio Roberto dos Santos. </w:t>
      </w:r>
      <w:r>
        <w:rPr>
          <w:rFonts w:ascii="Calibri" w:hAnsi="Calibri" w:cs="Calibri" w:eastAsia="Calibri"/>
          <w:b/>
          <w:color w:val="auto"/>
          <w:spacing w:val="0"/>
          <w:position w:val="0"/>
          <w:sz w:val="22"/>
          <w:shd w:fill="auto" w:val="clear"/>
        </w:rPr>
        <w:t xml:space="preserve">A poética em homenagem em “Memorial do fim”. </w:t>
      </w:r>
      <w:r>
        <w:rPr>
          <w:rFonts w:ascii="Calibri" w:hAnsi="Calibri" w:cs="Calibri" w:eastAsia="Calibri"/>
          <w:color w:val="auto"/>
          <w:spacing w:val="0"/>
          <w:position w:val="0"/>
          <w:sz w:val="22"/>
          <w:shd w:fill="auto" w:val="clear"/>
        </w:rPr>
        <w:t xml:space="preserve">1995. 75 páginas. Dissertação. (Mestrado do Instituto de Letras). Universidade Federal da Bahia - UFBA. Salvador.</w:t>
      </w:r>
      <w:r>
        <w:rPr>
          <w:rFonts w:ascii="Calibri" w:hAnsi="Calibri" w:cs="Calibri" w:eastAsia="Calibri"/>
          <w:b/>
          <w:color w:val="auto"/>
          <w:spacing w:val="0"/>
          <w:position w:val="0"/>
          <w:sz w:val="22"/>
          <w:shd w:fill="auto" w:val="clear"/>
        </w:rPr>
        <w:t xml:space="preserve">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PERRAULT, Charles. </w:t>
      </w:r>
      <w:r>
        <w:rPr>
          <w:rFonts w:ascii="Calibri" w:hAnsi="Calibri" w:cs="Calibri" w:eastAsia="Calibri"/>
          <w:b/>
          <w:color w:val="auto"/>
          <w:spacing w:val="0"/>
          <w:position w:val="0"/>
          <w:sz w:val="22"/>
          <w:shd w:fill="auto" w:val="clear"/>
        </w:rPr>
        <w:t xml:space="preserve">Contos de Perrault. </w:t>
      </w:r>
      <w:r>
        <w:rPr>
          <w:rFonts w:ascii="Calibri" w:hAnsi="Calibri" w:cs="Calibri" w:eastAsia="Calibri"/>
          <w:color w:val="auto"/>
          <w:spacing w:val="0"/>
          <w:position w:val="0"/>
          <w:sz w:val="22"/>
          <w:shd w:fill="auto" w:val="clear"/>
        </w:rPr>
        <w:t xml:space="preserve">Trad. Fernanda Lopes de Almeida. São Paulo: Ática, 2005. </w:t>
      </w:r>
    </w:p>
    <w:p>
      <w:pPr>
        <w:spacing w:before="0" w:after="200" w:line="276"/>
        <w:ind w:right="0" w:left="0" w:firstLine="0"/>
        <w:jc w:val="both"/>
        <w:rPr>
          <w:rFonts w:ascii="Calibri" w:hAnsi="Calibri" w:cs="Calibri" w:eastAsia="Calibri"/>
          <w:color w:val="808000"/>
          <w:spacing w:val="0"/>
          <w:position w:val="0"/>
          <w:sz w:val="22"/>
          <w:shd w:fill="auto" w:val="clear"/>
        </w:rPr>
      </w:pPr>
      <w:r>
        <w:rPr>
          <w:rFonts w:ascii="Calibri" w:hAnsi="Calibri" w:cs="Calibri" w:eastAsia="Calibri"/>
          <w:color w:val="auto"/>
          <w:spacing w:val="0"/>
          <w:position w:val="0"/>
          <w:sz w:val="22"/>
          <w:shd w:fill="auto" w:val="clear"/>
        </w:rPr>
        <w:t xml:space="preserve">______. </w:t>
      </w:r>
      <w:r>
        <w:rPr>
          <w:rFonts w:ascii="Calibri" w:hAnsi="Calibri" w:cs="Calibri" w:eastAsia="Calibri"/>
          <w:b/>
          <w:color w:val="auto"/>
          <w:spacing w:val="0"/>
          <w:position w:val="0"/>
          <w:sz w:val="22"/>
          <w:shd w:fill="auto" w:val="clear"/>
        </w:rPr>
        <w:t xml:space="preserve">Contos de mamãe ganso</w:t>
      </w:r>
      <w:r>
        <w:rPr>
          <w:rFonts w:ascii="Calibri" w:hAnsi="Calibri" w:cs="Calibri" w:eastAsia="Calibri"/>
          <w:color w:val="auto"/>
          <w:spacing w:val="0"/>
          <w:position w:val="0"/>
          <w:sz w:val="22"/>
          <w:shd w:fill="auto" w:val="clear"/>
        </w:rPr>
        <w:t xml:space="preserve">. [S.l.:s.n,s.d.].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PRIORE, Mary Del. </w:t>
      </w:r>
      <w:r>
        <w:rPr>
          <w:rFonts w:ascii="Calibri" w:hAnsi="Calibri" w:cs="Calibri" w:eastAsia="Calibri"/>
          <w:b/>
          <w:color w:val="auto"/>
          <w:spacing w:val="0"/>
          <w:position w:val="0"/>
          <w:sz w:val="22"/>
          <w:shd w:fill="auto" w:val="clear"/>
        </w:rPr>
        <w:t xml:space="preserve">História do amor no Brasil. </w:t>
      </w:r>
      <w:r>
        <w:rPr>
          <w:rFonts w:ascii="Calibri" w:hAnsi="Calibri" w:cs="Calibri" w:eastAsia="Calibri"/>
          <w:color w:val="auto"/>
          <w:spacing w:val="0"/>
          <w:position w:val="0"/>
          <w:sz w:val="22"/>
          <w:shd w:fill="auto" w:val="clear"/>
        </w:rPr>
        <w:t xml:space="preserve">2. ed. São Paulo: Contexto, 2006.</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PROENÇA FILHO, Domício</w:t>
      </w:r>
      <w:r>
        <w:rPr>
          <w:rFonts w:ascii="Calibri" w:hAnsi="Calibri" w:cs="Calibri" w:eastAsia="Calibri"/>
          <w:b/>
          <w:color w:val="auto"/>
          <w:spacing w:val="0"/>
          <w:position w:val="0"/>
          <w:sz w:val="22"/>
          <w:shd w:fill="auto" w:val="clear"/>
        </w:rPr>
        <w:t xml:space="preserve">. Pós-Modernidade e Literatura</w:t>
      </w:r>
      <w:r>
        <w:rPr>
          <w:rFonts w:ascii="Calibri" w:hAnsi="Calibri" w:cs="Calibri" w:eastAsia="Calibri"/>
          <w:color w:val="auto"/>
          <w:spacing w:val="0"/>
          <w:position w:val="0"/>
          <w:sz w:val="22"/>
          <w:shd w:fill="auto" w:val="clear"/>
        </w:rPr>
        <w:t xml:space="preserve">. São Paulo: Ática, 1988.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ROCHA, Ruth. </w:t>
      </w:r>
      <w:r>
        <w:rPr>
          <w:rFonts w:ascii="Calibri" w:hAnsi="Calibri" w:cs="Calibri" w:eastAsia="Calibri"/>
          <w:b/>
          <w:color w:val="auto"/>
          <w:spacing w:val="0"/>
          <w:position w:val="0"/>
          <w:sz w:val="22"/>
          <w:shd w:fill="auto" w:val="clear"/>
        </w:rPr>
        <w:t xml:space="preserve">Mulheres de Coragem. </w:t>
      </w:r>
      <w:r>
        <w:rPr>
          <w:rFonts w:ascii="Calibri" w:hAnsi="Calibri" w:cs="Calibri" w:eastAsia="Calibri"/>
          <w:color w:val="auto"/>
          <w:spacing w:val="0"/>
          <w:position w:val="0"/>
          <w:sz w:val="22"/>
          <w:shd w:fill="auto" w:val="clear"/>
        </w:rPr>
        <w:t xml:space="preserve">Ilustrações: Lúcia Hiratsuka. São Paulo: FTD, 2006.</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SAFFIOTI, Heleieth. </w:t>
      </w:r>
      <w:r>
        <w:rPr>
          <w:rFonts w:ascii="Calibri" w:hAnsi="Calibri" w:cs="Calibri" w:eastAsia="Calibri"/>
          <w:b/>
          <w:color w:val="auto"/>
          <w:spacing w:val="0"/>
          <w:position w:val="0"/>
          <w:sz w:val="22"/>
          <w:shd w:fill="auto" w:val="clear"/>
        </w:rPr>
        <w:t xml:space="preserve">O poder do macho. </w:t>
      </w:r>
      <w:r>
        <w:rPr>
          <w:rFonts w:ascii="Calibri" w:hAnsi="Calibri" w:cs="Calibri" w:eastAsia="Calibri"/>
          <w:color w:val="auto"/>
          <w:spacing w:val="0"/>
          <w:position w:val="0"/>
          <w:sz w:val="22"/>
          <w:shd w:fill="auto" w:val="clear"/>
        </w:rPr>
        <w:t xml:space="preserve">São Paulo: Moderna, 1987.</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SCOTT, Joan. </w:t>
      </w:r>
      <w:r>
        <w:rPr>
          <w:rFonts w:ascii="Calibri" w:hAnsi="Calibri" w:cs="Calibri" w:eastAsia="Calibri"/>
          <w:b/>
          <w:color w:val="auto"/>
          <w:spacing w:val="0"/>
          <w:position w:val="0"/>
          <w:sz w:val="22"/>
          <w:shd w:fill="auto" w:val="clear"/>
        </w:rPr>
        <w:t xml:space="preserve">Gênero</w:t>
      </w:r>
      <w:r>
        <w:rPr>
          <w:rFonts w:ascii="Calibri" w:hAnsi="Calibri" w:cs="Calibri" w:eastAsia="Calibri"/>
          <w:color w:val="auto"/>
          <w:spacing w:val="0"/>
          <w:position w:val="0"/>
          <w:sz w:val="22"/>
          <w:shd w:fill="auto" w:val="clear"/>
        </w:rPr>
        <w:t xml:space="preserve">: uma categoria útil para a análise histórica. Recife: SOS Corpo, 1988.</w:t>
      </w:r>
    </w:p>
    <w:p>
      <w:pPr>
        <w:spacing w:before="0" w:after="200" w:line="276"/>
        <w:ind w:right="0" w:left="0" w:firstLine="0"/>
        <w:jc w:val="both"/>
        <w:rPr>
          <w:rFonts w:ascii="Calibri" w:hAnsi="Calibri" w:cs="Calibri" w:eastAsia="Calibri"/>
          <w:color w:val="808000"/>
          <w:spacing w:val="0"/>
          <w:position w:val="0"/>
          <w:sz w:val="22"/>
          <w:shd w:fill="auto" w:val="clear"/>
        </w:rPr>
      </w:pPr>
      <w:r>
        <w:rPr>
          <w:rFonts w:ascii="Calibri" w:hAnsi="Calibri" w:cs="Calibri" w:eastAsia="Calibri"/>
          <w:color w:val="auto"/>
          <w:spacing w:val="0"/>
          <w:position w:val="0"/>
          <w:sz w:val="22"/>
          <w:shd w:fill="auto" w:val="clear"/>
        </w:rPr>
        <w:t xml:space="preserve">SOIHET, Raquel. Mulheres pobres e violência no Brasil urbano. In: DEL PRIORE, Mary; BASSANEZI, Carla. </w:t>
      </w:r>
      <w:r>
        <w:rPr>
          <w:rFonts w:ascii="Calibri" w:hAnsi="Calibri" w:cs="Calibri" w:eastAsia="Calibri"/>
          <w:b/>
          <w:color w:val="auto"/>
          <w:spacing w:val="0"/>
          <w:position w:val="0"/>
          <w:sz w:val="22"/>
          <w:shd w:fill="auto" w:val="clear"/>
        </w:rPr>
        <w:t xml:space="preserve">História das mulheres no Brasil. </w:t>
      </w:r>
      <w:r>
        <w:rPr>
          <w:rFonts w:ascii="Calibri" w:hAnsi="Calibri" w:cs="Calibri" w:eastAsia="Calibri"/>
          <w:color w:val="auto"/>
          <w:spacing w:val="0"/>
          <w:position w:val="0"/>
          <w:sz w:val="22"/>
          <w:shd w:fill="auto" w:val="clear"/>
        </w:rPr>
        <w:t xml:space="preserve">São Paulo: Contexto, 2004.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TORRES, Maximiliano. </w:t>
      </w:r>
      <w:r>
        <w:rPr>
          <w:rFonts w:ascii="Calibri" w:hAnsi="Calibri" w:cs="Calibri" w:eastAsia="Calibri"/>
          <w:b/>
          <w:color w:val="auto"/>
          <w:spacing w:val="0"/>
          <w:position w:val="0"/>
          <w:sz w:val="22"/>
          <w:shd w:fill="auto" w:val="clear"/>
        </w:rPr>
        <w:t xml:space="preserve">A desconstrução do feminino em Grimm e Marina Colasanti: </w:t>
      </w:r>
      <w:r>
        <w:rPr>
          <w:rFonts w:ascii="Calibri" w:hAnsi="Calibri" w:cs="Calibri" w:eastAsia="Calibri"/>
          <w:color w:val="auto"/>
          <w:spacing w:val="0"/>
          <w:position w:val="0"/>
          <w:sz w:val="22"/>
          <w:shd w:fill="auto" w:val="clear"/>
        </w:rPr>
        <w:t xml:space="preserve">A Filha do Moleiro, Rumpelstisequim e a Moça Tecelã. Disponível em: &lt;</w:t>
      </w:r>
      <w:hyperlink xmlns:r="http://schemas.openxmlformats.org/officeDocument/2006/relationships" r:id="docRId69">
        <w:r>
          <w:rPr>
            <w:rFonts w:ascii="Calibri" w:hAnsi="Calibri" w:cs="Calibri" w:eastAsia="Calibri"/>
            <w:color w:val="0000FF"/>
            <w:spacing w:val="0"/>
            <w:position w:val="0"/>
            <w:sz w:val="22"/>
            <w:u w:val="single"/>
            <w:shd w:fill="auto" w:val="clear"/>
          </w:rPr>
          <w:t xml:space="preserve">http://sitemason.vanderbilt.edu/files/gm2ypk/torres%20maximiliano.pdf</w:t>
        </w:r>
      </w:hyperlink>
      <w:r>
        <w:rPr>
          <w:rFonts w:ascii="Calibri" w:hAnsi="Calibri" w:cs="Calibri" w:eastAsia="Calibri"/>
          <w:color w:val="auto"/>
          <w:spacing w:val="0"/>
          <w:position w:val="0"/>
          <w:sz w:val="22"/>
          <w:shd w:fill="auto" w:val="clear"/>
        </w:rPr>
        <w:t xml:space="preserve">&gt;. Acesso em: 20 ago.2009.</w:t>
      </w:r>
    </w:p>
    <w:p>
      <w:pPr>
        <w:spacing w:before="0" w:after="200" w:line="276"/>
        <w:ind w:right="0" w:left="0" w:firstLine="0"/>
        <w:jc w:val="both"/>
        <w:rPr>
          <w:rFonts w:ascii="Calibri" w:hAnsi="Calibri" w:cs="Calibri" w:eastAsia="Calibri"/>
          <w:color w:val="808000"/>
          <w:spacing w:val="0"/>
          <w:position w:val="0"/>
          <w:sz w:val="22"/>
          <w:shd w:fill="auto" w:val="clear"/>
        </w:rPr>
      </w:pPr>
      <w:r>
        <w:rPr>
          <w:rFonts w:ascii="Calibri" w:hAnsi="Calibri" w:cs="Calibri" w:eastAsia="Calibri"/>
          <w:color w:val="auto"/>
          <w:spacing w:val="0"/>
          <w:position w:val="0"/>
          <w:sz w:val="22"/>
          <w:shd w:fill="auto" w:val="clear"/>
        </w:rPr>
        <w:t xml:space="preserve">WOODWARD, Kathryn. Identidade e diferença: uma introdução teórica e conceitual. In: SILVA, Tomaz Tadeu da Silva (Org.). </w:t>
      </w:r>
      <w:r>
        <w:rPr>
          <w:rFonts w:ascii="Calibri" w:hAnsi="Calibri" w:cs="Calibri" w:eastAsia="Calibri"/>
          <w:b/>
          <w:color w:val="auto"/>
          <w:spacing w:val="0"/>
          <w:position w:val="0"/>
          <w:sz w:val="22"/>
          <w:shd w:fill="auto" w:val="clear"/>
        </w:rPr>
        <w:t xml:space="preserve">Identidade e diferença</w:t>
      </w:r>
      <w:r>
        <w:rPr>
          <w:rFonts w:ascii="Calibri" w:hAnsi="Calibri" w:cs="Calibri" w:eastAsia="Calibri"/>
          <w:color w:val="auto"/>
          <w:spacing w:val="0"/>
          <w:position w:val="0"/>
          <w:sz w:val="22"/>
          <w:shd w:fill="auto" w:val="clear"/>
        </w:rPr>
        <w:t xml:space="preserve">: a perspectiva dos estudos culturais. Trad. Tomaz Tadeu da Silva. Rio de Janeiro: Vozes, 2007.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ZILBERMAN, Regina. </w:t>
      </w:r>
      <w:r>
        <w:rPr>
          <w:rFonts w:ascii="Calibri" w:hAnsi="Calibri" w:cs="Calibri" w:eastAsia="Calibri"/>
          <w:b/>
          <w:color w:val="auto"/>
          <w:spacing w:val="0"/>
          <w:position w:val="0"/>
          <w:sz w:val="22"/>
          <w:shd w:fill="auto" w:val="clear"/>
        </w:rPr>
        <w:t xml:space="preserve">A Literatura Infantil Brasileira</w:t>
      </w:r>
      <w:r>
        <w:rPr>
          <w:rFonts w:ascii="Calibri" w:hAnsi="Calibri" w:cs="Calibri" w:eastAsia="Calibri"/>
          <w:color w:val="auto"/>
          <w:spacing w:val="0"/>
          <w:position w:val="0"/>
          <w:sz w:val="22"/>
          <w:shd w:fill="auto" w:val="clear"/>
        </w:rPr>
        <w:t xml:space="preserve">: como e por que ler. Rio de Janeiro: Objetiva, 2005.</w:t>
      </w:r>
      <w:r>
        <w:rPr>
          <w:rFonts w:ascii="Calibri" w:hAnsi="Calibri" w:cs="Calibri" w:eastAsia="Calibri"/>
          <w:color w:val="FF0000"/>
          <w:spacing w:val="0"/>
          <w:position w:val="0"/>
          <w:sz w:val="22"/>
          <w:shd w:fill="auto" w:val="clear"/>
        </w:rPr>
        <w:t xml:space="preserve">          </w:t>
      </w: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1" w:after="0" w:line="240"/>
        <w:ind w:right="0" w:left="1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DESIGUALDADES DE GÊNERO E ÉTNICO- RACIAIS NO MERCADO DE TRABALHO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1" w:after="0" w:line="355"/>
        <w:ind w:right="101" w:left="7488" w:hanging="138"/>
        <w:jc w:val="right"/>
        <w:rPr>
          <w:rFonts w:ascii="Times New Roman" w:hAnsi="Times New Roman" w:cs="Times New Roman" w:eastAsia="Times New Roman"/>
          <w:color w:val="auto"/>
          <w:spacing w:val="0"/>
          <w:position w:val="10"/>
          <w:sz w:val="14"/>
          <w:shd w:fill="auto" w:val="clear"/>
        </w:rPr>
      </w:pPr>
      <w:r>
        <w:rPr>
          <w:rFonts w:ascii="Times New Roman" w:hAnsi="Times New Roman" w:cs="Times New Roman" w:eastAsia="Times New Roman"/>
          <w:color w:val="auto"/>
          <w:spacing w:val="0"/>
          <w:position w:val="0"/>
          <w:sz w:val="24"/>
          <w:shd w:fill="auto" w:val="clear"/>
        </w:rPr>
        <w:t xml:space="preserve">Geralda Pereira da Silva</w:t>
      </w:r>
      <w:r>
        <w:rPr>
          <w:rFonts w:ascii="Times New Roman" w:hAnsi="Times New Roman" w:cs="Times New Roman" w:eastAsia="Times New Roman"/>
          <w:color w:val="auto"/>
          <w:spacing w:val="0"/>
          <w:position w:val="10"/>
          <w:sz w:val="14"/>
          <w:shd w:fill="auto" w:val="clear"/>
        </w:rPr>
        <w:t xml:space="preserve">1 </w:t>
      </w:r>
      <w:r>
        <w:rPr>
          <w:rFonts w:ascii="Times New Roman" w:hAnsi="Times New Roman" w:cs="Times New Roman" w:eastAsia="Times New Roman"/>
          <w:color w:val="auto"/>
          <w:spacing w:val="0"/>
          <w:position w:val="10"/>
          <w:sz w:val="24"/>
          <w:shd w:fill="auto" w:val="clear"/>
        </w:rPr>
        <w:t xml:space="preserve">Elvira Simões Barretto</w:t>
      </w:r>
      <w:r>
        <w:rPr>
          <w:rFonts w:ascii="Times New Roman" w:hAnsi="Times New Roman" w:cs="Times New Roman" w:eastAsia="Times New Roman"/>
          <w:color w:val="auto"/>
          <w:spacing w:val="0"/>
          <w:position w:val="10"/>
          <w:sz w:val="14"/>
          <w:shd w:fill="auto" w:val="clear"/>
        </w:rPr>
        <w:t xml:space="preserve">2</w:t>
      </w:r>
    </w:p>
    <w:p>
      <w:pPr>
        <w:spacing w:before="5" w:after="0" w:line="240"/>
        <w:ind w:right="0" w:left="0" w:firstLine="0"/>
        <w:jc w:val="left"/>
        <w:rPr>
          <w:rFonts w:ascii="Times New Roman" w:hAnsi="Times New Roman" w:cs="Times New Roman" w:eastAsia="Times New Roman"/>
          <w:color w:val="auto"/>
          <w:spacing w:val="0"/>
          <w:position w:val="0"/>
          <w:sz w:val="36"/>
          <w:shd w:fill="auto" w:val="clear"/>
        </w:rPr>
      </w:pPr>
    </w:p>
    <w:p>
      <w:pPr>
        <w:spacing w:before="0" w:after="0" w:line="240"/>
        <w:ind w:right="0" w:left="18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w:t>
      </w:r>
    </w:p>
    <w:p>
      <w:pPr>
        <w:spacing w:before="138" w:after="0" w:line="360"/>
        <w:ind w:right="666" w:left="120" w:firstLine="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presente artigo trata das desigualdades de gênero e étnico-raciais no mercado de trabalho. Parte-se da compreensão de que a reprodução sócio-histórica destas desigualdades no  mercado de trabalho constitui-se uma violência estrutural. Nesse sentido propõe-se contribuir para a visibilização dessa problemática social no Brasil, tendo em vista seu enfrentamento.  Foi realizada uma pesquisa exploratória de cunho bibliográfico e documental como fonte de dados, para retroalimentar a discussão teórica e histórica que fundamenta a reflexão presente neste trabalho, à luz da experiência anterior de duas pesquisas empíricas, uma na Escola Estadual Onélia Campelo, em Maceió e outra, em Comunidades Remanescentes de Quilombos no Estado de Alagoa, da qual colaborei como aluna pesquisadora. Este percurso possibilitou o confronto teoria e prática e forneceu elementos para uma contextualização e análise sócio-histórica. Com o referido percurso chega-se ao entendimento de que é evidente  o racismo numa relação recíproca e dialética com a desigualdade de gênero no mercado de trabalho brasileiro. Enfim, um quadro de violência racial e de agressão aos direitos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humanos.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24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PALAVRAS-CHAVE: Gênero, Raça/Etnia, Desigualdades, Mercado de Trabalho.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38" w:after="0" w:line="240"/>
        <w:ind w:right="0" w:left="1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INTRODUÇÃO</w:t>
      </w:r>
    </w:p>
    <w:p>
      <w:pPr>
        <w:spacing w:before="0" w:after="0" w:line="240"/>
        <w:ind w:right="0" w:left="352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ÁS SEIS DA TARDE as mulheres choravam no banheiro</w:t>
      </w:r>
    </w:p>
    <w:p>
      <w:pPr>
        <w:spacing w:before="0" w:after="0" w:line="240"/>
        <w:ind w:right="671" w:left="352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choravam por isso ou por aquilo. Choravam porque o pranto subia garganta acima, mesmo se os filhos cresciam com boa saúde, se havia comida no fogo e se o marido lhes dava do bom e do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melhor.</w:t>
      </w:r>
    </w:p>
    <w:p>
      <w:pPr>
        <w:spacing w:before="2" w:after="0" w:line="240"/>
        <w:ind w:right="677" w:left="352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Choravam porque no céu além do basculante, o dia se punha. Porque uma  ânsia,  uma  dor,  uma  gastura,  era  só  o  que  sobrava  dos seus </w:t>
      </w:r>
    </w:p>
    <w:p>
      <w:pPr>
        <w:spacing w:before="2" w:after="0" w:line="240"/>
        <w:ind w:right="677" w:left="352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sonhos. Agora, ÀS SEIS DA TARDE, as mulheres regressam do trabalho. O dia se põe, os filhos crescem, o fogo espera e elas não querem chorar na condução. (COLASANTI).</w:t>
      </w:r>
    </w:p>
    <w:p>
      <w:pPr>
        <w:spacing w:before="2" w:after="0" w:line="240"/>
        <w:ind w:right="677" w:left="3522" w:firstLine="0"/>
        <w:jc w:val="both"/>
        <w:rPr>
          <w:rFonts w:ascii="Times New Roman" w:hAnsi="Times New Roman" w:cs="Times New Roman" w:eastAsia="Times New Roman"/>
          <w:color w:val="auto"/>
          <w:spacing w:val="0"/>
          <w:position w:val="0"/>
          <w:sz w:val="1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1"/>
          <w:shd w:fill="auto" w:val="clear"/>
        </w:rPr>
      </w:pPr>
    </w:p>
    <w:p>
      <w:pPr>
        <w:spacing w:before="33" w:after="0" w:line="240"/>
        <w:ind w:right="580" w:left="120" w:firstLine="0"/>
        <w:jc w:val="left"/>
        <w:rPr>
          <w:rFonts w:ascii="Trebuchet MS" w:hAnsi="Trebuchet MS" w:cs="Trebuchet MS" w:eastAsia="Trebuchet MS"/>
          <w:color w:val="auto"/>
          <w:spacing w:val="0"/>
          <w:position w:val="9"/>
          <w:sz w:val="20"/>
          <w:shd w:fill="auto" w:val="clear"/>
        </w:rPr>
      </w:pPr>
      <w:r>
        <w:rPr>
          <w:rFonts w:ascii="Trebuchet MS" w:hAnsi="Trebuchet MS" w:cs="Trebuchet MS" w:eastAsia="Trebuchet MS"/>
          <w:color w:val="auto"/>
          <w:spacing w:val="0"/>
          <w:position w:val="9"/>
          <w:sz w:val="11"/>
          <w:shd w:fill="auto" w:val="clear"/>
        </w:rPr>
        <w:t xml:space="preserve">1 </w:t>
      </w:r>
      <w:r>
        <w:rPr>
          <w:rFonts w:ascii="Trebuchet MS" w:hAnsi="Trebuchet MS" w:cs="Trebuchet MS" w:eastAsia="Trebuchet MS"/>
          <w:color w:val="auto"/>
          <w:spacing w:val="0"/>
          <w:position w:val="9"/>
          <w:sz w:val="20"/>
          <w:shd w:fill="auto" w:val="clear"/>
        </w:rPr>
        <w:t xml:space="preserve">Assistente Social pela Universidade Federal de Alagoas . No período da graduação foi bolsista pelo Projeto Brasil- Afroatitude- 1 ano e pela Pro- Reitoria Estudantil- Ufal- por 2 anos e 2 meses desenvolvendo  pesquisa nas temáticas de gênero com recorte étnico-racial.</w:t>
      </w:r>
    </w:p>
    <w:p>
      <w:pPr>
        <w:spacing w:before="2" w:after="0" w:line="240"/>
        <w:ind w:right="0" w:left="0" w:firstLine="0"/>
        <w:jc w:val="left"/>
        <w:rPr>
          <w:rFonts w:ascii="Trebuchet MS" w:hAnsi="Trebuchet MS" w:cs="Trebuchet MS" w:eastAsia="Trebuchet MS"/>
          <w:color w:val="auto"/>
          <w:spacing w:val="0"/>
          <w:position w:val="0"/>
          <w:sz w:val="17"/>
          <w:shd w:fill="auto" w:val="clear"/>
        </w:rPr>
      </w:pPr>
    </w:p>
    <w:p>
      <w:pPr>
        <w:spacing w:before="0" w:after="0" w:line="240"/>
        <w:ind w:right="580" w:left="120" w:firstLine="0"/>
        <w:jc w:val="left"/>
        <w:rPr>
          <w:rFonts w:ascii="Trebuchet MS" w:hAnsi="Trebuchet MS" w:cs="Trebuchet MS" w:eastAsia="Trebuchet MS"/>
          <w:color w:val="auto"/>
          <w:spacing w:val="0"/>
          <w:position w:val="9"/>
          <w:sz w:val="20"/>
          <w:shd w:fill="auto" w:val="clear"/>
        </w:rPr>
      </w:pPr>
      <w:r>
        <w:rPr>
          <w:rFonts w:ascii="Trebuchet MS" w:hAnsi="Trebuchet MS" w:cs="Trebuchet MS" w:eastAsia="Trebuchet MS"/>
          <w:color w:val="auto"/>
          <w:spacing w:val="0"/>
          <w:position w:val="9"/>
          <w:sz w:val="11"/>
          <w:shd w:fill="auto" w:val="clear"/>
        </w:rPr>
        <w:t xml:space="preserve">2 </w:t>
      </w:r>
      <w:r>
        <w:rPr>
          <w:rFonts w:ascii="Trebuchet MS" w:hAnsi="Trebuchet MS" w:cs="Trebuchet MS" w:eastAsia="Trebuchet MS"/>
          <w:color w:val="auto"/>
          <w:spacing w:val="0"/>
          <w:position w:val="9"/>
          <w:sz w:val="20"/>
          <w:shd w:fill="auto" w:val="clear"/>
        </w:rPr>
        <w:t xml:space="preserve">Professora-Orientadora. Doutora titular da Faculdade de Serviço Social da Universidade Federal de Alagoas. Orientou o Trabalho de Conclusão de Curso , cujo título foi: Expressões da violência contra as mulheres negras no mercado de trabalho, na saúde  e na educação na Ufal.</w:t>
      </w:r>
    </w:p>
    <w:p>
      <w:pPr>
        <w:spacing w:before="0" w:after="0" w:line="240"/>
        <w:ind w:right="0" w:left="0" w:firstLine="0"/>
        <w:jc w:val="left"/>
        <w:rPr>
          <w:rFonts w:ascii="Trebuchet MS" w:hAnsi="Trebuchet MS" w:cs="Trebuchet MS" w:eastAsia="Trebuchet MS"/>
          <w:color w:val="auto"/>
          <w:spacing w:val="0"/>
          <w:position w:val="0"/>
          <w:sz w:val="20"/>
          <w:shd w:fill="auto" w:val="clear"/>
        </w:rPr>
      </w:pPr>
    </w:p>
    <w:p>
      <w:pPr>
        <w:spacing w:before="0" w:after="0" w:line="240"/>
        <w:ind w:right="0" w:left="0" w:firstLine="0"/>
        <w:jc w:val="left"/>
        <w:rPr>
          <w:rFonts w:ascii="Trebuchet MS" w:hAnsi="Trebuchet MS" w:cs="Trebuchet MS" w:eastAsia="Trebuchet MS"/>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poesia pode ser considerada uma ponte onde atravessa a vida de muitas mulheres. Evoca o passado e o presente. O passado faz memória de que embora alimentando o sonho de casar e ter filhos, com o decorrer do tempo, deparavam-se na rotina do espaço doméstico com suas atividades repetitivas e a necessidade de ir além desse espaço, ou mesmo de nutrir outros sonhos que foram despertados também no decorrer dos acontecimentos e do tempo.</w:t>
      </w: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uma poesia que ilustra a realidade de muitas mulheres hoje que regressam para a casa após uma exausta jornada de trabalho e enfrentam ainda a estressante realidade dos engarrafamentos do trânsito das grandes cidades e os ônibus superlotados, que na maioria das vezes as obriga a vir de pé, para chegar mais rápido em casa, porque o fogo as espera, pois precisam ainda fazer o jantar para seus filhos ou para seus maridos. Imaginemos a particularidade que possa suceder com as mulheres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negras.</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Queremos dar visibilidade ao fato de que o peso da discriminação rebate mais fortemente nas mulheres negras, particularmente no âmbito do mercado de trabalho. Para  tanto é necessário um percurso teórico e histórico; começando pela teoria de gênero e patriarcado.</w:t>
      </w: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Constatamos a partir do estudo de Saffioti (2005), Scott (1986) que as considerações sobre o uso do conceito de Gênero ou Patriarcado são divergentes quanto à adequação do uso, enquanto categorias de análise histórica acerca da questão das mulheres, entretanto Machado (2000) reflete de forma pertinente que: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2"/>
        <w:ind w:right="116" w:left="350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Gênero e Patriarcado são conceitos que se situam em dimensões distintas e que, portanto não podem ser tornados como opostos.</w:t>
      </w:r>
    </w:p>
    <w:p>
      <w:pPr>
        <w:spacing w:before="0" w:after="0" w:line="240"/>
        <w:ind w:right="111" w:left="350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Talvez a disjuntiva se deu pela conotação política de seus usos.O termo patriarcado remete em geral a um sentido fixo, uma estrutura fixa que imediatamente aponta para o exercício e presença da dominação masculina. O termo gênero remete a uma não fixidez não universalidade das relações entre homens e mulheres. Remete a idéia de que as relações sócio-simbólicas são construídas e transformáveis. (...) O conceito de gênero não veio substituir o de patriarcado, mas sim o de condições sociais da diferença sexual, de relações sociais de sexo e de relações entre homens e mulheres. (MACHADO, 2OOO. p.2-4)</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Concordamos com Machado(2000) e percebemos que as desigualdades e discriminações presentes nas sociedades contemporâneas faz pensar que usar a categoria gênero e/ou patriarcado supõe elaborar propostas de erradicação das formas de relacionamento entre homens e mulheres para combater as desigualdades a partir das</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relações humanas, tendo como ponto de partida o espaço doméstico para estender a sociedade, ou seja ao espaço público, pois como afirma o provérbio popular; “Costume de casa se leva á praça”.</w:t>
      </w:r>
    </w:p>
    <w:p>
      <w:pPr>
        <w:spacing w:before="0" w:after="0" w:line="360"/>
        <w:ind w:right="105" w:left="10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105" w:left="10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105" w:left="100" w:firstLine="708"/>
        <w:jc w:val="both"/>
        <w:rPr>
          <w:rFonts w:ascii="Times New Roman" w:hAnsi="Times New Roman" w:cs="Times New Roman" w:eastAsia="Times New Roman"/>
          <w:color w:val="auto"/>
          <w:spacing w:val="0"/>
          <w:position w:val="0"/>
          <w:sz w:val="24"/>
          <w:shd w:fill="auto" w:val="clear"/>
        </w:rPr>
      </w:pPr>
    </w:p>
    <w:p>
      <w:pPr>
        <w:spacing w:before="5" w:after="0" w:line="360"/>
        <w:ind w:right="111"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constatação da presença do patriarcado na atualidade instiga-nos pensarmos na responsabilidade de todas e todos no sentido de nos comprometermos com uma cultura de erradicação de todas as formas de desconstrução da violência que está arraigada em nós, pelo fato de absolvermos o que nos foi passado ao longo dos séculos de cultura de dominação, de naturalização das desigualdades e de legitimação de preconceitos ou de mau uso do poder.</w:t>
      </w: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Fruto de uma construção social patriarcal e androcêntrica, o machismo presente até os dias atuais tem raízes seja no processo educativo doméstico, nas relações sociais de diversas formas incluindo os meios de comunicação social como reprodutores, seja em instituições públicas e privadas de ensino, mercado de trabalho ou instituições religiosas.</w:t>
      </w: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Entendemos que imbuído deste pensamento patriarcal de que ao homem não compete algumas atribuições de trabalhos domésticos como cozinhar, alguns homens esperam suas mulheres chegar do trabalho para fazer o jantar, enquanto ele poderia fazer.</w:t>
      </w:r>
    </w:p>
    <w:p>
      <w:pPr>
        <w:spacing w:before="5" w:after="0" w:line="360"/>
        <w:ind w:right="111"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Pensamentos alimentados por leituras interpretadas de forma fundamentalista, extraídas de passagens bíblicas, alimentaram e podem continuar alimentando desigualdades entre mulheres e homens por meio de doutrinamentos que legitimam a submissão da mulher e a conformidade porque “os homens são os cabeças da casa”, “são os chefes de</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família”.</w:t>
      </w:r>
    </w:p>
    <w:p>
      <w:pPr>
        <w:spacing w:before="5" w:after="0" w:line="360"/>
        <w:ind w:right="112"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síntese do relato dos versículos 13 a 20, do capítulo 22 do livro do Deuteronômio (Bíblia) ilustra este pensamento. De acordo com a narração aqui sintetizada é dito como segundo os costumes do povo deve se comportar um homem, caso espose uma mulher e não gostando dela após a noite de núpcias acuse-a de não virgem. Se for provada a mentira o homem deverá ser espancado e pagar uma multa aos pais da jovem por ter sido difamada publicamente uma virgem de Israel, e o marido não poderá mandá-la embora. No entanto se não acharem a prova da virgindade da moça a apedrejarão até que morra, pois ela cometeu uma infâmia em Israel, desonrando a casa de seu pai. Desse modo, você eliminará o mal do seu meio.</w:t>
      </w: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síntese embora seja um exemplo que pode ser considerado ultrapassado ou antiguíssimo, quer ilustrar a desigualdade entre homens e mulheres nas suas origens patriarcais. Pela difamação pública cometida contra a mulher o homem receberia segundo estas normas um espancamento e pagamento de multa. Para o que era considerada uma traição por parte da mulher por não apresentar a prova da virgindade, esta teria como penalidade o apedrejamento até a morte. A referência a este relato embora extremo em relação ao contexto histórico temporal e cultural quer evidenciar como um modo de pensar pode ser   reproduzido para outras culturas, mesmo de forma inculturada, ou seja, sofrendo algumas modificações. Fazemos aqui a alusão aos assassinatos de mulheres pelos seus ex. maridos, namorados etc. que se sentem no direito de em defesa da honra ou de seja lá o que mais lhes convier, cometer o assassinato, e hoje não simplesmente pelo fato de terem sido traídos, mas de não aceitarem  o fim do relacionamento. As mulheres continuam ao longo dos séculos as mais prejudicadas, por razões filosóficas, culturais 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ideológicas.</w:t>
      </w: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Verificamos por meio da pesquisa bibliográfica e das estatísticas de relatórios que apesar das desigualdades de gênero atingir as mulheres em geral, o segmento étnico-racial negro, especificamente a mulher está exposta a tripla discriminação: de gênero, raça/etnia e classe social.</w:t>
      </w:r>
    </w:p>
    <w:p>
      <w:pPr>
        <w:spacing w:before="5" w:after="0" w:line="360"/>
        <w:ind w:right="11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as discriminações referentes as mulheres negras, por resquícios da formação sócio-histórica brasileira, está a classificação “ mais fogosas”, o que alimenta o imaginário social dos homens e o turismo sexual.</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Carneiro, (2003) os elementos presentes na ideologia da formação sócio- histórica brasileira, rejeitam o papel da mulher negra na formação e cultura nacional, erotiza a desigualdade entre homens e mulheres e romantizam a violência sexual contra as mulheres negras. Nessa perspectiva vale a pena a aproximação mais cuidadosa no que se refere a  gênero e a discriminações étnico-raciais no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9" w:left="10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Relação entre produção teórica, desigualdade de gênero e discriminações étnico- raciais no Brasil</w:t>
      </w:r>
    </w:p>
    <w:p>
      <w:pPr>
        <w:spacing w:before="5" w:after="0" w:line="360"/>
        <w:ind w:right="112"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Enquanto regime de organização social nos primórdios, o sistema patriarcal era defendido enquanto ideologia por pensadores que justificaram a inferioridade das mulheres em relação aos homens. Estas ideologias permearam desde os setores sociais aos</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religiosos.</w:t>
      </w:r>
    </w:p>
    <w:p>
      <w:pPr>
        <w:spacing w:before="5" w:after="0" w:line="360"/>
        <w:ind w:right="103"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Gomariz (apud GUIMARÃES,2006), os teóricos Hobbes, Locke, Rousseau e Montesquieu tinham idéias diferentes sobre a posição das mulheres na sociedade: Hobbes e Locke reconheciam os direitos das mulheres só quando eram rainhas ou pertencentes á alta nobreza, enquanto Rousseau e Montesquieu eram partidários de que a natureza humana, de uma forma ou de outra, determinava que as mulheres deviam ser subordinadas ao homem. Conforme a supracitada autora o discurso sobre a origem e o fundamento da desigualdade entre os seres humanos, de Jean Jacques Rousseau, mostrou que a desigualdade longe de ser um fato natural, é uma produção social, política e econômica. Rousseau tornou-se um defensor radical da igualdade política e econômica entre os seres humanos e se  tornou também</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teórico</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“feminidade”,</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defender</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mesmo</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ardor</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 qual defendia os homens. Ele atribuía para as mulheres uma tarefa natural de esposa e mãe, no sentido de corresponder às necessidades do marido e de formar bons  cidadãos.  Houve também a defesa de que existia um espaço natural adequado às mulheres, o doméstico. Acreditava que assim como a sociedade está dividida em dois sexos, deve estar dividida em dois espaços: o público para os homens e o privado e doméstico ás mulheres.</w:t>
      </w: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considera-se que as teorias produzidas para justificar e legitimar as desigualdades de gênero são herdeiras de teorias importadas, como a referência supracitada ratifica. </w:t>
      </w: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ao longo dos séculos colaboraram e colaboram para formar opiniões e comportamentos culturais e sociais que colocam as mulheres em posição de subalternidade, contribuindo para que a desigualdade permaneça até os dias atuais.</w:t>
      </w:r>
    </w:p>
    <w:p>
      <w:pPr>
        <w:spacing w:before="5" w:after="0" w:line="360"/>
        <w:ind w:right="10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às teorias raciais, segundo Skidmore (1976), do ponto de vista da produção do conhecimento são herdeiras de teorias, Européias e Americanas adotadas como científicas por volta de 1860. Estas são legitimadoras de preconceitos e discriminações raciais no Brasil. Embora a versão etnológica do pensamento racista tenha recebido sua primeira formulação nos Estados Unidos, logo se estendeu à Inglaterra e Europa, onde ganhou poderosos partidários e foi principalmente, através desses convertidos europeus, que atingiu o Brasil. O pequeno número de etnógrafos e antropólogos ativos no Brasil, durante os anos que medeiam entre 1870 e 1914, estavam principalmente em contato com cientistas franceses e alemães. Para o referido autor, foi Louis Agassiz um dos mais importantes representantes da escola americana que teve influencia direta no Brasil na sua Journey in Brasil, largamente citada no Brasil, que deu curso entre a elite ás idéias de diferenças raciais inatas e de degenerescência mulata.</w:t>
      </w: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segundo bloco americano e europeu racista a demonstrar igualmente influencia no Brasil foi à escola histórica representada por Gobineau. Estes pensadores partiam da idéia da suposição de que raças humanas as mais diversas podiam ser diferenciadas umas das outras – com a branca permanentemente e inerentemente superior a todas. Gobineau e outros da escola ajudam a propagar a mensagem pela Europa de que raça era o fator determinante da história humana.</w:t>
      </w:r>
    </w:p>
    <w:p>
      <w:pPr>
        <w:spacing w:before="5" w:after="0" w:line="360"/>
        <w:ind w:right="10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análise do pensamento teórico racista conduz á reflexão de que se relaciona com as teorias que justificaram a inferioridade ou submissão feminina no sentido de considerar o homem branco como raça superior e a mulher como inferior em relação a ele. Na produção da teoria racista o elemento inferior passa a ser incorporado a questão da raça negra, tendo a branca como superior.</w:t>
      </w:r>
    </w:p>
    <w:p>
      <w:pPr>
        <w:spacing w:before="70" w:after="0" w:line="360"/>
        <w:ind w:right="103"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Skdmore,(1976) tais doutrinas faziam parte vital da civilização norte- americana, admirada de forma incondicional pela maior parte dos intelectuais latino- americanos antes de 1914, quanto mais os brasileiros tomavam conhecimento das últimas idéias geradas na Europa, tanto mais ouviam falar da inferioridade do negro e do índio. Quando a preferência dos brasileiros pela cultura francesa na virada do século se fez notória, tiveram influencia Gustave Le Bom e Víctor de Lapouge, escritores racistas. Desta forma a teoria da superioridade ariana era aceita como fato de determinismo histórico entre 1888 e 1914.</w:t>
      </w:r>
    </w:p>
    <w:p>
      <w:pPr>
        <w:spacing w:before="70" w:after="0" w:line="360"/>
        <w:ind w:right="103" w:left="100" w:firstLine="708"/>
        <w:jc w:val="both"/>
        <w:rPr>
          <w:rFonts w:ascii="Times New Roman" w:hAnsi="Times New Roman" w:cs="Times New Roman" w:eastAsia="Times New Roman"/>
          <w:color w:val="auto"/>
          <w:spacing w:val="0"/>
          <w:position w:val="0"/>
          <w:sz w:val="24"/>
          <w:shd w:fill="auto" w:val="clear"/>
        </w:rPr>
      </w:pPr>
    </w:p>
    <w:p>
      <w:pPr>
        <w:spacing w:before="70" w:after="0" w:line="360"/>
        <w:ind w:right="103" w:left="100" w:firstLine="708"/>
        <w:jc w:val="both"/>
        <w:rPr>
          <w:rFonts w:ascii="Times New Roman" w:hAnsi="Times New Roman" w:cs="Times New Roman" w:eastAsia="Times New Roman"/>
          <w:color w:val="auto"/>
          <w:spacing w:val="0"/>
          <w:position w:val="0"/>
          <w:sz w:val="24"/>
          <w:shd w:fill="auto" w:val="clear"/>
        </w:rPr>
      </w:pPr>
    </w:p>
    <w:p>
      <w:pPr>
        <w:spacing w:before="70" w:after="0" w:line="360"/>
        <w:ind w:right="103" w:left="100" w:firstLine="708"/>
        <w:jc w:val="both"/>
        <w:rPr>
          <w:rFonts w:ascii="Times New Roman" w:hAnsi="Times New Roman" w:cs="Times New Roman" w:eastAsia="Times New Roman"/>
          <w:color w:val="auto"/>
          <w:spacing w:val="0"/>
          <w:position w:val="0"/>
          <w:sz w:val="24"/>
          <w:shd w:fill="auto" w:val="clear"/>
        </w:rPr>
      </w:pPr>
    </w:p>
    <w:p>
      <w:pPr>
        <w:spacing w:before="6" w:after="0" w:line="240"/>
        <w:ind w:right="109" w:left="2333" w:hanging="1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aplicação da teoria ariana aos africanos não constituía problema, porque nesse contexto, ”ariano” podia ser prontamente traduzido por branco. Os brasileiros estavam sempre dispostos a repetir a acusação de que o negro nunca construiu civilização alguma, citando relatórios ingleses e europeus sobre o caráter primitivo das estruturas sociais africanas com que os governadores tinham sido obrigados a manter contato por força da política colonial. (...) Para onde quer que se voltassem encontravam o prestígio da cultura e da ciência civilizadas alinhados em posição de combate contra o africano. O negro estava fadado á extinção como o dinossauro, ou pelo menos, à dominação pelas raças mais fortes e civilizadas (SKIDMORE, 1976, p.70).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Essas relações demonstram um suporte explicativo para uma prática racista e discriminatória pela elite intelectual, fazendeira e política na sua fase colonial, que se cristalizou na sociedade brasileira; com desdobramentos até os dias atuais. Prática, esta amparada no aparato estatal como executor de medidas e políticas em favor da elite dominante.</w:t>
      </w:r>
    </w:p>
    <w:p>
      <w:pPr>
        <w:spacing w:before="5" w:after="0" w:line="360"/>
        <w:ind w:right="11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Superado no plano científico, o embate sobre a inferioridade do negro construiu uma ideologia que subsidiou expansões territoriais em todo o mundo de forma violenta e cruel. Consolidou normas, atitudes, posturas e falas racistas e discriminatórias, difíceis de tornarem superadas; até nos dias atuais. Esta ideologia está tão arraigada na sociedade brasileira, que continua sendo reproduzida seja por intelectuais ou pessoas comuns.</w:t>
      </w:r>
    </w:p>
    <w:p>
      <w:pPr>
        <w:spacing w:before="5" w:after="0" w:line="360"/>
        <w:ind w:right="109"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Continua presente em instituições, o que se denominou de racismo institucional que consiste em ações e atitudes discriminatórias praticadas por instituições. Manifestam-se de diversas formas. Segundo a publicação, parte de um artigo em site pelo Instituto da Mulher Negra- Geledés, a equipe pedagógica de uma Escola de Minas Gerais elaborou uma cartilha no ano de 1988, que ensinaria as crianças entre outras coisas</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4" w:after="0" w:line="240"/>
        <w:ind w:right="110" w:left="2333" w:hanging="3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Deus criou o homem branco. Com inveja o Diabo tentou fazer ser semelhante e acabou criando o negro. Com raiva da criatura, que havia saído muito feia, o diabo deu um soco no nariz do negro que acabou ficando achatado. Triste o negro começou a chorar muito. Com pena o diabo passou a mão sobre a cabeça da criatura e os cabelos se tornaram carapinha. Por pressão do movimento negro deste estado, a Secretaria de Educação foi sentenciada a recolher todo material (GELEDES, 2010).</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0"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relato citado evidencia o quanto o racismo e as discriminações continuam vivos no imaginário social brasileiro, em pessoas que podem reproduzi-lo em Instituições ou outros espaços e quanto os estereótipos e chavões continuam sendo disseminados de forma a se constituir uma violência racial e violação dos direitos humanos; ferindo os princípios constitucionais brasileiros.</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crimes de racismo se manifestam de diversas formas e na maioria das vezes de forma camuflada o que dificulta a tipificação prevista no código penal, que exige a comprovação, e esta neste caso afeta à pessoa no campo da subjetividade sem que haja elementos materiais para sua comprovação. Existem casos em que as expressões verbais quando não registradas tornam-se a palavra da vítima contra a do agressor e vice-versa. </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dificuldade é a morosidade no julgamento dos casos. No site do Alagoas tudo na hora foi publicado em 18 de Novembro de 2005 que a pedagoga Maria José dos Santos, em dezembro de 2004 foi vítima de racismo quando fazia compras no supermercado Santa Amélia, no Tabuleiro. Sendo o namorado da agressora um advogado, que foi identificado posteriormente pela placa do carro, este se recusa a revelar a identidade da mesma, o que causa a morosidade do julgamento. Até o momento não sabemos o desfecho do caso.</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Relatos como estes evidenciam as dificuldades de concretização da tipificação e punição dos casos de racismo, discriminações e preconceitos raciais. São considerados crimes previstos no código penal brasileiro, no entanto a sua efetivação ainda se constitui como desafio e precisam de divulgação, denúncia, mas sobretudo de políticas de enfretamento que sejam eficazes.</w:t>
      </w:r>
    </w:p>
    <w:p>
      <w:pPr>
        <w:spacing w:before="5" w:after="0" w:line="360"/>
        <w:ind w:right="111" w:left="100" w:firstLine="97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Lima (2008), reflete que nas últimas décadas as relações raciais estão sendo problematizadas no sentido de envolver toda a prática ou cultura da vida cotidiana, o tema  está sendo discutido visando promover novos paradigmas de interpretação teórica e ações políticas para a construção de relações igualitárias entre populações negras e demais</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etnias.</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dito, trazemos aqui a problematização da discriminação da mulher nega no mercado de trabalho.</w:t>
      </w:r>
    </w:p>
    <w:p>
      <w:pPr>
        <w:spacing w:before="5" w:after="0" w:line="360"/>
        <w:ind w:right="112"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vimos anteriormente, há por um lado,um suporte científico e legal, entre outros que legitima a discriminação étnico-racial em articulação dialética com a desigualdade de gênero; e por outro lado, na contemporaneidade, há conquistas significativas do ponto de vista jurídico-político, haja visto a constituição brasileira e o código penal que prevê como crime a discriminação étnico-racial.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0" w:after="0" w:line="360"/>
        <w:ind w:right="109" w:left="12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os índices de violência praticados contra as mulheres e as desigualdades constatadas por meio de pesquisas e relatórios nacionais e internacionais sobre a situação das mulheres no Brasil, em algumas regiões são tão gritantes, que de certa forma continua sendo uma escravidão contemporânea em pleno século XXI. Mudar essa história é preciso.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376"/>
        </w:numPr>
        <w:tabs>
          <w:tab w:val="left" w:pos="380" w:leader="none"/>
        </w:tabs>
        <w:spacing w:before="0" w:after="0" w:line="240"/>
        <w:ind w:right="0" w:left="379" w:hanging="25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 mulheres negras e as desigualdades no mercado de</w:t>
      </w:r>
      <w:r>
        <w:rPr>
          <w:rFonts w:ascii="Times New Roman" w:hAnsi="Times New Roman" w:cs="Times New Roman" w:eastAsia="Times New Roman"/>
          <w:b/>
          <w:color w:val="auto"/>
          <w:spacing w:val="-1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trabalho</w:t>
      </w:r>
    </w:p>
    <w:p>
      <w:pPr>
        <w:tabs>
          <w:tab w:val="left" w:pos="380" w:leader="none"/>
        </w:tabs>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38" w:after="0" w:line="360"/>
        <w:ind w:right="106" w:left="1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fundamentar a problematização da mulher negra no mercado de trabalho, tem-se como fio condutor o processo de formação sócio-histórico e cultural brasileiro, sobre o qual se assentam as desigualdades de gênero, raça/etnia e classe. Articulada com o Patriarcado enquanto ideologia e sistema social presente nas sociedades desde séculos passados, a  reflexão tem como objetivo demonstrar como a ideologia de dominação e expansão territorial está subsidiada pela ideologia patriarcal onde o poder é do homem branco europeu que estende seu domínio a outras culturas via expansão territorial.</w:t>
      </w:r>
    </w:p>
    <w:p>
      <w:pPr>
        <w:spacing w:before="138" w:after="0" w:line="360"/>
        <w:ind w:right="106" w:left="1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Esta expansão se configura como um terrível sistema de opressão/dominação que tem na escravidão o surgimento das desigualdades de poder entre as mulheres e homens no Brasil, bem como entre negros e brancos, a partir da análise da realidade social na perspectiva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étnico-racial.</w:t>
      </w:r>
    </w:p>
    <w:p>
      <w:pPr>
        <w:spacing w:before="5" w:after="0" w:line="360"/>
        <w:ind w:right="105" w:left="12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modelo de organização social é permeado por uma ideologia que confere ao homem branco o poder sobre escravos e escravas, com o direito ao usufruto não apenas de seu trabalho, mas do uso do corpo das suas escravas para satisfazer seu desejo de posse em todos os sentidos.</w:t>
      </w:r>
    </w:p>
    <w:p>
      <w:pPr>
        <w:spacing w:before="5" w:after="0" w:line="357"/>
        <w:ind w:right="107" w:left="120" w:firstLine="780"/>
        <w:jc w:val="both"/>
        <w:rPr>
          <w:rFonts w:ascii="Times New Roman" w:hAnsi="Times New Roman" w:cs="Times New Roman" w:eastAsia="Times New Roman"/>
          <w:color w:val="auto"/>
          <w:spacing w:val="0"/>
          <w:position w:val="10"/>
          <w:sz w:val="24"/>
          <w:shd w:fill="auto" w:val="clear"/>
        </w:rPr>
      </w:pPr>
      <w:r>
        <w:rPr>
          <w:rFonts w:ascii="Times New Roman" w:hAnsi="Times New Roman" w:cs="Times New Roman" w:eastAsia="Times New Roman"/>
          <w:color w:val="auto"/>
          <w:spacing w:val="0"/>
          <w:position w:val="0"/>
          <w:sz w:val="24"/>
          <w:shd w:fill="auto" w:val="clear"/>
        </w:rPr>
        <w:t xml:space="preserve">Vale salientar que as diversas formas de violência perpetradas contra as mulheres, se configuram neste complexo sistema no qual se articulam machismo,  androcentrismo</w:t>
      </w:r>
      <w:r>
        <w:rPr>
          <w:rFonts w:ascii="Times New Roman" w:hAnsi="Times New Roman" w:cs="Times New Roman" w:eastAsia="Times New Roman"/>
          <w:color w:val="auto"/>
          <w:spacing w:val="0"/>
          <w:position w:val="10"/>
          <w:sz w:val="14"/>
          <w:shd w:fill="auto" w:val="clear"/>
        </w:rPr>
        <w:t xml:space="preserve">3</w:t>
      </w:r>
      <w:r>
        <w:rPr>
          <w:rFonts w:ascii="Times New Roman" w:hAnsi="Times New Roman" w:cs="Times New Roman" w:eastAsia="Times New Roman"/>
          <w:color w:val="auto"/>
          <w:spacing w:val="0"/>
          <w:position w:val="10"/>
          <w:sz w:val="24"/>
          <w:shd w:fill="auto" w:val="clear"/>
        </w:rPr>
        <w:t xml:space="preserve">em suma é um fenômeno que se configura por múltiplas</w:t>
      </w:r>
      <w:r>
        <w:rPr>
          <w:rFonts w:ascii="Times New Roman" w:hAnsi="Times New Roman" w:cs="Times New Roman" w:eastAsia="Times New Roman"/>
          <w:color w:val="auto"/>
          <w:spacing w:val="-16"/>
          <w:position w:val="10"/>
          <w:sz w:val="24"/>
          <w:shd w:fill="auto" w:val="clear"/>
        </w:rPr>
        <w:t xml:space="preserve"> </w:t>
      </w:r>
      <w:r>
        <w:rPr>
          <w:rFonts w:ascii="Times New Roman" w:hAnsi="Times New Roman" w:cs="Times New Roman" w:eastAsia="Times New Roman"/>
          <w:color w:val="auto"/>
          <w:spacing w:val="0"/>
          <w:position w:val="10"/>
          <w:sz w:val="24"/>
          <w:shd w:fill="auto" w:val="clear"/>
        </w:rPr>
        <w:t xml:space="preserve">determinações.</w:t>
      </w:r>
    </w:p>
    <w:p>
      <w:pPr>
        <w:spacing w:before="7" w:after="0" w:line="360"/>
        <w:ind w:right="105" w:left="12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Podemos perceber o quanto o perfil das desigualdades para negros e negras é assentado na origem do processo de formação sócio- histórico brasileiro. Vemos que o modo de produção capitalista na forma escravista pela utilização da mão de obra escrava impôs um destino para este segmento racial, e que as seqüelas perduram até hoje na</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sociedade.</w:t>
      </w:r>
    </w:p>
    <w:p>
      <w:pPr>
        <w:spacing w:before="5" w:after="0" w:line="360"/>
        <w:ind w:right="113" w:left="120" w:firstLine="7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período escravagista no Brasil, os negros eram vistos como mercadoria que podia ser  descartada  a  qualquer  momento,  por  ter  sido  classificada  como  sub-raça.  Com    </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p>
    <w:p>
      <w:pPr>
        <w:spacing w:before="5" w:after="0" w:line="360"/>
        <w:ind w:right="113" w:left="0" w:firstLine="0"/>
        <w:jc w:val="both"/>
        <w:rPr>
          <w:rFonts w:ascii="Times New Roman" w:hAnsi="Times New Roman" w:cs="Times New Roman" w:eastAsia="Times New Roman"/>
          <w:color w:val="auto"/>
          <w:spacing w:val="0"/>
          <w:position w:val="0"/>
          <w:sz w:val="24"/>
          <w:shd w:fill="auto" w:val="clear"/>
        </w:rPr>
      </w:pPr>
    </w:p>
    <w:p>
      <w:pPr>
        <w:spacing w:before="23" w:after="0" w:line="240"/>
        <w:ind w:right="119" w:left="120" w:firstLine="0"/>
        <w:jc w:val="both"/>
        <w:rPr>
          <w:rFonts w:ascii="Times New Roman" w:hAnsi="Times New Roman" w:cs="Times New Roman" w:eastAsia="Times New Roman"/>
          <w:color w:val="auto"/>
          <w:spacing w:val="0"/>
          <w:position w:val="9"/>
          <w:sz w:val="20"/>
          <w:shd w:fill="auto" w:val="clear"/>
        </w:rPr>
      </w:pPr>
      <w:r>
        <w:rPr>
          <w:rFonts w:ascii="Trebuchet MS" w:hAnsi="Trebuchet MS" w:cs="Trebuchet MS" w:eastAsia="Trebuchet MS"/>
          <w:color w:val="auto"/>
          <w:spacing w:val="0"/>
          <w:position w:val="9"/>
          <w:sz w:val="11"/>
          <w:shd w:fill="auto" w:val="clear"/>
        </w:rPr>
        <w:t xml:space="preserve">3 </w:t>
      </w:r>
      <w:r>
        <w:rPr>
          <w:rFonts w:ascii="Times New Roman" w:hAnsi="Times New Roman" w:cs="Times New Roman" w:eastAsia="Times New Roman"/>
          <w:color w:val="auto"/>
          <w:spacing w:val="0"/>
          <w:position w:val="9"/>
          <w:sz w:val="20"/>
          <w:shd w:fill="auto" w:val="clear"/>
        </w:rPr>
        <w:t xml:space="preserve">Entendimento perpetrado na sociedade, que utiliza o termo genérico homem como representativo da humanidade. Neste sentido é produzido uma gama de representações, nas quais o homem é tido como o centro. Andro-Centro, Ismo - Tendência a supervalorizar o ponto de vista masculino. Esta lógica, segundo uma visão que respeita a perspectiva de gênero, exclui as mulheres, quando citadas de forma representada com termos masculinos para designar “todos”. Naturaliza a superioridade do homem sobre a</w:t>
      </w:r>
      <w:r>
        <w:rPr>
          <w:rFonts w:ascii="Times New Roman" w:hAnsi="Times New Roman" w:cs="Times New Roman" w:eastAsia="Times New Roman"/>
          <w:color w:val="auto"/>
          <w:spacing w:val="-16"/>
          <w:position w:val="9"/>
          <w:sz w:val="20"/>
          <w:shd w:fill="auto" w:val="clear"/>
        </w:rPr>
        <w:t xml:space="preserve"> </w:t>
      </w:r>
      <w:r>
        <w:rPr>
          <w:rFonts w:ascii="Times New Roman" w:hAnsi="Times New Roman" w:cs="Times New Roman" w:eastAsia="Times New Roman"/>
          <w:color w:val="auto"/>
          <w:spacing w:val="0"/>
          <w:position w:val="9"/>
          <w:sz w:val="20"/>
          <w:shd w:fill="auto" w:val="clear"/>
        </w:rPr>
        <w:t xml:space="preserve">mulher.</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0" w:after="0" w:line="36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mudanças econômicas e do sistema escravocrata para regime de salário, a população negra é relegada à sorte e ao abandono, sem a preocupação de sua inserção no mercado de trabalho.</w:t>
      </w:r>
    </w:p>
    <w:p>
      <w:pPr>
        <w:spacing w:before="5" w:after="0" w:line="360"/>
        <w:ind w:right="113"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análise realizada por Mazzeo (2005, pp. 5-6), sobre o modo Capitalista que assimilou a mão de obra escrava, afirma: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4" w:after="0" w:line="240"/>
        <w:ind w:right="107" w:left="350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Ainda que os primeiros indícios de produção capitalista apresentem-se já esporadicamente, em algumas cidades do Mediterrâneo durante os séculos XIV e XV, a era capitalista só data, em realidade, do século</w:t>
      </w:r>
    </w:p>
    <w:p>
      <w:pPr>
        <w:spacing w:before="0" w:after="0" w:line="240"/>
        <w:ind w:right="108" w:left="350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XVI. A expansão mercantil e a conseqüente descoberta e colonização do Novo Mundo podem ser inseridos no processo de acumulação originária de capitais, onde as colônias exercem um  papel fundamental, constituindo-se em poderosas alavancas de concentração de capitais, que ampliam as já existentes. Nesse sentido, as colônias americanas representam um momento crucial que o nascente modo de produção capitalista encontra, para efetuar seu processo de reposição de capitais, objetivando dilatar suas condições de existência. Vemos então que a colonização da América e conseqüentemente do Brasil, está no bojo da própria expansão e chega ao novo mundo juntamente com os colonizadores- os conquistadores que irão explorá-lo com intuitos de fornecer produtos aos mercados e centros produtores europeus mais importantes.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4" w:left="100" w:firstLine="78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continuidade da reflexão levantada pelo autor supracitado nos leva a refletir que o sistema produtivo implantado no Brasil,não se insere no modelo clássico,pois não utiliza a exploração do trabalho pela mais valia. O sistema escravagista pensado por Mazzeo (2005) está em conformidade com nossa compreensão de que se trata do capitalismo utilizando o escravismo como meio de exploração do trabalho, para a partir desta exploração, acumular a mais valia, para o desenvolvimento desse sistema produtivo.</w:t>
      </w:r>
    </w:p>
    <w:p>
      <w:pPr>
        <w:spacing w:before="5"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Mazzeo (2005), Marx chamará esse processo de subsunção formal do trabalho ao capital, no qual o capital incorpora em sua estrutura orgânica, formas produtivas que não lhe pertencem dando a essas formas pré-capitalistas, conteúdos capitalistas. Ao analisar o modelo de produção da Europa Ocidental e Oriental, demonstra as transformações ocorridas no período. A Europa Ocidental transformada num grande centro produtor e distribuidor de mercadorias manufaturadas, necessitando de matérias prima e a Europa Oriental cuja estrutura econômica era a feudal foi reestruturada para atender não mais a um restrito feudo, mas visando ao mercado, os senhores de terras passam a acumular com essa atividade.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Afirma:</w:t>
      </w:r>
    </w:p>
    <w:p>
      <w:pPr>
        <w:spacing w:before="6"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109" w:left="2368" w:hanging="1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Concluímos então, que a segunda servidão aparece muito mais como trabalho forçado, do que como servidão feudal propriamente dita, isto é como imperiosidade do processo de acumulação de capitais. Mas, não só no oriente europeu é implantado o trabalho forçado. Na região do Mediterrâneo temos, com a produção açucareira, a introdução do trabalho escravo, que tem o mesmo caráter do tipo de trabalho forçado</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4" w:after="0" w:line="240"/>
        <w:ind w:right="111" w:left="23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denominado segunda servidão. (...) essa produção açucareira mediterrânea possuía características das plantations, introduzidas no continente americano e conseqüentemente no Brasil.(...) o escravismo das Ilhas do Mediterrâneo, (Sicilia, Chipre, etc.), constituiu-se no laboratório da escravidão do Novo Mundo  (MAZZEO, 2005,</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p.10).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Carneiro (2003) as condições, os elementos presentes na ideologia da formação sócio-histórica brasileira rejeitam o papel da mulher negra na formação e cultura nacional, erotiza a desigualdade entre homens e mulheres e romantizam a violência sexual contras as mulheres negras.</w:t>
      </w:r>
    </w:p>
    <w:p>
      <w:pPr>
        <w:spacing w:before="5" w:after="0" w:line="240"/>
        <w:ind w:right="109" w:left="8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Carneiro (2003, p. 12), afirma: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1" w:after="0" w:line="242"/>
        <w:ind w:right="111" w:left="2386" w:hanging="3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Porém o que poderia ser considerado histórias ou reminiscências do período colonial permanece atuante no imaginário social e se renova e adquire novas roupagens e novas funções numa ordem social supostamente democrática, mas que mantém intactos os papéis instituídos para as relações de gênero segundo a cor ou raça no período escravagista. Esta tradição continua legitimando formas particulares de violências vividas presentemente por mulheres negras, dentre as quais destaca-se o turismo sexual e o tráfico de mulheres, temas que apresentam o corte racial como marcador fundamental(apud CARNEIRO 2003, p. 17).</w:t>
      </w:r>
    </w:p>
    <w:p>
      <w:pPr>
        <w:spacing w:before="9" w:after="0" w:line="240"/>
        <w:ind w:right="0" w:left="0" w:firstLine="0"/>
        <w:jc w:val="left"/>
        <w:rPr>
          <w:rFonts w:ascii="Times New Roman" w:hAnsi="Times New Roman" w:cs="Times New Roman" w:eastAsia="Times New Roman"/>
          <w:color w:val="auto"/>
          <w:spacing w:val="0"/>
          <w:position w:val="0"/>
          <w:sz w:val="29"/>
          <w:shd w:fill="auto" w:val="clear"/>
        </w:rPr>
      </w:pPr>
    </w:p>
    <w:p>
      <w:pPr>
        <w:spacing w:before="70" w:after="0" w:line="240"/>
        <w:ind w:right="109" w:left="8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Citando o artigo de Pisciteli (Sexo Tropical),Carneiro (2003,p.17) destaca o    seguinte</w:t>
      </w:r>
    </w:p>
    <w:p>
      <w:pPr>
        <w:spacing w:before="138" w:after="0" w:line="24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trecho: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75" w:after="0" w:line="242"/>
        <w:ind w:right="111" w:left="235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Os estrangeiros procurando mulheres, mas têm nítidas preferências: garotas muito jovens, mulatas ou negras. Este gosto se estende aos europeus exportadores de meninas para o exterior, afirmam que as meninas mais morenas conseguem receber maiores salários no Velho Continente.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5"/>
          <w:shd w:fill="auto" w:val="clear"/>
        </w:rPr>
      </w:pPr>
    </w:p>
    <w:p>
      <w:pPr>
        <w:spacing w:before="0"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Destas meninas segundo Piscitelli (apud CARNEIRO 2003), 60% tem entre 13 e 16 anos de idade, são invariavelmente muito pobres e em geral são vítimas de abuso sexual. Acham-se submetidas a condições de opressão e marginalização tão intensas que mesmo conhecendo ou intuindo os riscos presentes nos envolvimentos com estes  homens estrangeiros, agem como se o que quer que venham a sofrer não possa ser pior do que o que já conhece.</w:t>
      </w:r>
    </w:p>
    <w:p>
      <w:pPr>
        <w:spacing w:before="5" w:after="0" w:line="240"/>
        <w:ind w:right="109" w:left="8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entrevistada relata: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1" w:after="0" w:line="240"/>
        <w:ind w:right="109" w:left="23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casa de família meu destino seria pior ainda. Iria ganhar um salário e teria que transar de graça com o patrão, normalmente um velho gordo pelanqueiro. O pior que me pode acontecer na Suíça é eu virar puta na Suíça. Pelo menos vou ganhar alguma coisa. No Brasil não ganho nada e não tenho como ganhar (PISCITELLI apud CARNEIRO 2003, p. 13)</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0"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análise deste relato permite evidenciar a tríplice opressão que afeta as mulheres negras: de gênero, classe social e étnico-racial, bem como o complexo contexto que acaba de certa forma, se configurando em mercado de trabalho com o turismo sexual e o trabalho escravo.</w:t>
      </w:r>
    </w:p>
    <w:p>
      <w:pPr>
        <w:spacing w:before="5" w:after="0" w:line="360"/>
        <w:ind w:right="10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Fica evidente que a marca primária do trabalho da mulher negra está na esfera doméstica, que é a esfera do privado e da exploração. Este contexto é marcado pela  exploração sexual que, segundo Carneiro (2003), faz parte de nossa tradição cultural, onde as negras serviam para a iniciação sexual dos filhos dos senhores de engenhos, na fase colonial; bem como para a diversão destes senhores. Na fase contemporânea, este fator se configura como assédio moral e sexual no mercado de trabalho em empresas e instituições públicas; além das casas de famílias para as empregadas domésticas, entre</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outros.</w:t>
      </w:r>
    </w:p>
    <w:p>
      <w:pPr>
        <w:spacing w:before="5" w:after="0" w:line="240"/>
        <w:ind w:right="109" w:left="8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âmbito do mundo do trabalho doméstico,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09" w:left="2368" w:hanging="1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entidades de defesa dos direitos das empregadas domésticas vêm há tempos, denunciando a persistência deste tipo de abuso de poder sobre as empregadas no espaço doméstico. Este tipo de relação, de uso e abuso sexual das mulheres negras na sociedade brasileira, ou seja, o de mulheres sexualmente disponíveis, dotadas de uma superexcitação genética.(...) Note-se que estamos diante de um continuum histórico,que passando de mucama à doméstica, mantém a tradição de uso e abuso sexual da mulher negra, entendendo-se aqui por mulheres negras, todos os diferentes matizes com que as pessoas se autoclassificam ou são classificadas(...), a imagem que o país tem no exterior é de um país de maioria negra. E é esta a imagem do Brasil que vende e é vendida lá fora; a de um país culturalmente exótico em função desta maioria negra, porque para a maior parte dos países de primeiro mundo, alvo deste comércio, qualquer grau de mestiçagem com negros faz da pessoa um negro (CARNEIRO, 2003,</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p.14).</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2"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nesse sentido que não se pode negar a importância da variável cor na temática de gênero como elemento de compreensão de fatores culturais racistas e preconceituosos, determinantes nas violações dos direitos humanos das mulheres, particularmente no mercado de trabalho. No Brasil estes fatores estão articulados com a visão das teorias racistas segundo a qual há seres humanos menos humanos do que outros e, portanto, se aceita que estes não sejam tratados como detentores de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direitos.</w:t>
      </w: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contexto de mercantilização e exploração da mulher negra, muitas se vêem sem expectativas de oportunidade de trabalho e se aventuram em busca de um príncipe encantado que lhe possibilite uma mudança de vida. Dias Filho (</w:t>
      </w:r>
      <w:r>
        <w:rPr>
          <w:rFonts w:ascii="Times New Roman" w:hAnsi="Times New Roman" w:cs="Times New Roman" w:eastAsia="Times New Roman"/>
          <w:i/>
          <w:color w:val="auto"/>
          <w:spacing w:val="0"/>
          <w:position w:val="0"/>
          <w:sz w:val="24"/>
          <w:shd w:fill="auto" w:val="clear"/>
        </w:rPr>
        <w:t xml:space="preserve">apud </w:t>
      </w:r>
      <w:r>
        <w:rPr>
          <w:rFonts w:ascii="Times New Roman" w:hAnsi="Times New Roman" w:cs="Times New Roman" w:eastAsia="Times New Roman"/>
          <w:color w:val="auto"/>
          <w:spacing w:val="0"/>
          <w:position w:val="0"/>
          <w:sz w:val="24"/>
          <w:shd w:fill="auto" w:val="clear"/>
        </w:rPr>
        <w:t xml:space="preserve">CARNEIRO, 2003) afirma em sua pesquisa sobre turismo sexual que uma jovem alimentando este desejo viajou para a Alemanha, com um homem que a levou para passar uma temporada. No entanto ele encaminhou-a para a prostituição, obrigando-a a sair com outros homens. </w:t>
      </w: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jovem que o príncipe encantado prostituiu na Alemanha, conheceu um francês em uma temporada de verão, no momento da pesquisa realizada pelo referido autor aguardava permissão da embaixada para viajar, e segundo ela, se casar com este</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homem.</w:t>
      </w: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o desfecho desta estória foi realmente como anunciado não sabemos, entretanto, muitos casos como estes têm um desfecho trágico, onde muitas mulheres são violentadas de diversas formas e muitas vezes acabam sendo assassinadas.</w:t>
      </w:r>
    </w:p>
    <w:p>
      <w:pPr>
        <w:spacing w:before="5" w:after="0" w:line="240"/>
        <w:ind w:right="109" w:left="8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Sobre esta realidade, Dias Filho (</w:t>
      </w:r>
      <w:r>
        <w:rPr>
          <w:rFonts w:ascii="Times New Roman" w:hAnsi="Times New Roman" w:cs="Times New Roman" w:eastAsia="Times New Roman"/>
          <w:i/>
          <w:color w:val="auto"/>
          <w:spacing w:val="0"/>
          <w:position w:val="0"/>
          <w:sz w:val="24"/>
          <w:shd w:fill="auto" w:val="clear"/>
        </w:rPr>
        <w:t xml:space="preserve">apud </w:t>
      </w:r>
      <w:r>
        <w:rPr>
          <w:rFonts w:ascii="Times New Roman" w:hAnsi="Times New Roman" w:cs="Times New Roman" w:eastAsia="Times New Roman"/>
          <w:color w:val="auto"/>
          <w:spacing w:val="0"/>
          <w:position w:val="0"/>
          <w:sz w:val="24"/>
          <w:shd w:fill="auto" w:val="clear"/>
        </w:rPr>
        <w:t xml:space="preserve">CARNEIRO, 2003, p. 57), afirma: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09" w:left="235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Os alemães chegam a pagar por um pacote de quinze dias, o equivalente a 10 mil marcos para conhecer e namorar mulheres baianas, preferencialmente negras ou mulatas que apresentem as características daquelas que lhes foram mostradas, em books, vídeos ou catálogos, por agenciadores do eixo Europa- Brasil. Fator que expõe as mulheres negras á condição de antimusas da sociedade</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brasileira.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fazendo uso da citação de Piscitelli (</w:t>
      </w:r>
      <w:r>
        <w:rPr>
          <w:rFonts w:ascii="Times New Roman" w:hAnsi="Times New Roman" w:cs="Times New Roman" w:eastAsia="Times New Roman"/>
          <w:i/>
          <w:color w:val="auto"/>
          <w:spacing w:val="0"/>
          <w:position w:val="0"/>
          <w:sz w:val="24"/>
          <w:shd w:fill="auto" w:val="clear"/>
        </w:rPr>
        <w:t xml:space="preserve">apud </w:t>
      </w:r>
      <w:r>
        <w:rPr>
          <w:rFonts w:ascii="Times New Roman" w:hAnsi="Times New Roman" w:cs="Times New Roman" w:eastAsia="Times New Roman"/>
          <w:color w:val="auto"/>
          <w:spacing w:val="0"/>
          <w:position w:val="0"/>
          <w:sz w:val="24"/>
          <w:shd w:fill="auto" w:val="clear"/>
        </w:rPr>
        <w:t xml:space="preserve">CARNEIRO, 2003, pp. 10-11), destaca-se a afirmação: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3" w:left="235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 epistemologia feminista não pode ser considerada como se comprometendo com o gênero como eixo primário da opressão (...) ou colocando que o gênero é uma variável teórica que pode ser separada de outros eixos e é passível de uma análise única. Se o feminismo deve libertar as mulheres, deve defrontar virtualmente todas  as formas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opressão.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Concordamos com a autora supracitada, visto que a condição de gênero é um eixo no qual as mulheres em geral estão submetidas a opressão patriarcal, androcêntrica e machista de uma sociedade parametrada em padrões europeus que define o padrão de beleza para as mulheres se enquadrarem: o branco. Define também o espaço que cada uma dessas pessoas deve ocupar, ou seja, o do homem, o espaço público e o da mulher, o espaço privado.</w:t>
      </w:r>
    </w:p>
    <w:p>
      <w:pPr>
        <w:spacing w:before="5" w:after="0" w:line="360"/>
        <w:ind w:right="104" w:left="100" w:firstLine="78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Seguindo o foco na discriminação étnico-racial e de gênero no mercado de trabalho, daremos continuidade à análise das desigualdades entre negros e brancos por meio de dados elaborados no Relatório Terceiro Retrato das Desigualdades por Gênero e Raça, (2008), editado em parceria com o Fundo das Nações Unidas (UNIFEM), Instituto de Pesquisa Econômica Aplicada (IPEA) e pela Secretaria Especial de Políticas para Mulheres (SPM), que utiliza dados da Pesquisa Nacional de Amostra por Domicílio (PNAD), e do Instituto Brasileiro de Geografia e Estatística (IBGE) com atualização de dados para os anos de 2005, 2006, e 2007.</w:t>
      </w:r>
    </w:p>
    <w:p>
      <w:pPr>
        <w:spacing w:before="5" w:after="0" w:line="360"/>
        <w:ind w:right="104" w:left="100" w:firstLine="786"/>
        <w:jc w:val="both"/>
        <w:rPr>
          <w:rFonts w:ascii="Times New Roman" w:hAnsi="Times New Roman" w:cs="Times New Roman" w:eastAsia="Times New Roman"/>
          <w:color w:val="auto"/>
          <w:spacing w:val="0"/>
          <w:position w:val="0"/>
          <w:sz w:val="24"/>
          <w:shd w:fill="auto" w:val="clear"/>
        </w:rPr>
      </w:pPr>
    </w:p>
    <w:p>
      <w:pPr>
        <w:spacing w:before="5" w:after="0" w:line="360"/>
        <w:ind w:right="104" w:left="100" w:firstLine="786"/>
        <w:jc w:val="both"/>
        <w:rPr>
          <w:rFonts w:ascii="Times New Roman" w:hAnsi="Times New Roman" w:cs="Times New Roman" w:eastAsia="Times New Roman"/>
          <w:color w:val="auto"/>
          <w:spacing w:val="0"/>
          <w:position w:val="0"/>
          <w:sz w:val="24"/>
          <w:shd w:fill="auto" w:val="clear"/>
        </w:rPr>
      </w:pPr>
    </w:p>
    <w:p>
      <w:pPr>
        <w:spacing w:before="5" w:after="0" w:line="360"/>
        <w:ind w:right="104" w:left="100" w:firstLine="786"/>
        <w:jc w:val="both"/>
        <w:rPr>
          <w:rFonts w:ascii="Times New Roman" w:hAnsi="Times New Roman" w:cs="Times New Roman" w:eastAsia="Times New Roman"/>
          <w:color w:val="auto"/>
          <w:spacing w:val="0"/>
          <w:position w:val="0"/>
          <w:sz w:val="24"/>
          <w:shd w:fill="auto" w:val="clear"/>
        </w:rPr>
      </w:pPr>
    </w:p>
    <w:p>
      <w:pPr>
        <w:spacing w:before="5" w:after="0" w:line="360"/>
        <w:ind w:right="104" w:left="100" w:firstLine="786"/>
        <w:jc w:val="both"/>
        <w:rPr>
          <w:rFonts w:ascii="Times New Roman" w:hAnsi="Times New Roman" w:cs="Times New Roman" w:eastAsia="Times New Roman"/>
          <w:color w:val="auto"/>
          <w:spacing w:val="0"/>
          <w:position w:val="0"/>
          <w:sz w:val="24"/>
          <w:shd w:fill="auto" w:val="clear"/>
        </w:rPr>
      </w:pPr>
    </w:p>
    <w:p>
      <w:pPr>
        <w:spacing w:before="5" w:after="0" w:line="360"/>
        <w:ind w:right="104" w:left="100" w:firstLine="786"/>
        <w:jc w:val="both"/>
        <w:rPr>
          <w:rFonts w:ascii="Times New Roman" w:hAnsi="Times New Roman" w:cs="Times New Roman" w:eastAsia="Times New Roman"/>
          <w:color w:val="auto"/>
          <w:spacing w:val="0"/>
          <w:position w:val="0"/>
          <w:sz w:val="24"/>
          <w:shd w:fill="auto" w:val="clear"/>
        </w:rPr>
      </w:pPr>
    </w:p>
    <w:p>
      <w:pPr>
        <w:spacing w:before="5" w:after="0" w:line="240"/>
        <w:ind w:right="109" w:left="8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Vê-se que,</w:t>
      </w:r>
    </w:p>
    <w:p>
      <w:pPr>
        <w:spacing w:before="139" w:after="0" w:line="240"/>
        <w:ind w:right="109" w:left="2368" w:hanging="52"/>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forma geral as mulheres vêm aumentando sua participação no mercado de trabalho nos últimos anos. Se em 1996, 46% da população feminina estava  ocupada ou à procura de emprego, esta proporção sobe para 52,4% em 2007- ainda que significativamente inferior á dos homens que alcançou 72,4% no mesmo ano. Estas estatísticas dizem que as jovens mulheres de 16 a 17 anos vem apresentando dificuldade com relação a acesso ao mercado de trabalho. Em 2007 somente 69,4 % daquelas jovens estavam ocupadas comparadas a 81,1% dos jovens do sexo masculino (PINHEIRO, 2008, p. 22).</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3"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dados referentes à taxa de participação revelam ainda uma característica perversa, os negros do sexo masculino também estão sobre-representados entre os mais velhos que permanecem ocupados. Isto significa que os negros trabalham durante mais tempo ao longo  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vida.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4" w:after="0" w:line="240"/>
        <w:ind w:right="108" w:left="2368" w:firstLine="1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Esta característica pode ser explicada pelas formas mais precárias de inserção  vividas por esse segmento da população, o que faz com que não tenham garantia de proteção social na velhice, impedindo uma parcela maior de trabalhadores negros,  de terem acesso á aposentadoria. A inserção precária pode ser percebida pelos dados de posição na ocupação que são reveladores dos diferenciais de gênero e de raça presentes na sociedade brasileira. Apesar de ter havido um aumento na proporção de trabalhadores com carteira assinada, que pode se percebido em todos os grupos, as mulheres seguem mais representadas no trabalho doméstico, na produção para o próprio consumo e no trabalho não remunerado, enquanto os homens ocupam mais postos com carteira de trabalho e de empregador. Se compararmos homens brancos com e homens negros , estes enfrentam mais a situação do trabalho sem carteira que os brancos(23,4% contra 16,3%). Para as mulheres negras as informações sobre posição na ocupação revelam a situação de grande precariedade. Por um lado, elas apresentam as mais altas proporções no trabalho doméstico (21,4%) e na posição de produção para o próprio consumo e trabalho não remunerado (15,4%) e por outro, as menores proporções de trabalho com carteira assinada (23,3%) e de empregador (1,2%), ocupando assim , como confirmam os dados de renda, a pior posição na escala social (PINHEIRO, 2008, p.</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25).</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o relatório supracitado os indicadores que retratam as desigualdades entre negros e brancos são mostrados na questão do desemprego como sendo as mulheres negras as que se encontram em situação mais precarizada, apresentando uma taxa de desemprego de </w:t>
      </w:r>
      <w:r>
        <w:rPr>
          <w:rFonts w:ascii="Times New Roman" w:hAnsi="Times New Roman" w:cs="Times New Roman" w:eastAsia="Times New Roman"/>
          <w:b/>
          <w:color w:val="auto"/>
          <w:spacing w:val="0"/>
          <w:position w:val="0"/>
          <w:sz w:val="24"/>
          <w:shd w:fill="auto" w:val="clear"/>
        </w:rPr>
        <w:t xml:space="preserve">12,4% </w:t>
      </w:r>
      <w:r>
        <w:rPr>
          <w:rFonts w:ascii="Times New Roman" w:hAnsi="Times New Roman" w:cs="Times New Roman" w:eastAsia="Times New Roman"/>
          <w:color w:val="auto"/>
          <w:spacing w:val="0"/>
          <w:position w:val="0"/>
          <w:sz w:val="24"/>
          <w:shd w:fill="auto" w:val="clear"/>
        </w:rPr>
        <w:t xml:space="preserve">em 2007, comparada a </w:t>
      </w:r>
      <w:r>
        <w:rPr>
          <w:rFonts w:ascii="Times New Roman" w:hAnsi="Times New Roman" w:cs="Times New Roman" w:eastAsia="Times New Roman"/>
          <w:b/>
          <w:color w:val="auto"/>
          <w:spacing w:val="0"/>
          <w:position w:val="0"/>
          <w:sz w:val="24"/>
          <w:shd w:fill="auto" w:val="clear"/>
        </w:rPr>
        <w:t xml:space="preserve">9,4% </w:t>
      </w:r>
      <w:r>
        <w:rPr>
          <w:rFonts w:ascii="Times New Roman" w:hAnsi="Times New Roman" w:cs="Times New Roman" w:eastAsia="Times New Roman"/>
          <w:color w:val="auto"/>
          <w:spacing w:val="0"/>
          <w:position w:val="0"/>
          <w:sz w:val="24"/>
          <w:shd w:fill="auto" w:val="clear"/>
        </w:rPr>
        <w:t xml:space="preserve">para as mulheres brancas, </w:t>
      </w:r>
      <w:r>
        <w:rPr>
          <w:rFonts w:ascii="Times New Roman" w:hAnsi="Times New Roman" w:cs="Times New Roman" w:eastAsia="Times New Roman"/>
          <w:b/>
          <w:color w:val="auto"/>
          <w:spacing w:val="0"/>
          <w:position w:val="0"/>
          <w:sz w:val="24"/>
          <w:shd w:fill="auto" w:val="clear"/>
        </w:rPr>
        <w:t xml:space="preserve">6,7% </w:t>
      </w:r>
      <w:r>
        <w:rPr>
          <w:rFonts w:ascii="Times New Roman" w:hAnsi="Times New Roman" w:cs="Times New Roman" w:eastAsia="Times New Roman"/>
          <w:color w:val="auto"/>
          <w:spacing w:val="0"/>
          <w:position w:val="0"/>
          <w:sz w:val="24"/>
          <w:shd w:fill="auto" w:val="clear"/>
        </w:rPr>
        <w:t xml:space="preserve">para os homens negros e </w:t>
      </w:r>
      <w:r>
        <w:rPr>
          <w:rFonts w:ascii="Times New Roman" w:hAnsi="Times New Roman" w:cs="Times New Roman" w:eastAsia="Times New Roman"/>
          <w:b/>
          <w:color w:val="auto"/>
          <w:spacing w:val="0"/>
          <w:position w:val="0"/>
          <w:sz w:val="24"/>
          <w:shd w:fill="auto" w:val="clear"/>
        </w:rPr>
        <w:t xml:space="preserve">5,5% </w:t>
      </w:r>
      <w:r>
        <w:rPr>
          <w:rFonts w:ascii="Times New Roman" w:hAnsi="Times New Roman" w:cs="Times New Roman" w:eastAsia="Times New Roman"/>
          <w:color w:val="auto"/>
          <w:spacing w:val="0"/>
          <w:position w:val="0"/>
          <w:sz w:val="24"/>
          <w:shd w:fill="auto" w:val="clear"/>
        </w:rPr>
        <w:t xml:space="preserve">para os homens brancos (PINHEIRO, 2008, p. 25).</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reflexo à precarização no mundo do trabalho estão às condições de moradia. A análise para 1993 era de </w:t>
      </w:r>
      <w:r>
        <w:rPr>
          <w:rFonts w:ascii="Times New Roman" w:hAnsi="Times New Roman" w:cs="Times New Roman" w:eastAsia="Times New Roman"/>
          <w:b/>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dos domicílios que estavam em favelas ou assemelhados. Em 2007, esse valor foi de </w:t>
      </w:r>
      <w:r>
        <w:rPr>
          <w:rFonts w:ascii="Times New Roman" w:hAnsi="Times New Roman" w:cs="Times New Roman" w:eastAsia="Times New Roman"/>
          <w:b/>
          <w:color w:val="auto"/>
          <w:spacing w:val="0"/>
          <w:position w:val="0"/>
          <w:sz w:val="24"/>
          <w:shd w:fill="auto" w:val="clear"/>
        </w:rPr>
        <w:t xml:space="preserve">3,6%.</w:t>
      </w:r>
      <w:r>
        <w:rPr>
          <w:rFonts w:ascii="Times New Roman" w:hAnsi="Times New Roman" w:cs="Times New Roman" w:eastAsia="Times New Roman"/>
          <w:color w:val="auto"/>
          <w:spacing w:val="0"/>
          <w:position w:val="0"/>
          <w:sz w:val="24"/>
          <w:shd w:fill="auto" w:val="clear"/>
        </w:rPr>
        <w:t xml:space="preserve">. Mesmo sendo um percentual reduzido, não se pode ignorar que se trata de </w:t>
      </w:r>
      <w:r>
        <w:rPr>
          <w:rFonts w:ascii="Times New Roman" w:hAnsi="Times New Roman" w:cs="Times New Roman" w:eastAsia="Times New Roman"/>
          <w:b/>
          <w:color w:val="auto"/>
          <w:spacing w:val="0"/>
          <w:position w:val="0"/>
          <w:sz w:val="24"/>
          <w:shd w:fill="auto" w:val="clear"/>
        </w:rPr>
        <w:t xml:space="preserve">2 milhões de domicílios, ou no mínimo 8 milhões de pessoas </w:t>
      </w:r>
      <w:r>
        <w:rPr>
          <w:rFonts w:ascii="Times New Roman" w:hAnsi="Times New Roman" w:cs="Times New Roman" w:eastAsia="Times New Roman"/>
          <w:color w:val="auto"/>
          <w:spacing w:val="0"/>
          <w:position w:val="0"/>
          <w:sz w:val="24"/>
          <w:shd w:fill="auto" w:val="clear"/>
        </w:rPr>
        <w:t xml:space="preserve">. Estes dados representam ainda no conjunto dos assentamentos subnormais, distribuídos da seguinte forma: </w:t>
      </w:r>
      <w:r>
        <w:rPr>
          <w:rFonts w:ascii="Times New Roman" w:hAnsi="Times New Roman" w:cs="Times New Roman" w:eastAsia="Times New Roman"/>
          <w:b/>
          <w:color w:val="auto"/>
          <w:spacing w:val="0"/>
          <w:position w:val="0"/>
          <w:sz w:val="24"/>
          <w:shd w:fill="auto" w:val="clear"/>
        </w:rPr>
        <w:t xml:space="preserve">40,1% </w:t>
      </w:r>
      <w:r>
        <w:rPr>
          <w:rFonts w:ascii="Times New Roman" w:hAnsi="Times New Roman" w:cs="Times New Roman" w:eastAsia="Times New Roman"/>
          <w:color w:val="auto"/>
          <w:spacing w:val="0"/>
          <w:position w:val="0"/>
          <w:sz w:val="24"/>
          <w:shd w:fill="auto" w:val="clear"/>
        </w:rPr>
        <w:t xml:space="preserve">chefiados por homens negros, </w:t>
      </w:r>
      <w:r>
        <w:rPr>
          <w:rFonts w:ascii="Times New Roman" w:hAnsi="Times New Roman" w:cs="Times New Roman" w:eastAsia="Times New Roman"/>
          <w:b/>
          <w:color w:val="auto"/>
          <w:spacing w:val="0"/>
          <w:position w:val="0"/>
          <w:sz w:val="24"/>
          <w:shd w:fill="auto" w:val="clear"/>
        </w:rPr>
        <w:t xml:space="preserve">21,3% </w:t>
      </w:r>
      <w:r>
        <w:rPr>
          <w:rFonts w:ascii="Times New Roman" w:hAnsi="Times New Roman" w:cs="Times New Roman" w:eastAsia="Times New Roman"/>
          <w:color w:val="auto"/>
          <w:spacing w:val="0"/>
          <w:position w:val="0"/>
          <w:sz w:val="24"/>
          <w:shd w:fill="auto" w:val="clear"/>
        </w:rPr>
        <w:t xml:space="preserve">por homens brancos; </w:t>
      </w:r>
      <w:r>
        <w:rPr>
          <w:rFonts w:ascii="Times New Roman" w:hAnsi="Times New Roman" w:cs="Times New Roman" w:eastAsia="Times New Roman"/>
          <w:b/>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por mulheres negras  e </w:t>
      </w:r>
      <w:r>
        <w:rPr>
          <w:rFonts w:ascii="Times New Roman" w:hAnsi="Times New Roman" w:cs="Times New Roman" w:eastAsia="Times New Roman"/>
          <w:b/>
          <w:color w:val="auto"/>
          <w:spacing w:val="0"/>
          <w:position w:val="0"/>
          <w:sz w:val="24"/>
          <w:shd w:fill="auto" w:val="clear"/>
        </w:rPr>
        <w:t xml:space="preserve">11,7% </w:t>
      </w:r>
      <w:r>
        <w:rPr>
          <w:rFonts w:ascii="Times New Roman" w:hAnsi="Times New Roman" w:cs="Times New Roman" w:eastAsia="Times New Roman"/>
          <w:color w:val="auto"/>
          <w:spacing w:val="0"/>
          <w:position w:val="0"/>
          <w:sz w:val="24"/>
          <w:shd w:fill="auto" w:val="clear"/>
        </w:rPr>
        <w:t xml:space="preserve">de mulheres brancas. </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Estes dados indicam que a população negra continua ocupando espaços</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onde</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desigualdades</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condições</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população</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negra</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vão</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perpetuando contra eles, o que reforça mais uma vez sua maior vulnerabilidade social. As favelas e outros bairros periféricos representam uma amostra significativa dessa desigualdade. (PINHEIRO, 2008, p. 29).</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análises para 2007 retratam que </w:t>
      </w:r>
      <w:r>
        <w:rPr>
          <w:rFonts w:ascii="Times New Roman" w:hAnsi="Times New Roman" w:cs="Times New Roman" w:eastAsia="Times New Roman"/>
          <w:b/>
          <w:color w:val="auto"/>
          <w:spacing w:val="0"/>
          <w:position w:val="0"/>
          <w:sz w:val="24"/>
          <w:shd w:fill="auto" w:val="clear"/>
        </w:rPr>
        <w:t xml:space="preserve">20% </w:t>
      </w:r>
      <w:r>
        <w:rPr>
          <w:rFonts w:ascii="Times New Roman" w:hAnsi="Times New Roman" w:cs="Times New Roman" w:eastAsia="Times New Roman"/>
          <w:color w:val="auto"/>
          <w:spacing w:val="0"/>
          <w:position w:val="0"/>
          <w:sz w:val="24"/>
          <w:shd w:fill="auto" w:val="clear"/>
        </w:rPr>
        <w:t xml:space="preserve">da população branca situava-se abaixo da linha de pobreza, enquanto mais do dobro ou </w:t>
      </w:r>
      <w:r>
        <w:rPr>
          <w:rFonts w:ascii="Times New Roman" w:hAnsi="Times New Roman" w:cs="Times New Roman" w:eastAsia="Times New Roman"/>
          <w:b/>
          <w:color w:val="auto"/>
          <w:spacing w:val="0"/>
          <w:position w:val="0"/>
          <w:sz w:val="24"/>
          <w:shd w:fill="auto" w:val="clear"/>
        </w:rPr>
        <w:t xml:space="preserve">41,7% </w:t>
      </w:r>
      <w:r>
        <w:rPr>
          <w:rFonts w:ascii="Times New Roman" w:hAnsi="Times New Roman" w:cs="Times New Roman" w:eastAsia="Times New Roman"/>
          <w:color w:val="auto"/>
          <w:spacing w:val="0"/>
          <w:position w:val="0"/>
          <w:sz w:val="24"/>
          <w:shd w:fill="auto" w:val="clear"/>
        </w:rPr>
        <w:t xml:space="preserve">da população negra encontrava-se na mesma situação de vulnerabilidade. No caso da indigência, a situação é tão mais grave: enquanto </w:t>
      </w:r>
      <w:r>
        <w:rPr>
          <w:rFonts w:ascii="Times New Roman" w:hAnsi="Times New Roman" w:cs="Times New Roman" w:eastAsia="Times New Roman"/>
          <w:b/>
          <w:color w:val="auto"/>
          <w:spacing w:val="0"/>
          <w:position w:val="0"/>
          <w:sz w:val="24"/>
          <w:shd w:fill="auto" w:val="clear"/>
        </w:rPr>
        <w:t xml:space="preserve">6,6% </w:t>
      </w:r>
      <w:r>
        <w:rPr>
          <w:rFonts w:ascii="Times New Roman" w:hAnsi="Times New Roman" w:cs="Times New Roman" w:eastAsia="Times New Roman"/>
          <w:color w:val="auto"/>
          <w:spacing w:val="0"/>
          <w:position w:val="0"/>
          <w:sz w:val="24"/>
          <w:shd w:fill="auto" w:val="clear"/>
        </w:rPr>
        <w:t xml:space="preserve">de brancos recebem menos de ¼ do salário mínimo per capita por mês, esse percentual salta para </w:t>
      </w:r>
      <w:r>
        <w:rPr>
          <w:rFonts w:ascii="Times New Roman" w:hAnsi="Times New Roman" w:cs="Times New Roman" w:eastAsia="Times New Roman"/>
          <w:b/>
          <w:color w:val="auto"/>
          <w:spacing w:val="0"/>
          <w:position w:val="0"/>
          <w:sz w:val="24"/>
          <w:shd w:fill="auto" w:val="clear"/>
        </w:rPr>
        <w:t xml:space="preserve">16,9% </w:t>
      </w:r>
      <w:r>
        <w:rPr>
          <w:rFonts w:ascii="Times New Roman" w:hAnsi="Times New Roman" w:cs="Times New Roman" w:eastAsia="Times New Roman"/>
          <w:color w:val="auto"/>
          <w:spacing w:val="0"/>
          <w:position w:val="0"/>
          <w:sz w:val="24"/>
          <w:shd w:fill="auto" w:val="clear"/>
        </w:rPr>
        <w:t xml:space="preserve">para a população negra, quase três vezes mais. Isso significa </w:t>
      </w:r>
      <w:r>
        <w:rPr>
          <w:rFonts w:ascii="Times New Roman" w:hAnsi="Times New Roman" w:cs="Times New Roman" w:eastAsia="Times New Roman"/>
          <w:b/>
          <w:color w:val="auto"/>
          <w:spacing w:val="0"/>
          <w:position w:val="0"/>
          <w:sz w:val="24"/>
          <w:shd w:fill="auto" w:val="clear"/>
        </w:rPr>
        <w:t xml:space="preserve">20 </w:t>
      </w:r>
      <w:r>
        <w:rPr>
          <w:rFonts w:ascii="Times New Roman" w:hAnsi="Times New Roman" w:cs="Times New Roman" w:eastAsia="Times New Roman"/>
          <w:color w:val="auto"/>
          <w:spacing w:val="0"/>
          <w:position w:val="0"/>
          <w:sz w:val="24"/>
          <w:shd w:fill="auto" w:val="clear"/>
        </w:rPr>
        <w:t xml:space="preserve">milhões de pobres a mais que brancos e </w:t>
      </w:r>
      <w:r>
        <w:rPr>
          <w:rFonts w:ascii="Times New Roman" w:hAnsi="Times New Roman" w:cs="Times New Roman" w:eastAsia="Times New Roman"/>
          <w:b/>
          <w:color w:val="auto"/>
          <w:spacing w:val="0"/>
          <w:position w:val="0"/>
          <w:sz w:val="24"/>
          <w:shd w:fill="auto" w:val="clear"/>
        </w:rPr>
        <w:t xml:space="preserve">9,5 </w:t>
      </w:r>
      <w:r>
        <w:rPr>
          <w:rFonts w:ascii="Times New Roman" w:hAnsi="Times New Roman" w:cs="Times New Roman" w:eastAsia="Times New Roman"/>
          <w:color w:val="auto"/>
          <w:spacing w:val="0"/>
          <w:position w:val="0"/>
          <w:sz w:val="24"/>
          <w:shd w:fill="auto" w:val="clear"/>
        </w:rPr>
        <w:t xml:space="preserve">milhões de indigentes negros a mais que brancos (PINHEIRO, 2008, p. 33)</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indicadores aqui enfatizados demonstram, por si, o quanto a violência racial se configura em quadros que vão compondo o patamar das desigualdades entre negros e brancos; bem como a complexificação, pelo entrelaçamento de indicadores que vão se somando e se configurando como agravantes para as mulheres negras por se encontrarem na intersecção das desigualdades de gênero, raça/etnia e classe social. Dizem ainda que as raízes destas desigualdades estejam entrelaçadas com preconceitos e discriminações, que fazem com que esta seqüência de indicadores se configure em série. Vejamos o que eles dizem em relação à Previdência Social.</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 Previdência Social a análise dos dados da PNAD, esclarece que o fato de que o acesso a benefícios deste setor,está relacionado com o histórico de trabalho das pessoas, as desigualdades provocadas pelas discriminações de gênero e raça no mercado de trabalho se repetem no sistema previdenciário.</w:t>
      </w:r>
    </w:p>
    <w:p>
      <w:pPr>
        <w:spacing w:before="5" w:after="0" w:line="360"/>
        <w:ind w:right="10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 análise do relatório, exatamente por ser um dado mais sensível, à situação do mercado de trabalho, este elemento reflete também as discriminações verificadas no mesmo. Assim, o grupo que está em melhores condições são os homens brancos, com cobertura de </w:t>
      </w:r>
      <w:r>
        <w:rPr>
          <w:rFonts w:ascii="Times New Roman" w:hAnsi="Times New Roman" w:cs="Times New Roman" w:eastAsia="Times New Roman"/>
          <w:b/>
          <w:color w:val="auto"/>
          <w:spacing w:val="0"/>
          <w:position w:val="0"/>
          <w:sz w:val="24"/>
          <w:shd w:fill="auto" w:val="clear"/>
        </w:rPr>
        <w:t xml:space="preserve">62,8% </w:t>
      </w:r>
      <w:r>
        <w:rPr>
          <w:rFonts w:ascii="Times New Roman" w:hAnsi="Times New Roman" w:cs="Times New Roman" w:eastAsia="Times New Roman"/>
          <w:color w:val="auto"/>
          <w:spacing w:val="0"/>
          <w:position w:val="0"/>
          <w:sz w:val="24"/>
          <w:shd w:fill="auto" w:val="clear"/>
        </w:rPr>
        <w:t xml:space="preserve">em 2007, e as mulheres negras são as menos protegidas socialmente, com </w:t>
      </w:r>
      <w:r>
        <w:rPr>
          <w:rFonts w:ascii="Times New Roman" w:hAnsi="Times New Roman" w:cs="Times New Roman" w:eastAsia="Times New Roman"/>
          <w:b/>
          <w:color w:val="auto"/>
          <w:spacing w:val="0"/>
          <w:position w:val="0"/>
          <w:sz w:val="24"/>
          <w:shd w:fill="auto" w:val="clear"/>
        </w:rPr>
        <w:t xml:space="preserve">45,1% </w:t>
      </w:r>
      <w:r>
        <w:rPr>
          <w:rFonts w:ascii="Times New Roman" w:hAnsi="Times New Roman" w:cs="Times New Roman" w:eastAsia="Times New Roman"/>
          <w:color w:val="auto"/>
          <w:spacing w:val="0"/>
          <w:position w:val="0"/>
          <w:sz w:val="24"/>
          <w:shd w:fill="auto" w:val="clear"/>
        </w:rPr>
        <w:t xml:space="preserve">de cobertura.</w:t>
      </w:r>
    </w:p>
    <w:p>
      <w:pPr>
        <w:spacing w:before="5" w:after="0" w:line="360"/>
        <w:ind w:right="106" w:left="100" w:firstLine="79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Relatório prossegue afirmando que a parcela da população que não está coberta pela Previdência Social constitui parte significativa do público atendido pela Assistência Social. As informações sobre os beneficiários da Assistência apresentados pela PNAD ainda são gerais, mas permitem uma breve caracterização dos mesmos. E um dos traços mais marcantes é que a grande maioria dos domicílios que recebem benefícios assistenciais é chefiada por negros (as). </w:t>
      </w:r>
    </w:p>
    <w:p>
      <w:pPr>
        <w:spacing w:before="5" w:after="0" w:line="360"/>
        <w:ind w:right="106" w:left="100" w:firstLine="796"/>
        <w:jc w:val="both"/>
        <w:rPr>
          <w:rFonts w:ascii="Times New Roman" w:hAnsi="Times New Roman" w:cs="Times New Roman" w:eastAsia="Times New Roman"/>
          <w:color w:val="auto"/>
          <w:spacing w:val="0"/>
          <w:position w:val="0"/>
          <w:sz w:val="24"/>
          <w:shd w:fill="auto" w:val="clear"/>
        </w:rPr>
      </w:pPr>
    </w:p>
    <w:p>
      <w:pPr>
        <w:spacing w:before="5" w:after="0" w:line="360"/>
        <w:ind w:right="106" w:left="100" w:firstLine="796"/>
        <w:jc w:val="both"/>
        <w:rPr>
          <w:rFonts w:ascii="Times New Roman" w:hAnsi="Times New Roman" w:cs="Times New Roman" w:eastAsia="Times New Roman"/>
          <w:color w:val="auto"/>
          <w:spacing w:val="0"/>
          <w:position w:val="0"/>
          <w:sz w:val="24"/>
          <w:shd w:fill="auto" w:val="clear"/>
        </w:rPr>
      </w:pPr>
    </w:p>
    <w:p>
      <w:pPr>
        <w:spacing w:before="5" w:after="0" w:line="360"/>
        <w:ind w:right="106" w:left="100" w:firstLine="796"/>
        <w:jc w:val="both"/>
        <w:rPr>
          <w:rFonts w:ascii="Times New Roman" w:hAnsi="Times New Roman" w:cs="Times New Roman" w:eastAsia="Times New Roman"/>
          <w:color w:val="auto"/>
          <w:spacing w:val="0"/>
          <w:position w:val="0"/>
          <w:sz w:val="24"/>
          <w:shd w:fill="auto" w:val="clear"/>
        </w:rPr>
      </w:pPr>
    </w:p>
    <w:p>
      <w:pPr>
        <w:spacing w:before="5" w:after="0" w:line="360"/>
        <w:ind w:right="106" w:left="100" w:firstLine="79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temos que </w:t>
      </w:r>
      <w:r>
        <w:rPr>
          <w:rFonts w:ascii="Times New Roman" w:hAnsi="Times New Roman" w:cs="Times New Roman" w:eastAsia="Times New Roman"/>
          <w:b/>
          <w:color w:val="auto"/>
          <w:spacing w:val="0"/>
          <w:position w:val="0"/>
          <w:sz w:val="24"/>
          <w:shd w:fill="auto" w:val="clear"/>
        </w:rPr>
        <w:t xml:space="preserve">69% </w:t>
      </w:r>
      <w:r>
        <w:rPr>
          <w:rFonts w:ascii="Times New Roman" w:hAnsi="Times New Roman" w:cs="Times New Roman" w:eastAsia="Times New Roman"/>
          <w:color w:val="auto"/>
          <w:spacing w:val="0"/>
          <w:position w:val="0"/>
          <w:sz w:val="24"/>
          <w:shd w:fill="auto" w:val="clear"/>
        </w:rPr>
        <w:t xml:space="preserve">dos domicílios dos que recebem Benefício de Prestação  Continuada e  </w:t>
      </w:r>
      <w:r>
        <w:rPr>
          <w:rFonts w:ascii="Times New Roman" w:hAnsi="Times New Roman" w:cs="Times New Roman" w:eastAsia="Times New Roman"/>
          <w:b/>
          <w:color w:val="auto"/>
          <w:spacing w:val="0"/>
          <w:position w:val="0"/>
          <w:sz w:val="24"/>
          <w:shd w:fill="auto" w:val="clear"/>
        </w:rPr>
        <w:t xml:space="preserve">68% </w:t>
      </w:r>
      <w:r>
        <w:rPr>
          <w:rFonts w:ascii="Times New Roman" w:hAnsi="Times New Roman" w:cs="Times New Roman" w:eastAsia="Times New Roman"/>
          <w:color w:val="auto"/>
          <w:spacing w:val="0"/>
          <w:position w:val="0"/>
          <w:sz w:val="24"/>
          <w:shd w:fill="auto" w:val="clear"/>
        </w:rPr>
        <w:t xml:space="preserve">dos que participam  do Programa  de Erradicação  do</w:t>
      </w:r>
      <w:r>
        <w:rPr>
          <w:rFonts w:ascii="Times New Roman" w:hAnsi="Times New Roman" w:cs="Times New Roman" w:eastAsia="Times New Roman"/>
          <w:color w:val="auto"/>
          <w:spacing w:val="5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Trabalho Infantil são chefiados por negros (as). São dados que não representam uma surpresa, pois os indicadores de pobreza e desigualdade, quando desagregados por cor/raça, mostram que os negros são grande maioria entre os mais pobres, estão nas posições mais precárias do mercado de trabalho e possuem os menores índices de educação formal. Tais informações dão visibilidade a uma realidade de adoção de medidas que visem à valorização e promoção da igualdade racial.</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Complementando os dados sobre os indicadores de violência étnico-racial a partir das desigualdades sociais utilizaremos alguns dados do Relatório de Trabalho e Desenvolvimento Humano de 2007 e de 2008. Este se utiliza dos dados da Comissão de Estudos para a América Latina (CEPAL, 2001) e de Abramo e Valenzuela (2001 e 2006), além de outras estatísticas da PNUD e da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OT.</w:t>
      </w:r>
    </w:p>
    <w:p>
      <w:pPr>
        <w:spacing w:before="5" w:after="0" w:line="360"/>
        <w:ind w:right="10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dos traços mais marcantes no período analisado, 1992-2006, e que expressa importantes déficits de trabalho decente, é o elevado desemprego, significativamente maior no caso das mulheres e especialmente, das negras, e o aumento do hiato entre a taxa de desemprego feminina e masculina, bem como entre brancos e negros.</w:t>
      </w:r>
    </w:p>
    <w:p>
      <w:pPr>
        <w:spacing w:before="5" w:after="0" w:line="360"/>
        <w:ind w:right="105" w:left="10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2006, a taxa de desemprego para pessoas acima de 16 anos ou mais, atingiu </w:t>
      </w:r>
      <w:r>
        <w:rPr>
          <w:rFonts w:ascii="Times New Roman" w:hAnsi="Times New Roman" w:cs="Times New Roman" w:eastAsia="Times New Roman"/>
          <w:b/>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entre as mulheres, enquanto para os homens era bem mais baixa </w:t>
      </w:r>
      <w:r>
        <w:rPr>
          <w:rFonts w:ascii="Times New Roman" w:hAnsi="Times New Roman" w:cs="Times New Roman" w:eastAsia="Times New Roman"/>
          <w:b/>
          <w:color w:val="auto"/>
          <w:spacing w:val="0"/>
          <w:position w:val="0"/>
          <w:sz w:val="24"/>
          <w:shd w:fill="auto" w:val="clear"/>
        </w:rPr>
        <w:t xml:space="preserve">6,3%. </w:t>
      </w:r>
      <w:r>
        <w:rPr>
          <w:rFonts w:ascii="Times New Roman" w:hAnsi="Times New Roman" w:cs="Times New Roman" w:eastAsia="Times New Roman"/>
          <w:color w:val="auto"/>
          <w:spacing w:val="0"/>
          <w:position w:val="0"/>
          <w:sz w:val="24"/>
          <w:shd w:fill="auto" w:val="clear"/>
        </w:rPr>
        <w:t xml:space="preserve">Entre 1992 e 2006, a taxa de desemprego feminina </w:t>
      </w:r>
      <w:r>
        <w:rPr>
          <w:rFonts w:ascii="Times New Roman" w:hAnsi="Times New Roman" w:cs="Times New Roman" w:eastAsia="Times New Roman"/>
          <w:b/>
          <w:color w:val="auto"/>
          <w:spacing w:val="0"/>
          <w:position w:val="0"/>
          <w:sz w:val="24"/>
          <w:shd w:fill="auto" w:val="clear"/>
        </w:rPr>
        <w:t xml:space="preserve">41% </w:t>
      </w:r>
      <w:r>
        <w:rPr>
          <w:rFonts w:ascii="Times New Roman" w:hAnsi="Times New Roman" w:cs="Times New Roman" w:eastAsia="Times New Roman"/>
          <w:color w:val="auto"/>
          <w:spacing w:val="0"/>
          <w:position w:val="0"/>
          <w:sz w:val="24"/>
          <w:shd w:fill="auto" w:val="clear"/>
        </w:rPr>
        <w:t xml:space="preserve">foi quase o dobro da alta da desocupação masculina </w:t>
      </w:r>
      <w:r>
        <w:rPr>
          <w:rFonts w:ascii="Times New Roman" w:hAnsi="Times New Roman" w:cs="Times New Roman" w:eastAsia="Times New Roman"/>
          <w:b/>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Desagregando os dados também por cor/raça, observa-se a desvantagem enfrentada pelas negras, que apresentavam, em 2006, uma taxa de desemprego </w:t>
      </w:r>
      <w:r>
        <w:rPr>
          <w:rFonts w:ascii="Times New Roman" w:hAnsi="Times New Roman" w:cs="Times New Roman" w:eastAsia="Times New Roman"/>
          <w:b/>
          <w:color w:val="auto"/>
          <w:spacing w:val="0"/>
          <w:position w:val="0"/>
          <w:sz w:val="24"/>
          <w:shd w:fill="auto" w:val="clear"/>
        </w:rPr>
        <w:t xml:space="preserve">12,5% </w:t>
      </w:r>
      <w:r>
        <w:rPr>
          <w:rFonts w:ascii="Times New Roman" w:hAnsi="Times New Roman" w:cs="Times New Roman" w:eastAsia="Times New Roman"/>
          <w:color w:val="auto"/>
          <w:spacing w:val="0"/>
          <w:position w:val="0"/>
          <w:sz w:val="24"/>
          <w:shd w:fill="auto" w:val="clear"/>
        </w:rPr>
        <w:t xml:space="preserve">mais que o dobro da dos homens brancos </w:t>
      </w:r>
      <w:r>
        <w:rPr>
          <w:rFonts w:ascii="Times New Roman" w:hAnsi="Times New Roman" w:cs="Times New Roman" w:eastAsia="Times New Roman"/>
          <w:b/>
          <w:color w:val="auto"/>
          <w:spacing w:val="0"/>
          <w:position w:val="0"/>
          <w:sz w:val="24"/>
          <w:shd w:fill="auto" w:val="clear"/>
        </w:rPr>
        <w:t xml:space="preserve">5,6%.</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dados expostos neste relatório relatam que estas cifras expressam fenômenos distintos, mas de igual importância para entender a evolução recente do mercado de trabalho brasileiro e de suas desigualdades de gênero. A desigualdade racial também se manifesta quando os homens – os trabalhadores negros estão sujeitos a taxas de desemprego mais elevados do que o dos brancos.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466"/>
        </w:numPr>
        <w:tabs>
          <w:tab w:val="left" w:pos="661" w:leader="none"/>
        </w:tabs>
        <w:spacing w:before="143" w:after="0" w:line="240"/>
        <w:ind w:right="0" w:left="660" w:hanging="20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DA PESQUISA E</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DISCUSSÃO</w:t>
      </w:r>
    </w:p>
    <w:p>
      <w:pPr>
        <w:spacing w:before="138" w:after="0" w:line="360"/>
        <w:ind w:right="113"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aprofundamento da teoria de gênero nos permitiu entender a discussão acerca do  uso do conceito de Patriarcado e a maturação da produção acadêmica. Compreende as formas de relação da violência estrutural com raízes no Patriarcado, como sistema que legitima o poder do homem sobre a mulher e justifica a violência por ele praticada contra as</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p>
    <w:p>
      <w:pPr>
        <w:spacing w:before="5"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se aprofunda a teoria de gênero raça/etnia, classe percebe-se a relação da teoria</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gênero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dominação</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patriarcal,</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qual</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homem</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branco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além</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ter</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poder</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0" w:after="0" w:line="360"/>
        <w:ind w:right="104"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sobre as mulheres são também construtores de ideologias racistas que lhe conferem também poder sobre as raças, tidas por eles como inferiores. Relaciona-se ainda que este poder se amplia para o domínio econômico, se materializa no sistema capitalista que amplia a exploração pela relação capital/trabalho, sobre homens e mulheres e de todas as raças.</w:t>
      </w:r>
    </w:p>
    <w:p>
      <w:pPr>
        <w:spacing w:before="5" w:after="0" w:line="360"/>
        <w:ind w:right="11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recorte étnico racial, entretanto nos permitiu verificar e evidenciar que esta exploração capitalista no modelo econômico brasileiro colonizador escravocrata, traçou o perfil da desigualdade racial no Brasil, o que se configura como violência racial, no qual homens e mulheres negros sofrem as conseqüências desta exploração de forma mais agressiva. Essas se expressam em discriminações e preconceitos que se constituem em agressões aos direitos humanos, como discorremos no transcorrer deste</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artigo.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475"/>
        </w:numPr>
        <w:tabs>
          <w:tab w:val="left" w:pos="808" w:leader="none"/>
        </w:tabs>
        <w:spacing w:before="143" w:after="0" w:line="240"/>
        <w:ind w:right="0" w:left="808" w:hanging="348"/>
        <w:jc w:val="left"/>
        <w:rPr>
          <w:rFonts w:ascii="Trebuchet MS" w:hAnsi="Trebuchet MS" w:cs="Trebuchet MS" w:eastAsia="Trebuchet MS"/>
          <w:b/>
          <w:color w:val="auto"/>
          <w:spacing w:val="0"/>
          <w:position w:val="0"/>
          <w:sz w:val="22"/>
          <w:shd w:fill="auto" w:val="clear"/>
        </w:rPr>
      </w:pPr>
      <w:r>
        <w:rPr>
          <w:rFonts w:ascii="Times New Roman" w:hAnsi="Times New Roman" w:cs="Times New Roman" w:eastAsia="Times New Roman"/>
          <w:b/>
          <w:color w:val="auto"/>
          <w:spacing w:val="0"/>
          <w:position w:val="0"/>
          <w:sz w:val="24"/>
          <w:shd w:fill="auto" w:val="clear"/>
        </w:rPr>
        <w:t xml:space="preserve">CONCLUSÕES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1"/>
          <w:shd w:fill="auto" w:val="clear"/>
        </w:rPr>
      </w:pPr>
    </w:p>
    <w:p>
      <w:pPr>
        <w:spacing w:before="0" w:after="0" w:line="36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produção deste artigo é fruto da pesquisa e do estudo sistematizado no Trabalho de Conclusão de Curso apresentado à Faculdade de Serviço Social cujo título é “As Expressões da Violência contra as Mulheres Negras no Mercado de Trabalho, na Saúde e na Educação”, Este corresponde a reflexões e dados que visam reforçar a visibilidade em torno das desigualdades de gênero e as especificidades para as mulheres negras, particularmente, no que concerne ao mercado de trabalho.</w:t>
      </w:r>
    </w:p>
    <w:p>
      <w:pPr>
        <w:spacing w:before="5" w:after="0" w:line="360"/>
        <w:ind w:right="103"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dos índices de pobreza e de desigualdades relacionados à discriminação da mulher negra no mercado de trabalho, pode-se destacar a necessidade de fomentar reflexões para um despertar crítico, sobretudo no campo da educação para criar projetos de pesquisa e extensão que possam assegurar a este segmento racial a permanência na Universidade, pois se o ingresso é favorecido pelas Cotas que é uma conquista; é necessário assegurar a permanência. Ao ser assegurada esta conquista haverá condições reais para mudanças de configuração discriminatória da mulher negra no mercado de trabalho</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Vale destacar que chegamos a estas apreciações finais à luz da nossa experiência em duas pesquisas , uma na Escola Onélia Campelo e outra em Comunidades Remanescentes de Quilombos, e do presente estudo. Essas pesquisas ratificam o teor das afirmações  relacionadas a discriminações e racismo, bem como a evidencia de machismo presentes em algumas pessoas, que expressaram em falas e em relatos de experiências ( algumas mulheres nas comunidades remanescentes de quilombos, relatando sobre seus companheiros). De posse destas</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informações</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apelo</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estende</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áreas</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afins</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entidades</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trabalham</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0" w:after="0" w:line="36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diretamente a questão como a Secretaria de Políticas de Promoção da Igualdade Racial e Secretaria de Políticas para Mulheres.</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Refletindo alguns componentes que traçam o perfil das desigualdades de gênero e raciais no mercado de trabalho no Brasil, esperamos por meio deste trabalho além do que foi proposto no início, contribuir para a produção de conhecimento no Serviço Social e áreas afins, no sentido de uma estruturação de uma sociedade mais justa e igualitária para todos os seres humanos. O apelo segue para que o conhecimento desta realidade interpele e possa ser incorporada pelos profissionais como compromisso ético-político com a causa de um projeto societário reivindicado, pelos movimentos sociais, em especial pelo movimento de mulheres negras.</w:t>
      </w:r>
    </w:p>
    <w:p>
      <w:pPr>
        <w:spacing w:before="5" w:after="0" w:line="360"/>
        <w:ind w:right="10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reconhecemos que tal demanda constitui-se em desafio para o profissional, pois os preconceitos e discriminações são temas complexos que envolvem pontos de vista diferenciados, o que sugerimos ter como perspectiva o horizonte da emancipação humana e da equidade e da erradicação de todas as formas de violência na sociedade.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7"/>
          <w:shd w:fill="auto" w:val="clear"/>
        </w:rPr>
      </w:pPr>
    </w:p>
    <w:p>
      <w:pPr>
        <w:spacing w:before="69" w:after="0" w:line="240"/>
        <w:ind w:right="109" w:left="1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2153" w:leader="none"/>
        </w:tabs>
        <w:spacing w:before="0" w:after="0" w:line="240"/>
        <w:ind w:right="112"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w:t>
      </w: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Plano  nacional  de  política  para  as  mulheres.    </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Brasília: </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Secretaria Especial de Políticas para as Mulheres,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2004.</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299" w:leader="none"/>
        </w:tabs>
        <w:spacing w:before="69" w:after="0" w:line="501"/>
        <w:ind w:right="1165"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Relatório Emprego, Desenvolvimento Humano e Trabalho</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Decente: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experiência brasileira recente. Brasília: </w:t>
      </w:r>
      <w:r>
        <w:rPr>
          <w:rFonts w:ascii="Times New Roman" w:hAnsi="Times New Roman" w:cs="Times New Roman" w:eastAsia="Times New Roman"/>
          <w:color w:val="auto"/>
          <w:spacing w:val="-3"/>
          <w:position w:val="0"/>
          <w:sz w:val="24"/>
          <w:shd w:fill="auto" w:val="clear"/>
        </w:rPr>
        <w:t xml:space="preserve">CEPAL/PNUD/OIT,</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w:t>
      </w:r>
    </w:p>
    <w:p>
      <w:pPr>
        <w:spacing w:before="10" w:after="0" w:line="24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CARNEIRO, Sueli. A conferência sobre racismo: estudos feministas. 2002. Disponível em:</w:t>
      </w:r>
    </w:p>
    <w:p>
      <w:pPr>
        <w:spacing w:before="0" w:after="0" w:line="240"/>
        <w:ind w:right="109" w:left="10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70">
        <w:r>
          <w:rPr>
            <w:rFonts w:ascii="Times New Roman" w:hAnsi="Times New Roman" w:cs="Times New Roman" w:eastAsia="Times New Roman"/>
            <w:color w:val="0000FF"/>
            <w:spacing w:val="0"/>
            <w:position w:val="0"/>
            <w:sz w:val="24"/>
            <w:u w:val="single"/>
            <w:shd w:fill="auto" w:val="clear"/>
          </w:rPr>
          <w:t xml:space="preserve">&lt;</w:t>
        </w:r>
        <w:r>
          <w:rPr>
            <w:rFonts w:ascii="Times New Roman" w:hAnsi="Times New Roman" w:cs="Times New Roman" w:eastAsia="Times New Roman"/>
            <w:color w:val="auto"/>
            <w:spacing w:val="0"/>
            <w:position w:val="0"/>
            <w:sz w:val="24"/>
            <w:shd w:fill="auto" w:val="clear"/>
          </w:rPr>
          <w:t xml:space="preserve">http://www.scielo.br/pdf/ref/v10n1/11639.pdf</w:t>
        </w:r>
      </w:hyperlink>
      <w:r>
        <w:rPr>
          <w:rFonts w:ascii="Times New Roman" w:hAnsi="Times New Roman" w:cs="Times New Roman" w:eastAsia="Times New Roman"/>
          <w:color w:val="auto"/>
          <w:spacing w:val="0"/>
          <w:position w:val="0"/>
          <w:sz w:val="24"/>
          <w:shd w:fill="auto" w:val="clear"/>
        </w:rPr>
        <w:t xml:space="preserve">&gt; Acesso em 18 jan. 2010.</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299" w:leader="none"/>
        </w:tabs>
        <w:spacing w:before="69" w:after="0" w:line="240"/>
        <w:ind w:right="111"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Mulheres negras, violência e pobreza. In: Programa de prevenção, </w:t>
      </w:r>
      <w:r>
        <w:rPr>
          <w:rFonts w:ascii="Times New Roman" w:hAnsi="Times New Roman" w:cs="Times New Roman" w:eastAsia="Times New Roman"/>
          <w:color w:val="auto"/>
          <w:spacing w:val="4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assistência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 combate à violência contra a mulher: diálogos sobre violência doméstica e de gênero.  Brasília,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2003.</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157" w:leader="none"/>
          <w:tab w:val="left" w:pos="1299" w:leader="none"/>
          <w:tab w:val="left" w:pos="2399" w:leader="none"/>
          <w:tab w:val="left" w:pos="4322" w:leader="none"/>
          <w:tab w:val="left" w:pos="5379" w:leader="none"/>
          <w:tab w:val="left" w:pos="6921" w:leader="none"/>
          <w:tab w:val="left" w:pos="8805" w:leader="none"/>
        </w:tabs>
        <w:spacing w:before="69" w:after="0" w:line="240"/>
        <w:ind w:right="111"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tab/>
      </w:r>
      <w:r>
        <w:rPr>
          <w:rFonts w:ascii="Times New Roman" w:hAnsi="Times New Roman" w:cs="Times New Roman" w:eastAsia="Times New Roman"/>
          <w:color w:val="auto"/>
          <w:spacing w:val="0"/>
          <w:position w:val="0"/>
          <w:sz w:val="24"/>
          <w:shd w:fill="auto" w:val="clear"/>
        </w:rPr>
        <w:t xml:space="preserve">. Enegrecer o Feminismo: a situação da mulher negra na América-Latina </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partir de</w:t>
        <w:tab/>
        <w:t xml:space="preserve">uma</w:t>
        <w:tab/>
        <w:t xml:space="preserve">perspectiva</w:t>
        <w:tab/>
        <w:t xml:space="preserve">de</w:t>
        <w:tab/>
        <w:t xml:space="preserve">gênero.</w:t>
        <w:tab/>
        <w:t xml:space="preserve">Disponível</w:t>
        <w:tab/>
        <w:t xml:space="preserve">em:</w:t>
      </w:r>
    </w:p>
    <w:p>
      <w:pPr>
        <w:spacing w:before="0" w:after="0" w:line="501"/>
        <w:ind w:right="109" w:left="10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71">
        <w:r>
          <w:rPr>
            <w:rFonts w:ascii="Times New Roman" w:hAnsi="Times New Roman" w:cs="Times New Roman" w:eastAsia="Times New Roman"/>
            <w:color w:val="0000FF"/>
            <w:spacing w:val="0"/>
            <w:position w:val="0"/>
            <w:sz w:val="24"/>
            <w:u w:val="single"/>
            <w:shd w:fill="auto" w:val="clear"/>
          </w:rPr>
          <w:t xml:space="preserve">&lt;</w:t>
        </w:r>
        <w:r>
          <w:rPr>
            <w:rFonts w:ascii="Times New Roman" w:hAnsi="Times New Roman" w:cs="Times New Roman" w:eastAsia="Times New Roman"/>
            <w:color w:val="auto"/>
            <w:spacing w:val="0"/>
            <w:position w:val="0"/>
            <w:sz w:val="24"/>
            <w:shd w:fill="auto" w:val="clear"/>
          </w:rPr>
          <w:t xml:space="preserve">http://www.unifem.org.br/sites/700/710/00000690.pdf</w:t>
        </w:r>
        <w:r>
          <w:rPr>
            <w:rFonts w:ascii="Times New Roman" w:hAnsi="Times New Roman" w:cs="Times New Roman" w:eastAsia="Times New Roman"/>
            <w:vanish/>
            <w:color w:val="0000FF"/>
            <w:spacing w:val="0"/>
            <w:position w:val="0"/>
            <w:sz w:val="24"/>
            <w:u w:val="single"/>
            <w:shd w:fill="auto" w:val="clear"/>
          </w:rPr>
          <w:t xml:space="preserve">HYPERLINK "http://www.unifem.org.br/sites/700/710/00000690.pdf"</w:t>
        </w:r>
        <w:r>
          <w:rPr>
            <w:rFonts w:ascii="Times New Roman" w:hAnsi="Times New Roman" w:cs="Times New Roman" w:eastAsia="Times New Roman"/>
            <w:color w:val="0000FF"/>
            <w:spacing w:val="0"/>
            <w:position w:val="0"/>
            <w:sz w:val="24"/>
            <w:u w:val="single"/>
            <w:shd w:fill="auto" w:val="clear"/>
          </w:rPr>
          <w:t xml:space="preserve">&gt;</w:t>
        </w:r>
      </w:hyperlink>
      <w:r>
        <w:rPr>
          <w:rFonts w:ascii="Times New Roman" w:hAnsi="Times New Roman" w:cs="Times New Roman" w:eastAsia="Times New Roman"/>
          <w:color w:val="auto"/>
          <w:spacing w:val="0"/>
          <w:position w:val="0"/>
          <w:sz w:val="24"/>
          <w:shd w:fill="auto" w:val="clear"/>
        </w:rPr>
        <w:t xml:space="preserve"> Acesso em 04 jan. 2010. COLASANTI, Marina. Às Seis da  Tarde In: Revista Social. Ano 2.N. 5.</w:t>
      </w:r>
    </w:p>
    <w:p>
      <w:pPr>
        <w:spacing w:before="10" w:after="0" w:line="24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GELEDES. Instituto da Mulher Negra. Disponível em: &lt;</w:t>
      </w:r>
      <w:hyperlink xmlns:r="http://schemas.openxmlformats.org/officeDocument/2006/relationships" r:id="docRId72">
        <w:r>
          <w:rPr>
            <w:rFonts w:ascii="Times New Roman" w:hAnsi="Times New Roman" w:cs="Times New Roman" w:eastAsia="Times New Roman"/>
            <w:color w:val="0000FF"/>
            <w:spacing w:val="0"/>
            <w:position w:val="0"/>
            <w:sz w:val="24"/>
            <w:u w:val="single"/>
            <w:shd w:fill="auto" w:val="clear"/>
          </w:rPr>
          <w:t xml:space="preserve">http://www.geledes.org.br</w:t>
        </w:r>
      </w:hyperlink>
      <w:r>
        <w:rPr>
          <w:rFonts w:ascii="Times New Roman" w:hAnsi="Times New Roman" w:cs="Times New Roman" w:eastAsia="Times New Roman"/>
          <w:color w:val="auto"/>
          <w:spacing w:val="0"/>
          <w:position w:val="0"/>
          <w:sz w:val="24"/>
          <w:shd w:fill="auto" w:val="clear"/>
        </w:rPr>
        <w:t xml:space="preserve">&gt; Acesso em 24 jan. 2010.</w:t>
      </w:r>
    </w:p>
    <w:p>
      <w:pPr>
        <w:spacing w:before="1"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GUERRA, Iolanda. O projeto profissional crítico: estratégia de enfrentamento das condições contemporâneas da prática profissional. São Paulo: Cortez, 2007.</w:t>
      </w:r>
    </w:p>
    <w:p>
      <w:pPr>
        <w:spacing w:before="1" w:after="0" w:line="240"/>
        <w:ind w:right="0" w:left="0" w:firstLine="0"/>
        <w:jc w:val="left"/>
        <w:rPr>
          <w:rFonts w:ascii="Times New Roman" w:hAnsi="Times New Roman" w:cs="Times New Roman" w:eastAsia="Times New Roman"/>
          <w:color w:val="auto"/>
          <w:spacing w:val="0"/>
          <w:position w:val="0"/>
          <w:sz w:val="26"/>
          <w:shd w:fill="auto" w:val="clear"/>
        </w:rPr>
      </w:pPr>
    </w:p>
    <w:p>
      <w:pPr>
        <w:tabs>
          <w:tab w:val="left" w:pos="983" w:leader="none"/>
          <w:tab w:val="left" w:pos="1767" w:leader="none"/>
          <w:tab w:val="left" w:pos="2706" w:leader="none"/>
          <w:tab w:val="left" w:pos="3384" w:leader="none"/>
          <w:tab w:val="left" w:pos="3930" w:leader="none"/>
          <w:tab w:val="left" w:pos="5448" w:leader="none"/>
          <w:tab w:val="left" w:pos="5840" w:leader="none"/>
          <w:tab w:val="left" w:pos="5898" w:leader="none"/>
          <w:tab w:val="left" w:pos="6748" w:leader="none"/>
          <w:tab w:val="left" w:pos="7426" w:leader="none"/>
          <w:tab w:val="left" w:pos="8425" w:leader="none"/>
          <w:tab w:val="left" w:pos="8810" w:leader="none"/>
        </w:tabs>
        <w:spacing w:before="0" w:after="0" w:line="240"/>
        <w:ind w:right="106"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LIMA,</w:t>
        <w:tab/>
        <w:t xml:space="preserve">Maria</w:t>
        <w:tab/>
        <w:t xml:space="preserve">Batista.</w:t>
        <w:tab/>
        <w:t xml:space="preserve">Identidade</w:t>
        <w:tab/>
        <w:t xml:space="preserve">Étnico/Racial</w:t>
        <w:tab/>
        <w:t xml:space="preserve">no</w:t>
        <w:tab/>
        <w:tab/>
        <w:t xml:space="preserve">Brasil:</w:t>
        <w:tab/>
        <w:t xml:space="preserve">Uma</w:t>
        <w:tab/>
        <w:t xml:space="preserve">reflexão</w:t>
        <w:tab/>
        <w:t xml:space="preserve">teórico- metodológica.</w:t>
        <w:tab/>
        <w:tab/>
        <w:tab/>
        <w:t xml:space="preserve">2008.</w:t>
        <w:tab/>
        <w:tab/>
        <w:tab/>
        <w:t xml:space="preserve">Disponível</w:t>
        <w:tab/>
        <w:tab/>
        <w:tab/>
        <w:t xml:space="preserve">em:</w:t>
      </w: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73">
        <w:r>
          <w:rPr>
            <w:rFonts w:ascii="Times New Roman" w:hAnsi="Times New Roman" w:cs="Times New Roman" w:eastAsia="Times New Roman"/>
            <w:color w:val="0000FF"/>
            <w:spacing w:val="0"/>
            <w:position w:val="0"/>
            <w:sz w:val="24"/>
            <w:u w:val="single"/>
            <w:shd w:fill="auto" w:val="clear"/>
          </w:rPr>
          <w:t xml:space="preserve">&lt;</w:t>
        </w:r>
        <w:r>
          <w:rPr>
            <w:rFonts w:ascii="Times New Roman" w:hAnsi="Times New Roman" w:cs="Times New Roman" w:eastAsia="Times New Roman"/>
            <w:color w:val="auto"/>
            <w:spacing w:val="0"/>
            <w:position w:val="0"/>
            <w:sz w:val="24"/>
            <w:shd w:fill="auto" w:val="clear"/>
          </w:rPr>
          <w:t xml:space="preserve">http://www.posgrap.ufs.br/periodicos/revista_forum_identidades/revistas/ARQ_FORUM_IN</w:t>
        </w:r>
      </w:hyperlink>
      <w:r>
        <w:rPr>
          <w:rFonts w:ascii="Times New Roman" w:hAnsi="Times New Roman" w:cs="Times New Roman" w:eastAsia="Times New Roman"/>
          <w:color w:val="auto"/>
          <w:spacing w:val="0"/>
          <w:position w:val="0"/>
          <w:sz w:val="24"/>
          <w:shd w:fill="auto" w:val="clear"/>
        </w:rPr>
        <w:t xml:space="preserve"> D_3/DOSSIE_FORUM_Pg_33_46.pdf&gt; Acesso em 15 jun. 2009.</w:t>
      </w:r>
    </w:p>
    <w:p>
      <w:pPr>
        <w:spacing w:before="1" w:after="0" w:line="240"/>
        <w:ind w:right="0" w:left="0" w:firstLine="0"/>
        <w:jc w:val="left"/>
        <w:rPr>
          <w:rFonts w:ascii="Times New Roman" w:hAnsi="Times New Roman" w:cs="Times New Roman" w:eastAsia="Times New Roman"/>
          <w:color w:val="auto"/>
          <w:spacing w:val="0"/>
          <w:position w:val="0"/>
          <w:sz w:val="26"/>
          <w:shd w:fill="auto" w:val="clear"/>
        </w:rPr>
      </w:pPr>
    </w:p>
    <w:p>
      <w:pPr>
        <w:tabs>
          <w:tab w:val="left" w:pos="1676" w:leader="none"/>
          <w:tab w:val="left" w:pos="2739" w:leader="none"/>
          <w:tab w:val="left" w:pos="4662" w:leader="none"/>
          <w:tab w:val="left" w:pos="6052" w:leader="none"/>
          <w:tab w:val="left" w:pos="7174" w:leader="none"/>
          <w:tab w:val="left" w:pos="8812" w:leader="none"/>
        </w:tabs>
        <w:spacing w:before="0" w:after="0" w:line="240"/>
        <w:ind w:right="106"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MACHADO,Lia Zanotta. Relações de gênero ou patriarcado contemporâneo: perspectivas em confronto.</w:t>
        <w:tab/>
        <w:t xml:space="preserve">Série</w:t>
        <w:tab/>
        <w:t xml:space="preserve">Antropologia.</w:t>
        <w:tab/>
        <w:t xml:space="preserve">Brasília,</w:t>
        <w:tab/>
        <w:t xml:space="preserve">2004.</w:t>
        <w:tab/>
        <w:t xml:space="preserve">Disponível</w:t>
        <w:tab/>
        <w:t xml:space="preserve">em:</w:t>
      </w:r>
    </w:p>
    <w:p>
      <w:pPr>
        <w:spacing w:before="0" w:after="0" w:line="240"/>
        <w:ind w:right="109" w:left="10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74">
        <w:r>
          <w:rPr>
            <w:rFonts w:ascii="Times New Roman" w:hAnsi="Times New Roman" w:cs="Times New Roman" w:eastAsia="Times New Roman"/>
            <w:color w:val="0000FF"/>
            <w:spacing w:val="0"/>
            <w:position w:val="0"/>
            <w:sz w:val="24"/>
            <w:u w:val="single"/>
            <w:shd w:fill="auto" w:val="clear"/>
          </w:rPr>
          <w:t xml:space="preserve">&lt;</w:t>
        </w:r>
        <w:r>
          <w:rPr>
            <w:rFonts w:ascii="Times New Roman" w:hAnsi="Times New Roman" w:cs="Times New Roman" w:eastAsia="Times New Roman"/>
            <w:color w:val="auto"/>
            <w:spacing w:val="0"/>
            <w:position w:val="0"/>
            <w:sz w:val="24"/>
            <w:shd w:fill="auto" w:val="clear"/>
          </w:rPr>
          <w:t xml:space="preserve">http://vsistes.unb.br/ics/dan/serie284emppdf.pdf</w:t>
        </w:r>
        <w:r>
          <w:rPr>
            <w:rFonts w:ascii="Times New Roman" w:hAnsi="Times New Roman" w:cs="Times New Roman" w:eastAsia="Times New Roman"/>
            <w:vanish/>
            <w:color w:val="0000FF"/>
            <w:spacing w:val="0"/>
            <w:position w:val="0"/>
            <w:sz w:val="24"/>
            <w:u w:val="single"/>
            <w:shd w:fill="auto" w:val="clear"/>
          </w:rPr>
          <w:t xml:space="preserve">HYPERLINK "http://vsistes.unb.br/ics/dan/serie284emppdf.pdf"</w:t>
        </w:r>
        <w:r>
          <w:rPr>
            <w:rFonts w:ascii="Times New Roman" w:hAnsi="Times New Roman" w:cs="Times New Roman" w:eastAsia="Times New Roman"/>
            <w:color w:val="0000FF"/>
            <w:spacing w:val="0"/>
            <w:position w:val="0"/>
            <w:sz w:val="24"/>
            <w:u w:val="single"/>
            <w:shd w:fill="auto" w:val="clear"/>
          </w:rPr>
          <w:t xml:space="preserve">&gt;</w:t>
        </w:r>
      </w:hyperlink>
      <w:r>
        <w:rPr>
          <w:rFonts w:ascii="Times New Roman" w:hAnsi="Times New Roman" w:cs="Times New Roman" w:eastAsia="Times New Roman"/>
          <w:color w:val="auto"/>
          <w:spacing w:val="0"/>
          <w:position w:val="0"/>
          <w:sz w:val="24"/>
          <w:shd w:fill="auto" w:val="clear"/>
        </w:rPr>
        <w:t xml:space="preserve"> Acesso em 15 dez. 20</w:t>
      </w:r>
    </w:p>
    <w:p>
      <w:pPr>
        <w:spacing w:before="1"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109" w:left="1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MAZZEO, Antonio Carlos. Burguesia e Capitalismo no Brasil. 2. ed. São Paulo: [s.e.], </w:t>
      </w:r>
      <w:r>
        <w:rPr>
          <w:rFonts w:ascii="Times New Roman" w:hAnsi="Times New Roman" w:cs="Times New Roman" w:eastAsia="Times New Roman"/>
          <w:b/>
          <w:color w:val="auto"/>
          <w:spacing w:val="0"/>
          <w:position w:val="0"/>
          <w:sz w:val="24"/>
          <w:shd w:fill="auto" w:val="clear"/>
        </w:rPr>
        <w:t xml:space="preserve">1995.</w:t>
      </w:r>
    </w:p>
    <w:p>
      <w:pPr>
        <w:spacing w:before="1" w:after="0" w:line="240"/>
        <w:ind w:right="0" w:left="0" w:firstLine="0"/>
        <w:jc w:val="left"/>
        <w:rPr>
          <w:rFonts w:ascii="Times New Roman" w:hAnsi="Times New Roman" w:cs="Times New Roman" w:eastAsia="Times New Roman"/>
          <w:b/>
          <w:color w:val="auto"/>
          <w:spacing w:val="0"/>
          <w:position w:val="0"/>
          <w:sz w:val="26"/>
          <w:shd w:fill="auto" w:val="clear"/>
        </w:rPr>
      </w:pP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PAIXÃO, Marcelo; CARVAMO, Luiz M. (orgs.). Relatório Anual das Desigualdades Raciais no   Brasil:   2007-2008.   Disponível   em:   &lt;</w:t>
      </w:r>
      <w:hyperlink xmlns:r="http://schemas.openxmlformats.org/officeDocument/2006/relationships" r:id="docRId75">
        <w:r>
          <w:rPr>
            <w:rFonts w:ascii="Times New Roman" w:hAnsi="Times New Roman" w:cs="Times New Roman" w:eastAsia="Times New Roman"/>
            <w:color w:val="0000FF"/>
            <w:spacing w:val="0"/>
            <w:position w:val="0"/>
            <w:sz w:val="24"/>
            <w:u w:val="single"/>
            <w:shd w:fill="auto" w:val="clear"/>
          </w:rPr>
          <w:t xml:space="preserve">http://www.observatoriojovem.org/materia/relat</w:t>
        </w:r>
      </w:hyperlink>
    </w:p>
    <w:p>
      <w:pPr>
        <w:spacing w:before="0" w:after="0" w:line="24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%C3%B3rio-anual-das-desigualdades-raciais-no-brasil-2007-2008&gt; Acesso em 20 jan. 2010.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70" w:after="0" w:line="240"/>
        <w:ind w:right="108"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PINHEIRO, Luana et. al. Retrato das desigualdades de gênero e raça. 3. ed. Brasília: IPEA: 2008. Disponível em: &lt;</w:t>
      </w:r>
      <w:hyperlink xmlns:r="http://schemas.openxmlformats.org/officeDocument/2006/relationships" r:id="docRId76">
        <w:r>
          <w:rPr>
            <w:rFonts w:ascii="Times New Roman" w:hAnsi="Times New Roman" w:cs="Times New Roman" w:eastAsia="Times New Roman"/>
            <w:color w:val="0000FF"/>
            <w:spacing w:val="0"/>
            <w:position w:val="0"/>
            <w:sz w:val="24"/>
            <w:u w:val="single"/>
            <w:shd w:fill="auto" w:val="clear"/>
          </w:rPr>
          <w:t xml:space="preserve">http://www.ipea.gov.br/sites/000/2/pdf/081216_retrato_3_edicao.pdf</w:t>
        </w:r>
        <w:r>
          <w:rPr>
            <w:rFonts w:ascii="Times New Roman" w:hAnsi="Times New Roman" w:cs="Times New Roman" w:eastAsia="Times New Roman"/>
            <w:vanish/>
            <w:color w:val="0000FF"/>
            <w:spacing w:val="0"/>
            <w:position w:val="0"/>
            <w:sz w:val="24"/>
            <w:u w:val="single"/>
            <w:shd w:fill="auto" w:val="clear"/>
          </w:rPr>
          <w:t xml:space="preserve">HYPERLINK "http://www.ipea.gov.br/sites/000/2/pdf/081216_retrato_3_edicao.pdf"</w:t>
        </w:r>
        <w:r>
          <w:rPr>
            <w:rFonts w:ascii="Times New Roman" w:hAnsi="Times New Roman" w:cs="Times New Roman" w:eastAsia="Times New Roman"/>
            <w:color w:val="0000FF"/>
            <w:spacing w:val="0"/>
            <w:position w:val="0"/>
            <w:sz w:val="24"/>
            <w:u w:val="single"/>
            <w:shd w:fill="auto" w:val="clear"/>
          </w:rPr>
          <w:t xml:space="preserve">&gt;</w:t>
        </w:r>
      </w:hyperlink>
      <w:r>
        <w:rPr>
          <w:rFonts w:ascii="Times New Roman" w:hAnsi="Times New Roman" w:cs="Times New Roman" w:eastAsia="Times New Roman"/>
          <w:color w:val="auto"/>
          <w:spacing w:val="0"/>
          <w:position w:val="0"/>
          <w:sz w:val="24"/>
          <w:shd w:fill="auto" w:val="clear"/>
        </w:rPr>
        <w:t xml:space="preserve"> Acesso em: 09 out. 2009.</w:t>
      </w:r>
    </w:p>
    <w:p>
      <w:pPr>
        <w:spacing w:before="1"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SAFFIOT, H.I.B. Gênero, Patriarcado, Violência. São Paulo: Fundação Perseu Abramo, 2004.</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299" w:leader="none"/>
        </w:tabs>
        <w:spacing w:before="69" w:after="0" w:line="240"/>
        <w:ind w:right="108"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Gênero e patriarcado: a necessidade da violência. In: Marcadas 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Ferro.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Brasília: Secretaria Especial de Políticas para Mulheres,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2005.</w:t>
      </w:r>
    </w:p>
    <w:p>
      <w:pPr>
        <w:spacing w:before="1"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109"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4"/>
          <w:position w:val="0"/>
          <w:sz w:val="24"/>
          <w:shd w:fill="auto" w:val="clear"/>
        </w:rPr>
        <w:t xml:space="preserve">SCOTT,  </w:t>
      </w:r>
      <w:r>
        <w:rPr>
          <w:rFonts w:ascii="Times New Roman" w:hAnsi="Times New Roman" w:cs="Times New Roman" w:eastAsia="Times New Roman"/>
          <w:color w:val="auto"/>
          <w:spacing w:val="0"/>
          <w:position w:val="0"/>
          <w:sz w:val="24"/>
          <w:shd w:fill="auto" w:val="clear"/>
        </w:rPr>
        <w:t xml:space="preserve">Joan. Gênero:</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categoria</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útil</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análise histórica.</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1986.</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p>
    <w:p>
      <w:pPr>
        <w:spacing w:before="0" w:after="0" w:line="240"/>
        <w:ind w:right="109" w:left="10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77">
        <w:r>
          <w:rPr>
            <w:rFonts w:ascii="Times New Roman" w:hAnsi="Times New Roman" w:cs="Times New Roman" w:eastAsia="Times New Roman"/>
            <w:color w:val="0000FF"/>
            <w:spacing w:val="0"/>
            <w:position w:val="0"/>
            <w:sz w:val="24"/>
            <w:u w:val="single"/>
            <w:shd w:fill="auto" w:val="clear"/>
          </w:rPr>
          <w:t xml:space="preserve">&lt;</w:t>
        </w:r>
        <w:r>
          <w:rPr>
            <w:rFonts w:ascii="Times New Roman" w:hAnsi="Times New Roman" w:cs="Times New Roman" w:eastAsia="Times New Roman"/>
            <w:color w:val="auto"/>
            <w:spacing w:val="0"/>
            <w:position w:val="0"/>
            <w:sz w:val="24"/>
            <w:shd w:fill="auto" w:val="clear"/>
          </w:rPr>
          <w:t xml:space="preserve">http://www.dhnet.org.br/direitos/textos/generodh/gen_categoria.html</w:t>
        </w:r>
      </w:hyperlink>
      <w:r>
        <w:rPr>
          <w:rFonts w:ascii="Times New Roman" w:hAnsi="Times New Roman" w:cs="Times New Roman" w:eastAsia="Times New Roman"/>
          <w:color w:val="auto"/>
          <w:spacing w:val="0"/>
          <w:position w:val="0"/>
          <w:sz w:val="24"/>
          <w:shd w:fill="auto" w:val="clear"/>
        </w:rPr>
        <w:t xml:space="preserve">&gt; Acesso em 20 abr.</w:t>
      </w:r>
    </w:p>
    <w:p>
      <w:pPr>
        <w:spacing w:before="6" w:after="0" w:line="360"/>
        <w:ind w:right="110" w:left="118"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342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EDUCAÇÃO NA PERSPECTIVA DE GÊNERO NO CONTEXTO FAMILIAR CAMPONÊS </w:t>
      </w:r>
    </w:p>
    <w:p>
      <w:pPr>
        <w:tabs>
          <w:tab w:val="left" w:pos="342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42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42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42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Autora: Maria Divanete Sousa da Silva</w:t>
      </w:r>
    </w:p>
    <w:p>
      <w:pPr>
        <w:tabs>
          <w:tab w:val="left" w:pos="342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Instituição: Universidade Federal do Pará</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Orientador: Carlos Renilton Freitas Cruz</w:t>
      </w:r>
    </w:p>
    <w:p>
      <w:pPr>
        <w:tabs>
          <w:tab w:val="left" w:pos="342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2832" w:firstLine="708"/>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ab/>
        <w:tab/>
        <w:t xml:space="preserve"> </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recorte da pesquisa intitulada “A educação na perspectiva de gênero: um estudo sobre a vida familiar camponesa em Igarapé-Açu” nos permitiu contribuir com a discussão sobre gênero, buscando compreender o seu novo conceito a partir da ruptura no campo teórico. O estudo preocupou-se em investigar como as mães educavam os filhos e filhas em relação à questão de gênero e a forma que eram estabelecias as relações de trabalho nas famílias camponesas.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necessidade de investigar tal problemática nasce a partir de minha própria história de vida no campo. Desde minha infância, convivi em um meio onde os meninos deveriam se comportar diferente das meninas. Ao menino tudo era permitido, a menina nada podia. As limitações impostas às meninas se constituíam em regras e normas que eram muito comuns àquelas comunidades.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não eram somente os comportamentos de meninos e meninas que me chamava atenção, mas também a relação entre os homens e mulheres adultas. O homem, ao cumprir sua jornada de trabalho no roçado, não tinha mais nenhuma obrigação. As mulheres, diferentemente dos homens, além de cumprir a jornada de trabalho na roça, ainda teriam que realizar os serviços domésticos e cuidar dos filhos, além de outras relações em que a mulher era colocada em condições desfavoráveis. Essa situação parecia ser uma relação desigual, o que começou a inquietar-me, pois não conseguia concebê-la como uma relação justa, embora para aquelas mulheres parecesse natural.</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dessas várias situações angustiantes que presenciei durante minha vida no campo imaginava: “Que futuro estará reservado àqueles meninos e meninas? Mesmo sem tanto conhecimento, acreditava que em futuro bem próximo teríamos pessoas preconceituosas, e que a prepotência dos meninos poderia ser transformada em desigualdades e injustiças contra as meninas, logo a discriminação e o preconceito seriam a mola condutora de uma sociedade opressora e excludente. E, essa situação poderia ser compreendida e aceita como natural. Portanto, o Trabalho de Conclusão de Curso foi o momento oportuno</w:t>
      </w:r>
      <w:r>
        <w:rPr>
          <w:rFonts w:ascii="Arial" w:hAnsi="Arial" w:cs="Arial" w:eastAsia="Arial"/>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compreender como as mães educavam os filhos e as filhas para a questão de gênero, haja vista que os comportamentos que outrora observava poderiam estar (ou não) relacionados com a educação que recebiam, visto que a educação</w:t>
      </w:r>
      <w:r>
        <w:rPr>
          <w:rFonts w:ascii="Arial" w:hAnsi="Arial" w:cs="Arial" w:eastAsia="Arial"/>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determina comportamento, atitudes, modo de ser, agir e pensar de um sujeito em determinado momento histórico. Nesse sentido, este estudo tem relevância por se constituir em instrumento de análises dos fatores histórico- culturais impostos aos sujeitos oprimidos e marginalizados da sociedade, especialmente às mulheres do campo. Permite dar visibilidade às mulheres nas relações de trabalho que se estabelecem nas famílias camponesas.</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trabalho propõe, assim, demonstrar a importância do movimento feminista na construção teórica do termo gênero, considerada uma das mais importantes categorias analíticas, por esclarecer que as diferenças entre masculino e feminino são de caráter social e não determinação biológica, como muitas teorias consideram. Essa discussão nos favoreceu compreender as relações que se estabelecem nas famílias, onde o papel social da mulher continua sendo definida a partir dos padrões historicamente determinados pela sociedade. Tem como objetivo perceber qual a compreensão que as mulheres têm de seu trabalho para a renda familiar. Procura também compreender a educação que as mães repassam aos filhos/as, dando ênfase para a questão de gênero.</w:t>
      </w:r>
    </w:p>
    <w:p>
      <w:pPr>
        <w:spacing w:before="0" w:after="0" w:line="360"/>
        <w:ind w:right="0" w:left="0" w:firstLine="108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Percurso metodológico</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trabalho foi desenvolvido considerando a Pesquisa Qualitativa, tendo como princípio delineador o Estudo de Caso entendido como o estudo de um único objeto, permitindo assim um aprofundamento maior e complexo desse objeto. “O objeto estudado é tratado como único, uma representação singular da realidade que é multidimensional e historicamente situada” (ANDRÉ e LUDKE, 1986, p. 21).</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realização de uma pesquisa, tendo em vista o Estudo de Caso, implica em um conhecimento teórico prévio sobre o tema a ser estudado. Mas que, no decorrer desta, “novos elementos ou dimensões poderão ser acrescentados, na medida em que o estudo avance” (ANDRÉ e LUDKE, 1986, p.18), sendo assim, a necessidade de outras referências teóricas se fizeram necessárias. Portanto, a partir de uma base teórica prévia, foi possível a realização da pesquisa de campo, onde procurava resposta para o problema proposto. Foram a Vila do Curi e o Km 12, no município de Igarapé-Açu, Estado do Pará, as localidades escolhidas, pelo fato de ambas ficarem próximas uma da outra e por apresentarem características diferenciadas. A vila do Curi por se caracterizar como espaço de grande influência urbana, embora fosse um espaço rural, e o Km 12 por ser um espaço eminentemente rural. Essas diferenças poderiam influenciar na forma como as mães educavam as/os filhos. </w:t>
      </w:r>
    </w:p>
    <w:p>
      <w:pPr>
        <w:spacing w:before="0" w:after="0" w:line="360"/>
        <w:ind w:right="0" w:left="0" w:firstLine="900"/>
        <w:jc w:val="both"/>
        <w:rPr>
          <w:rFonts w:ascii="Times New Roman" w:hAnsi="Times New Roman" w:cs="Times New Roman" w:eastAsia="Times New Roman"/>
          <w:color w:val="0000FF"/>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entrevistas realizadas naquelas localidades consideraram as mulheres-mães, pelo fato de o problema da pesquisa ser justamente saber como as mesmas educam filhos/as. As trinta entrevistas realizadas, sendo vinte e três na Vila do Curí e sete no Km 12, representaram 10% do total das mulheres mães de cada comunidade. Considerei esse percentual um valor significativo para garantir um resultado</w:t>
      </w:r>
      <w:r>
        <w:rPr>
          <w:rFonts w:ascii="Times New Roman" w:hAnsi="Times New Roman" w:cs="Times New Roman" w:eastAsia="Times New Roman"/>
          <w:color w:val="0000FF"/>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mais consistente da pesquisa</w:t>
      </w:r>
      <w:r>
        <w:rPr>
          <w:rFonts w:ascii="Times New Roman" w:hAnsi="Times New Roman" w:cs="Times New Roman" w:eastAsia="Times New Roman"/>
          <w:color w:val="0000FF"/>
          <w:spacing w:val="0"/>
          <w:position w:val="0"/>
          <w:sz w:val="24"/>
          <w:shd w:fill="auto" w:val="clear"/>
        </w:rPr>
        <w:t xml:space="preserve">. </w:t>
      </w:r>
    </w:p>
    <w:p>
      <w:pPr>
        <w:spacing w:before="0" w:after="0" w:line="360"/>
        <w:ind w:right="0" w:left="0" w:firstLine="90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seleção das mulheres entrevistadas foi feita a partir da categoria idade. Foram escolhidas três mulheres de cada faixa etária, entre as idades: até vinte e sete anos; de vinte e oito até quarenta anos e de quarenta e um anos em diante, cujo objetivo era saber se a idade influenciava na concepção das mesmas em relação à formação dos/das filhas. </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da Pesquisa e discussão</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consciência de gênero na família: uma questão de educação</w:t>
      </w:r>
    </w:p>
    <w:p>
      <w:pPr>
        <w:tabs>
          <w:tab w:val="left" w:pos="16777036" w:leader="none"/>
          <w:tab w:val="left" w:pos="540" w:leader="none"/>
        </w:tabs>
        <w:spacing w:before="0" w:after="0" w:line="360"/>
        <w:ind w:right="0" w:left="0" w:firstLine="900"/>
        <w:jc w:val="both"/>
        <w:rPr>
          <w:rFonts w:ascii="Times New Roman" w:hAnsi="Times New Roman" w:cs="Times New Roman" w:eastAsia="Times New Roman"/>
          <w:color w:val="auto"/>
          <w:spacing w:val="0"/>
          <w:position w:val="0"/>
          <w:sz w:val="24"/>
          <w:shd w:fill="auto" w:val="clear"/>
        </w:rPr>
      </w:pPr>
    </w:p>
    <w:p>
      <w:pPr>
        <w:tabs>
          <w:tab w:val="left" w:pos="16777036" w:leader="none"/>
          <w:tab w:val="left" w:pos="540" w:leader="none"/>
        </w:tabs>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termo “gênero” entra no cenário das discussões teóricas a partir da década de 70 e mais efetivamente nos anos 80, impulsionado pelo movimento feminista. Surge do pressuposto de que não é possível a compreensão de mulher e homem como segmentos isolados, pois estes constroem e são construídos por um conjunto de relações.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questão de gênero, passando a ser considerada uma das mais importantes categorias analíticas, por indicar que as diferenças entre masculino e feminino são de caráter social e não por determinação biológica, tem se constituído como instrumento de crítica às teorias que tentavam esclarecer que a opressão, subordinação, repressão das mulheres estavam relacionados ao fator biológico (BUARQUE apud MOURÃO, 2004).</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lutas do movimento feminista não se resumiam simplesmente na garantia de igualdade entre os sexos, mas, sobretudo, em questionar a forma opressora de relacionar-se que os homens exerciam (e ainda exercem) sobre as mulheres.</w:t>
      </w:r>
    </w:p>
    <w:p>
      <w:pPr>
        <w:spacing w:before="0" w:after="12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feministas como afirmam Tapia apud Mourão (2004), definiram sexo e gênero como campos diferentes: o sexo ligado ao aspecto biológico e o gênero, ao aspecto da construção cultural. Portanto, macho e fêmea são categorias biológicas, enquanto que gênero – masculino e feminino são categorias construídas socialmente. Assim, o conceito de gênero está relacionado à diferença baseada no sexo.</w:t>
      </w:r>
    </w:p>
    <w:p>
      <w:pPr>
        <w:spacing w:before="0" w:after="120" w:line="360"/>
        <w:ind w:right="0" w:left="0" w:firstLine="90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(2003, p. 58) define gênero como sendo uma</w:t>
      </w:r>
    </w:p>
    <w:p>
      <w:pPr>
        <w:spacing w:before="0" w:after="120" w:line="360"/>
        <w:ind w:right="0" w:left="0" w:firstLine="90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234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Construção social, histórica e cultural das diferenças baseadas no sexo. Por conseguinte, o conceito de gênero ratifica que biologia não é destino, ninguém é naturalmente homem ou mulher, masculino ou feminino, pois estes significados são socialmente construídos através do processo educacional que molda as identidades de sexo e gênero.</w:t>
      </w:r>
    </w:p>
    <w:p>
      <w:pPr>
        <w:spacing w:before="0" w:after="120" w:line="360"/>
        <w:ind w:right="0" w:left="283"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o movimento feminista tenha contribuído para as discussões sobre o papel social de gênero, que significa a maneira como homens e mulheres são, pensam, interagem influenciados por diversos fatores, sejam econômicos, históricos, ideológicos, culturais, religiosos, a sociedade ainda insiste em impor os papéis que cada um e cada uma deve assumir baseado no sexo.</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Alves (2000, p. 66) considera que: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20" w:line="240"/>
        <w:ind w:right="0" w:left="234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termo gênero designa o grupo de comportamentos e atitudes atribuídas a mulheres e homens (...). As relações de gênero não se limitam apenas aos fatores biológicos: estes apenas contribuem para a construção de diferenças baseadas em determinados comportamentos estereotipados.</w:t>
      </w:r>
    </w:p>
    <w:p>
      <w:pPr>
        <w:spacing w:before="0" w:after="120" w:line="360"/>
        <w:ind w:right="0" w:left="283"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fatores biológicos não somente implicaram diferenças entre sexos, como também serviram e servem para justificar as desigualdades e injustiças sociais praticadas contra a mulher no decorrer do tempo histórico. </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graças ao movimento feminista, através da construção teórica de gênero, considerada uma das mais importantes rupturas no campo teórico, que tem havido contribuído, pois para o esclarecimento que muitas teorias têm reforçado e omitido uma das dimensões das desigualdades sociais que é relação de gênero.  </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da historia, portanto, a sociedade tem reforçado a cultura das representações, fomentando estereótipos, na medida em que define o modo de ser, de agir, de pensar, enfim, o papel que cada mulher e cada homem deve desempenhar.</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instituições sociais como, a igreja, a família, a escola, ainda impregnadas de uma cultura machista que condiciona os sujeitos a se enquadrar em entre o que é certo ou errado, não possibilitando alternativa, afirmam as desigualdades e mantém a forma repressora de classificar a mulher em condição subordinada.</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a desconstrução desta cultura, nas palavras de Louro (1997, p.32) “sugere que se busquem os processos e as condições que estabeleceram os termos da polaridade”.</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Sabemos que essa busca não é tarefa fácil, porém possível na medida em que busquemos contribuir na construção de uma consciência que considere os gêneros para uma perspectiva de igualdade nas relações sociais.</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compreensão do termo gênero está associada à etnia, raça, classe, religião, enfim a elementos que afirmam a identidade dos sujeitos.  Para Louro (1995, p.25), “portanto, o sujeito é brasileiro, negro, homem etc. Neste sentido as práticas são construídas pelos gêneros e são também constituintes dos gêneros”.</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conceito de gênero vai além do aspecto biológico, mas como homens e mulheres se afirmam na sociedade desenvolvendo seus papéis como sujeitos capazes de transcender os limites determinados pelas representações sociais que condicionam o modo de ser e de agir de cada um. </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o fator biológico defina o sexo (masculino e feminino), os comportamentos, atitudes, se manifestam em decorrência do convívio das relações e influências culturais. Influências estas que supervalorizaram o masculino em detrimento do feminino ao longo da história. Essas influências absorvidas do meio social definiam o masculino e o feminino como pólos opostos criando-se estereotipias que impõem a mulheres e homens o modo como devem ser. </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(2000, p.17) descreve alguns estereótipos que definem comportamento masculino e feminino.</w:t>
      </w:r>
    </w:p>
    <w:p>
      <w:pPr>
        <w:spacing w:before="0" w:after="0" w:line="240"/>
        <w:ind w:right="0" w:left="1980" w:firstLine="0"/>
        <w:jc w:val="both"/>
        <w:rPr>
          <w:rFonts w:ascii="Times New Roman" w:hAnsi="Times New Roman" w:cs="Times New Roman" w:eastAsia="Times New Roman"/>
          <w:color w:val="auto"/>
          <w:spacing w:val="0"/>
          <w:position w:val="0"/>
          <w:sz w:val="22"/>
          <w:shd w:fill="auto" w:val="clear"/>
        </w:rPr>
      </w:pPr>
    </w:p>
    <w:p>
      <w:pPr>
        <w:numPr>
          <w:ilvl w:val="0"/>
          <w:numId w:val="1546"/>
        </w:numPr>
        <w:tabs>
          <w:tab w:val="left" w:pos="2340" w:leader="none"/>
        </w:tabs>
        <w:spacing w:before="0" w:after="0" w:line="240"/>
        <w:ind w:right="0" w:left="234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Os homens são fortes e ativos – as mulheres frágeis e passivas; conseqüentemente, a força seria masculina e a fraqueza feminina.</w:t>
      </w:r>
    </w:p>
    <w:p>
      <w:pPr>
        <w:spacing w:before="0" w:after="120" w:line="240"/>
        <w:ind w:right="0" w:left="1980" w:firstLine="0"/>
        <w:jc w:val="both"/>
        <w:rPr>
          <w:rFonts w:ascii="Times New Roman" w:hAnsi="Times New Roman" w:cs="Times New Roman" w:eastAsia="Times New Roman"/>
          <w:color w:val="auto"/>
          <w:spacing w:val="0"/>
          <w:position w:val="0"/>
          <w:sz w:val="22"/>
          <w:shd w:fill="auto" w:val="clear"/>
        </w:rPr>
      </w:pPr>
    </w:p>
    <w:p>
      <w:pPr>
        <w:numPr>
          <w:ilvl w:val="0"/>
          <w:numId w:val="1548"/>
        </w:numPr>
        <w:tabs>
          <w:tab w:val="left" w:pos="2340" w:leader="none"/>
        </w:tabs>
        <w:spacing w:before="0" w:after="0" w:line="240"/>
        <w:ind w:right="0" w:left="234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Os homens são racionais e objetivos – as mulheres emotivas e sensíveis; portanto, a racionalidade é considerada qualidade masculina, enquanto a emotividade é feminina.</w:t>
      </w:r>
    </w:p>
    <w:p>
      <w:pPr>
        <w:spacing w:before="0" w:after="120" w:line="240"/>
        <w:ind w:right="0" w:left="283" w:firstLine="0"/>
        <w:jc w:val="both"/>
        <w:rPr>
          <w:rFonts w:ascii="Times New Roman" w:hAnsi="Times New Roman" w:cs="Times New Roman" w:eastAsia="Times New Roman"/>
          <w:color w:val="auto"/>
          <w:spacing w:val="0"/>
          <w:position w:val="0"/>
          <w:sz w:val="22"/>
          <w:shd w:fill="auto" w:val="clear"/>
        </w:rPr>
      </w:pPr>
    </w:p>
    <w:p>
      <w:pPr>
        <w:numPr>
          <w:ilvl w:val="0"/>
          <w:numId w:val="1550"/>
        </w:numPr>
        <w:tabs>
          <w:tab w:val="left" w:pos="2340" w:leader="none"/>
        </w:tabs>
        <w:spacing w:before="0" w:after="0" w:line="240"/>
        <w:ind w:right="0" w:left="234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Os homens são destemidos e empreendedores – as mulheres medrosas e fúteis; assim, a coragem é tida como valor essencialmente masculino e as mulheres são tidas como incapazes de tomar decisões e empreender ações relevantes.</w:t>
      </w:r>
    </w:p>
    <w:p>
      <w:pPr>
        <w:spacing w:before="0" w:after="120" w:line="360"/>
        <w:ind w:right="0" w:left="283"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283" w:firstLine="61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Esses comportamentos que implicam em desigualdade de gênero influenciam na educação de meninos e as meninas, pois desde a infância a família impõe certos padrões às crianças limitando-as cerca do que podem ou não podem fazer, qual é o seu papel, enfim, colocando-as dentro dos padrões comportamentais ditados pela sociedade, os quais, em tese, devem seguir. Esses limites se confirmarão no momento</w:t>
      </w:r>
      <w:r>
        <w:rPr>
          <w:rFonts w:ascii="Times New Roman" w:hAnsi="Times New Roman" w:cs="Times New Roman" w:eastAsia="Times New Roman"/>
          <w:color w:val="0000FF"/>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em que meninas</w:t>
      </w:r>
      <w:r>
        <w:rPr>
          <w:rFonts w:ascii="Times New Roman" w:hAnsi="Times New Roman" w:cs="Times New Roman" w:eastAsia="Times New Roman"/>
          <w:color w:val="0000FF"/>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tentarem inserir-se ou ocupar espaços “ditos masculinos”.</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família carregada de estereotipias construídas pela sociedade, na maioria das vezes, ao reproduzi-la, contribui para formar seres que reproduzirão, por sua vez, as práticas de desigualdades, porém talvez não de forma intencional, mas sim naturalizada. As ideologias dominantes ao serem absorvidas hegemonicamente fizeram com que homens e mulheres concebessem as diferenças como algo natural e assim reproduzi-las.</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Talvez a dificuldade e o grande desafio seja tentar inverter essa situação. Para isso pressupõe-se uma educação que parta da premissa de que uma sociedade justa, sem tantos conflitos sociais, sem tanta discriminação e preconceito será possível na medida em que forem abolidas certas frases que aparentemente não são tão maléficas, porém é a base para a construção de mentalidades preconceituosas e discriminatórias.</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Enquanto a família educar meninas e meninos dizendo-lhes: “Menino não chora”; “Menino brinca de bola e carrinho”; “Menino vai ao campo de futebol com o pai”; “Menina brinca de boneca e casinha”; “Menina não pode correr e se sujar”; Menina tem que ficar ajudando a mãe na cozinha,” dentre várias outras asserções que costumamos ouvir, estamos diante de uma sociedade excludente, opressora, que fere e agride o direito da mulher viver livremente exercendo sua cidadania. </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a educação numa perspectiva de construir desde a infância a formação de meninos e meninas através de posturas e atitudes fundadas em valores éticos, no respeito pelas diferenças, que compreenda as diferenças entre homens e mulheres sem transformá-las em desigualdade, que o masculino e o feminino não sejam definidos com dicotomias, possibilitará a construção de uma sociedade mais justa.</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a família como espaço educativo deveria caminhar nessa direção, haja vista que “os papéis e as relações de gênero são construídos dentro de um processo permanente, que se inicia no próprio ambiente doméstico, na infância” (MOURÃO, 2004, 80). Por isso a família como um espaço onde as crianças permanecem a maior parte do tempo e vivem em constante interação com os seus membros, é o ambiente propício para construção de valores fundados na igualdade de gêneros.</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maioria das vezes a educação transmitida aos filhos é de responsabilidade da mãe, de acordo com Prado (1979, p. 253):</w:t>
      </w:r>
    </w:p>
    <w:p>
      <w:pPr>
        <w:spacing w:before="0" w:after="120" w:line="360"/>
        <w:ind w:right="0" w:left="283"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120" w:line="240"/>
        <w:ind w:right="0" w:left="21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mãe/esposa é incumbida de transmitir às crianças os valores sócio-culturais, religiosos, de seu meio. No diário, através de observações sobre o mundo à volta da criança e pela adoção de medidas de ordem, normas de disciplina, perspectivas de vida etc... ela condiciona ou reforça as atitudes de seu meio, sem  mesmo às vezes perceber que o faz.</w:t>
      </w:r>
    </w:p>
    <w:p>
      <w:pPr>
        <w:spacing w:before="0" w:after="120" w:line="360"/>
        <w:ind w:right="0" w:left="2160"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historicamente o papel dos sexos foi determinado pela sociedade, a função do homem sempre esteve fora do lar, por isso o tempo para educar os/as filhas ficou reduzido. Já a mulher com sua função de mãe, esposa, doméstica, a ela foi destinada maior obrigação para com os filhos/as. Assim a mulher assume toda a responsabilidade. Embora sendo ela quem aparentemente tenha toda autonomia de conduzir a educação dos filhos e filhas nos valores que acredita, na maioria das vezes é o homem quem determina como educar, restando à mulher “concordar com os pontos de vista dele” (PRADO, 1997, p.253).</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Portanto, essa educação conduzida pela mãe muitas vezes vem carregada de influências do meio cultural em que vive, o qual que em vez de contribuir para esclarecer as desigualdades de gênero, fortalece-as ainda mais. O processo cultural parece tão forte que mesmo as mulheres tendo o “domínio” do espaço, onde poderiam aproveitar para educar visando à emancipação, acabam reproduzindo a cultura das desigualdades. A seguir percebemos como esses fatos se comprovam, seja na relação de trabalho e na forma de educar os filhos (as), as falas de algumas entrevistadas são reveladoras do quanto ainda se reforça as desigualdades.</w:t>
      </w:r>
    </w:p>
    <w:p>
      <w:pPr>
        <w:spacing w:before="0" w:after="120" w:line="360"/>
        <w:ind w:right="0" w:left="283" w:firstLine="617"/>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A vida e o trabalho das mulheres no campo</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90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vida no campo tem uma relação muito direta com o trabalho. Assim, quando questionadas sobre a importância do trabalho para a renda familiar, a maioria das mulheres entrevistadas declarou que sua força de trabalho significa apenas “ajuda” ao marido.</w:t>
      </w:r>
    </w:p>
    <w:p>
      <w:pPr>
        <w:spacing w:before="0" w:after="0" w:line="360"/>
        <w:ind w:right="0" w:left="2340"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234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Eu só faço ajudar ele </w:t>
      </w:r>
      <w:r>
        <w:rPr>
          <w:rFonts w:ascii="Times New Roman" w:hAnsi="Times New Roman" w:cs="Times New Roman" w:eastAsia="Times New Roman"/>
          <w:color w:val="auto"/>
          <w:spacing w:val="0"/>
          <w:position w:val="0"/>
          <w:sz w:val="24"/>
          <w:shd w:fill="auto" w:val="clear"/>
        </w:rPr>
        <w:t xml:space="preserve">(Camponesa, 26 anos, Curi)</w:t>
      </w:r>
      <w:r>
        <w:rPr>
          <w:rFonts w:ascii="Times New Roman" w:hAnsi="Times New Roman" w:cs="Times New Roman" w:eastAsia="Times New Roman"/>
          <w:color w:val="auto"/>
          <w:spacing w:val="0"/>
          <w:position w:val="0"/>
          <w:sz w:val="22"/>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ab/>
        <w:tab/>
      </w: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Eu trabalho mas pouco, né, só uma ajuda, que eu ajudo, né porque eu não faço só o meu separado mermo, é tudo incluído </w:t>
      </w:r>
      <w:r>
        <w:rPr>
          <w:rFonts w:ascii="Times New Roman" w:hAnsi="Times New Roman" w:cs="Times New Roman" w:eastAsia="Times New Roman"/>
          <w:color w:val="auto"/>
          <w:spacing w:val="0"/>
          <w:position w:val="0"/>
          <w:sz w:val="24"/>
          <w:shd w:fill="auto" w:val="clear"/>
        </w:rPr>
        <w:t xml:space="preserve">(Camponesa, 37 anos, Km 12).</w:t>
      </w:r>
    </w:p>
    <w:p>
      <w:pPr>
        <w:spacing w:before="0" w:after="0" w:line="360"/>
        <w:ind w:right="0" w:left="234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Trabalho ajudando meu marido, mas em compensação, já ajudo, gosto muito de ajudar ele, porque é de lá que a gente tira nosso sustento, então é por isso que gosto de ajudar </w:t>
      </w:r>
      <w:r>
        <w:rPr>
          <w:rFonts w:ascii="Times New Roman" w:hAnsi="Times New Roman" w:cs="Times New Roman" w:eastAsia="Times New Roman"/>
          <w:color w:val="auto"/>
          <w:spacing w:val="0"/>
          <w:position w:val="0"/>
          <w:sz w:val="24"/>
          <w:shd w:fill="auto" w:val="clear"/>
        </w:rPr>
        <w:t xml:space="preserve">(Camponesa, 27 anos, Curí)</w:t>
      </w:r>
    </w:p>
    <w:p>
      <w:pPr>
        <w:spacing w:before="0" w:after="0" w:line="240"/>
        <w:ind w:right="0" w:left="234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r>
    </w:p>
    <w:p>
      <w:pPr>
        <w:spacing w:before="0" w:after="0" w:line="360"/>
        <w:ind w:right="0" w:left="354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As mulheres, embora desenvolvam dupla ou tripla jornada de trabalho, parecem não reconhecer que realizam as mesmas ou mais atividades que os homens. Mas certamente esse não reconhecimento pode estar relacionado ao fato histórico e cultural de que as mulheres foram e continuam sendo submetidas. A relação de poder que historicamente os homens exerceram sobre as mulheres, talvez tenha sido determinante para estabelecer a condição de inferioridade na relação de trabalho em que essas mulheres se colocam.</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compreensão que as mulheres têm em relação a seu trabalho pode estar imbuída de resultados de políticas que não se apóiam nas relações sociais de gênero, excluindo as mulheres do processo produtivo, estabelecendo assim as desigualdades entre os sexos.</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situação de conformismo que as falas deixam implícita pode estar relacionada aos comportamentos atribuídos ao sexo masculino e feminino para cumprirem funções sociais específicas, com isso “aprendemos a ser homens e mulheres e a aceitar como ‘naturais’ as relações de poder entre os sexos” (ALVES e PITANGUY, 1995, p. 55).</w:t>
      </w:r>
    </w:p>
    <w:p>
      <w:pPr>
        <w:spacing w:before="0" w:after="12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representação do trabalho como “ajuda” , como as falas das entrevistadas demonstram, pode estar relacionada segundo Pacheco (2002), à oposição entre trabalho “pesado”, quando realizado por homem, e “leve”, quando este é realizado pela mulher. Veremos na citação a seguir confirmação das idéias de Pacheco.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O trabalho não é definido com base no que ele realmente demanda do trabalhador ou trabalhadora, mas conforme o sexo de quem o realiza: qualquer que seja o trabalho realizado por homem é pesado e quando realizado pela mulher, é leve </w:t>
      </w:r>
      <w:r>
        <w:rPr>
          <w:rFonts w:ascii="Times New Roman" w:hAnsi="Times New Roman" w:cs="Times New Roman" w:eastAsia="Times New Roman"/>
          <w:color w:val="auto"/>
          <w:spacing w:val="0"/>
          <w:position w:val="0"/>
          <w:sz w:val="24"/>
          <w:shd w:fill="auto" w:val="clear"/>
        </w:rPr>
        <w:t xml:space="preserve">(PAULILO, 1987, Apud, PACHECO, 2002, p.65)</w:t>
      </w:r>
    </w:p>
    <w:p>
      <w:pPr>
        <w:spacing w:before="0" w:after="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fala a seguir retrata muito bem as afirmações do autor, quando coloca que é o sexo que classifica o trabalho em leve ou pesado, e não o próprio trabalho. </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Só serviço leve. Ajudo só pra família, pra dispesa </w:t>
      </w:r>
      <w:r>
        <w:rPr>
          <w:rFonts w:ascii="Times New Roman" w:hAnsi="Times New Roman" w:cs="Times New Roman" w:eastAsia="Times New Roman"/>
          <w:color w:val="auto"/>
          <w:spacing w:val="0"/>
          <w:position w:val="0"/>
          <w:sz w:val="24"/>
          <w:shd w:fill="auto" w:val="clear"/>
        </w:rPr>
        <w:t xml:space="preserve">(Camponesa, 49 anos, Km 12).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exemplo dessa classificação do trabalho em leve e pesado, vale citar o trabalho de pesquisa de D’Incao e Junior (2001) realizado no município de Igarapé-Açu, que mostra que as atividades como broca, derrubada e coivara são consideradas atividades masculinas, justificadas pelo fato de a mulher não carregar peso. Já a produção de carvão, atividade realizada pelas mulheres, exige um grande esforço físico, como rachar a lenha, cavar e tapar o buraco.  Talvez esse esforço seja igual ou maior que o dos homens. “Assim a divisão do trabalho por força/não força nem sempre é o único critério. Talvez tenha mais valor o fato de que é a mulher que cozinha e assim entender a atividade de fazer carvão como associada às atividades da cozinha” (D’INCAO, JUNIOR, 2001,</w:t>
      </w:r>
      <w:r>
        <w:rPr>
          <w:rFonts w:ascii="Times New Roman" w:hAnsi="Times New Roman" w:cs="Times New Roman" w:eastAsia="Times New Roman"/>
          <w:color w:val="000000"/>
          <w:spacing w:val="0"/>
          <w:position w:val="0"/>
          <w:sz w:val="24"/>
          <w:shd w:fill="auto" w:val="clear"/>
        </w:rPr>
        <w:t xml:space="preserve"> p. 438)</w:t>
      </w:r>
      <w:r>
        <w:rPr>
          <w:rFonts w:ascii="Times New Roman" w:hAnsi="Times New Roman" w:cs="Times New Roman" w:eastAsia="Times New Roman"/>
          <w:color w:val="0000FF"/>
          <w:spacing w:val="0"/>
          <w:position w:val="0"/>
          <w:sz w:val="24"/>
          <w:shd w:fill="auto" w:val="clear"/>
        </w:rPr>
        <w:t xml:space="preserve">.</w:t>
      </w:r>
    </w:p>
    <w:p>
      <w:pPr>
        <w:spacing w:before="0" w:after="120" w:line="36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a condição de expectadoras que as mulheres tem se colocado diante da relação de trabalho, pode ser resultado da história da dominação masculina, principalmente quando um produto se torna comercializável, somente o homem detém o controle.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000000"/>
          <w:spacing w:val="0"/>
          <w:position w:val="0"/>
          <w:sz w:val="24"/>
          <w:shd w:fill="auto" w:val="clear"/>
        </w:rPr>
        <w:t xml:space="preserve">ideologia</w:t>
      </w:r>
      <w:r>
        <w:rPr>
          <w:rFonts w:ascii="Times New Roman" w:hAnsi="Times New Roman" w:cs="Times New Roman" w:eastAsia="Times New Roman"/>
          <w:color w:val="auto"/>
          <w:spacing w:val="0"/>
          <w:position w:val="0"/>
          <w:sz w:val="24"/>
          <w:shd w:fill="auto" w:val="clear"/>
        </w:rPr>
        <w:t xml:space="preserve"> que determinou ao homem a responsabilidade do sustento da família, fez com que o trabalho da mulher não fosse levado em consideração, desse modo o homem torna-se detentor de maior remuneração e a ele cabe controlar a renda da família (MAUÉS, 1993, P.58).</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Sempre trabalhei como ainda trabalho, meu trabalho era assim, trabalhando junto com ele, e ele era quem manobrava com o dinheiro. Meus filhos trabalhavam na roça e a minha filha trabalhava em casa </w:t>
      </w:r>
      <w:r>
        <w:rPr>
          <w:rFonts w:ascii="Times New Roman" w:hAnsi="Times New Roman" w:cs="Times New Roman" w:eastAsia="Times New Roman"/>
          <w:color w:val="auto"/>
          <w:spacing w:val="0"/>
          <w:position w:val="0"/>
          <w:sz w:val="24"/>
          <w:shd w:fill="auto" w:val="clear"/>
        </w:rPr>
        <w:t xml:space="preserve">(Camponesa, 60 anos, Km 12)</w:t>
      </w: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da fala da entrevistada nos permitir uma análise sobre a relação de poder exercida pelo homem, nos permite também uma análise sobre a divisão dos papeis exercidos pelas filhas. A menina é treinada pela mãe a executar as tarefas que historicamente foram determinadas como femininas (atividades domésticas), seja para substituir a mãe no exercício do trabalho da roça ou em muitos casos para prestar serviço como domésticas ou babás em casa de famílias na cidade; já os meninos, não exercem as mesmas obrigações das meninas. Eles por serem homens, de acordo com as convenções sociais, seguem as profissões dos pais. Desta forma se estabelecem as relações de gêneros nessa e na maioria das famílias camponesas entrevistadas.</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relação de poder que se estabeleceu na vida das mulheres camponesas, que por sua vez, é histórica, talvez tenha sido a razão pela qual as mulheres tendem a negar sua capacidade de se afirmar enquanto sujeito que trabalha igualmente ou mais que o homem.  Todavia, algumas entrevistadas declararam que além de trabalharem na roça, os maridos preferem que elas trabalhem em casa, pois é conveniente ao marido encontrar a esposa em casa para preparar as refeiçõe, e cuidar dos afazeres domésticos no horário de retorno do trabalho.</w:t>
      </w:r>
    </w:p>
    <w:p>
      <w:pPr>
        <w:spacing w:before="0" w:after="0" w:line="360"/>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40"/>
        <w:ind w:right="0" w:left="21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Ele acha melhor que eu trabalhe em casa, até porque ele tem o horário de chegar e voltar (</w:t>
      </w:r>
      <w:r>
        <w:rPr>
          <w:rFonts w:ascii="Times New Roman" w:hAnsi="Times New Roman" w:cs="Times New Roman" w:eastAsia="Times New Roman"/>
          <w:color w:val="auto"/>
          <w:spacing w:val="0"/>
          <w:position w:val="0"/>
          <w:sz w:val="24"/>
          <w:shd w:fill="auto" w:val="clear"/>
        </w:rPr>
        <w:t xml:space="preserve">Camponesa, 32 anos, Curí).</w:t>
      </w:r>
    </w:p>
    <w:p>
      <w:pPr>
        <w:spacing w:before="0" w:after="0" w:line="360"/>
        <w:ind w:right="0" w:left="0" w:firstLine="708"/>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Parece que “trabalhar em casa”, para a entrevistada, não é uma opção e sim uma imposição do marido. Talvez a condição de trabalhadora doméstica não lhe permita uma satisfação pessoal, e sim uma manifestação de poder que o marido exerce sobre a mulher, não permitindo que a mesma exerça sua autonomia de expressar a sua vontade.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sentimento de subordinação retratada na fala da camponesa nos faz refletir sobre o tempo histórico em que tal fato se constituiu. O período colonial representou o momento de supremacia masculina, e a mulher apresentava um comportamento ideal, na mentalidade da época, dedicando-se integralmente à vida doméstica e ao cuidado com o marido. Desta forma era classificada na categoria de “rainha do lar”.</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comportamento a que as mulheres foram condicionadas, parece ainda refletir na mentalidade de muitas mulheres, como é o caso da camponesa do Curi. Apesar de muitos avanços e conquistas da mulher no espaço público, ainda há muitas que são confinadas ao espaço doméstico, não por opção, mas pela condição de subserviência ao homem. Yolanda Prado (1979</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p.162) faz uma reflexão, do ponto de vista psicológico, sobre o comportamento da mulher em espaços fora do ambiente doméstico.</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21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esposa faz relações e cria um ambiente pessoal fora de casa. Troca idéias com outras pessoas não tendo só o marido como ponto de referência no mundo exterior. Fica mais próxima de uma realidade social e política, ainda que não tome parte ativa, o que acontece na maioria dos casos. </w:t>
      </w:r>
    </w:p>
    <w:p>
      <w:pPr>
        <w:spacing w:before="0" w:after="0" w:line="240"/>
        <w:ind w:right="0" w:left="216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2160" w:firstLine="0"/>
        <w:jc w:val="both"/>
        <w:rPr>
          <w:rFonts w:ascii="Times New Roman" w:hAnsi="Times New Roman" w:cs="Times New Roman" w:eastAsia="Times New Roman"/>
          <w:color w:val="auto"/>
          <w:spacing w:val="0"/>
          <w:position w:val="0"/>
          <w:sz w:val="22"/>
          <w:shd w:fill="auto" w:val="clear"/>
        </w:rPr>
      </w:pPr>
    </w:p>
    <w:p>
      <w:pPr>
        <w:tabs>
          <w:tab w:val="left" w:pos="0" w:leader="none"/>
        </w:tabs>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colocação da autora não nega o trabalho doméstico, apenas sugere outra possibilidade de convivência em outros espaços e com pessoas diferentes, o que lhe proporciona uma ampla visão da realidade.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como a autora, Lênin também preconizava em seu escrito “Sobre a Mulher”, a importância da libertação da mulher para uma sociedade democrática, com igualdade social, que pressupõe conviver e conhecer outros espaços. Mas isso não significaria tirá-la do ambiente doméstico, mas sim fazer deste “uma obra pública” (LENIN, 1980, p.115) e não um espaço de “tortura” e “escravidão”, como se configurou ao longo do tempo.</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Educação diferenciada para cada sexo</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Na concepção das mulheres entrevistadas, o comportamento feminino deve ser diferente do masculino. As mulheres não podem e nem devem ter as mesmas liberdades dos homens. É muito fácil perceber como as determinações sociais ideologicamente têm influenciado a mentalidade dessas mulheres.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Questionadas sobre como educavam os filhos/as, as respostas foram quase unânimes, ou seja, elas responderam que desde a infância, principalmente no momento das brincadeiras, interviam, esclarecendo quais deveriam ser as brincadeiras de meninas e as de meninos.</w:t>
      </w:r>
    </w:p>
    <w:p>
      <w:pPr>
        <w:spacing w:before="0" w:after="0" w:line="360"/>
        <w:ind w:right="0" w:left="360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16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Eu explico pra eles o que é de mulher e o que é de homem, quando ele quer brincar, às vezes ela tá brincando com as meninas de casinha, ele diz: Vó eu vou pegar uma boneca pra brincar, aí [...],  meu filho, boneca é brincadeira de menina, carros essas coisas é que são brincadeiras de homem, sempre eu explico, né, mas a criança nessa idade é mei difícil </w:t>
      </w:r>
      <w:r>
        <w:rPr>
          <w:rFonts w:ascii="Times New Roman" w:hAnsi="Times New Roman" w:cs="Times New Roman" w:eastAsia="Times New Roman"/>
          <w:color w:val="000000"/>
          <w:spacing w:val="0"/>
          <w:position w:val="0"/>
          <w:sz w:val="24"/>
          <w:shd w:fill="auto" w:val="clear"/>
        </w:rPr>
        <w:t xml:space="preserve">(Camponesa, 27 anos, Curí).</w:t>
      </w:r>
    </w:p>
    <w:p>
      <w:pPr>
        <w:spacing w:before="0" w:after="0" w:line="360"/>
        <w:ind w:right="0" w:left="3600" w:firstLine="0"/>
        <w:jc w:val="both"/>
        <w:rPr>
          <w:rFonts w:ascii="Times New Roman" w:hAnsi="Times New Roman" w:cs="Times New Roman" w:eastAsia="Times New Roman"/>
          <w:color w:val="000000"/>
          <w:spacing w:val="0"/>
          <w:position w:val="0"/>
          <w:sz w:val="22"/>
          <w:shd w:fill="auto" w:val="clear"/>
        </w:rPr>
      </w:pPr>
    </w:p>
    <w:p>
      <w:pPr>
        <w:spacing w:before="0" w:after="0" w:line="240"/>
        <w:ind w:right="0" w:left="216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Acho que eles tinham que brincar separados mesmo, né porque ele é homem e ela é mulher, né </w:t>
      </w:r>
      <w:r>
        <w:rPr>
          <w:rFonts w:ascii="Times New Roman" w:hAnsi="Times New Roman" w:cs="Times New Roman" w:eastAsia="Times New Roman"/>
          <w:color w:val="000000"/>
          <w:spacing w:val="0"/>
          <w:position w:val="0"/>
          <w:sz w:val="24"/>
          <w:shd w:fill="auto" w:val="clear"/>
        </w:rPr>
        <w:t xml:space="preserve">(Camponesa, 25 anos, Curí).</w:t>
      </w:r>
    </w:p>
    <w:p>
      <w:pPr>
        <w:spacing w:before="0" w:after="0" w:line="240"/>
        <w:ind w:right="0" w:left="2160" w:firstLine="0"/>
        <w:jc w:val="both"/>
        <w:rPr>
          <w:rFonts w:ascii="Times New Roman" w:hAnsi="Times New Roman" w:cs="Times New Roman" w:eastAsia="Times New Roman"/>
          <w:color w:val="000000"/>
          <w:spacing w:val="0"/>
          <w:position w:val="0"/>
          <w:sz w:val="24"/>
          <w:shd w:fill="auto" w:val="clear"/>
        </w:rPr>
      </w:pPr>
    </w:p>
    <w:p>
      <w:pPr>
        <w:spacing w:before="240" w:after="0" w:line="240"/>
        <w:ind w:right="0" w:left="216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As brincadeiras são diferente, não podem brincar das mesmas coisas </w:t>
      </w:r>
      <w:r>
        <w:rPr>
          <w:rFonts w:ascii="Times New Roman" w:hAnsi="Times New Roman" w:cs="Times New Roman" w:eastAsia="Times New Roman"/>
          <w:color w:val="000000"/>
          <w:spacing w:val="0"/>
          <w:position w:val="0"/>
          <w:sz w:val="24"/>
          <w:shd w:fill="auto" w:val="clear"/>
        </w:rPr>
        <w:t xml:space="preserve">(Camponesa, 27 anos, Curí).</w:t>
      </w:r>
    </w:p>
    <w:p>
      <w:pPr>
        <w:tabs>
          <w:tab w:val="left" w:pos="16776856" w:leader="none"/>
        </w:tabs>
        <w:spacing w:before="240" w:after="0" w:line="360"/>
        <w:ind w:right="0" w:left="0" w:firstLine="900"/>
        <w:jc w:val="both"/>
        <w:rPr>
          <w:rFonts w:ascii="Times New Roman" w:hAnsi="Times New Roman" w:cs="Times New Roman" w:eastAsia="Times New Roman"/>
          <w:color w:val="000000"/>
          <w:spacing w:val="0"/>
          <w:position w:val="0"/>
          <w:sz w:val="24"/>
          <w:shd w:fill="auto" w:val="clear"/>
        </w:rPr>
      </w:pPr>
    </w:p>
    <w:p>
      <w:pPr>
        <w:tabs>
          <w:tab w:val="left" w:pos="16776856" w:leader="none"/>
        </w:tabs>
        <w:spacing w:before="240" w:after="0" w:line="360"/>
        <w:ind w:right="0" w:left="0" w:firstLine="90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Embora muitas mudanças tenham ocorrido, que as mulheres tenham conquistado, mesmo que minimamente, sua liberdade, parece que na agrovila do Curí e na localidade do Km 12, essas mudanças ainda não serviram de reflexão para essas mulheres, o que talvez consista na conservação do modelo de dominação masculina, reprimindo as filhas e reforçando as desigualdades a que as mulheres estiveram e ainda estão submetidas.</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podemos perceber nas falas, as crianças desde a mais tenra idade são educadas num meio carregado de limitações decorrentes dos padrões comportamentais definidos a partir de cada sexo. Sendo assim, não fica difícil de imaginar que futuramente essas crianças poderão reproduzir essas práticas e, consequentemente, fortalecendo o preconceito.  </w:t>
      </w:r>
    </w:p>
    <w:p>
      <w:pPr>
        <w:spacing w:before="0" w:after="0" w:line="360"/>
        <w:ind w:right="0" w:left="0" w:firstLine="90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primeira fala chama atenção para duas questões, a biológica e a cultural. A primeira diz respeito ao fato de a criança não escolher o brinquedo dito “de menina”, influenciado pelo sexo. A segunda, cultural, a mãe tenta introjetar nessa criança, classificando os brinquedos a partir do sexo. É notória no relato a inocência da criança, que a própria mãe reforça quando diz: “</w:t>
      </w:r>
      <w:r>
        <w:rPr>
          <w:rFonts w:ascii="Times New Roman" w:hAnsi="Times New Roman" w:cs="Times New Roman" w:eastAsia="Times New Roman"/>
          <w:color w:val="000000"/>
          <w:spacing w:val="0"/>
          <w:position w:val="0"/>
          <w:sz w:val="24"/>
          <w:shd w:fill="auto" w:val="clear"/>
        </w:rPr>
        <w:t xml:space="preserve">a criança nessa idade é mei difícil”, ou seja, a mãe quer que a criança já saiba definir através do sexo o tipo de brinquedo apropriado, porém para a criança, ainda não tendo-lhe sido embutidas “estereotipias de caráter sexual” (Almeida, 2004, p.100), o brinquedo, nesse momento, não simboliza o sexo.</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comportamentos dos (as) filhas não se encerram nas brincadeiras, vão além, ou melhor, as limitações das meninas estão relacionadas a outros espaços que tradicionalmente foram e são considerados masculinos.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16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Não dou liberdade pra ela, principalmente porque ela é mulher, aí não vou deixar ela sair pra jogo, pra festa, ela nunca foi pra festa</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Ela sempre brincava de boneca com amiguinha, né, não tinha esse negócio, de tá onde ta um monte de moleque assim, que ela tá no meio, sempre reservei assim, que ela é mulher, não deixar ficar com um monte de menino homem </w:t>
      </w:r>
      <w:r>
        <w:rPr>
          <w:rFonts w:ascii="Times New Roman" w:hAnsi="Times New Roman" w:cs="Times New Roman" w:eastAsia="Times New Roman"/>
          <w:color w:val="000000"/>
          <w:spacing w:val="0"/>
          <w:position w:val="0"/>
          <w:sz w:val="24"/>
          <w:shd w:fill="auto" w:val="clear"/>
        </w:rPr>
        <w:t xml:space="preserve">(Camponesa 46 anos, Curi). </w:t>
      </w:r>
    </w:p>
    <w:p>
      <w:pPr>
        <w:spacing w:before="0" w:after="0" w:line="36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ab/>
      </w:r>
      <w:r>
        <w:rPr>
          <w:rFonts w:ascii="Times New Roman" w:hAnsi="Times New Roman" w:cs="Times New Roman" w:eastAsia="Times New Roman"/>
          <w:color w:val="000000"/>
          <w:spacing w:val="0"/>
          <w:position w:val="0"/>
          <w:sz w:val="22"/>
          <w:shd w:fill="auto" w:val="clear"/>
        </w:rPr>
        <w:tab/>
        <w:tab/>
      </w:r>
    </w:p>
    <w:p>
      <w:pPr>
        <w:spacing w:before="0" w:after="0" w:line="240"/>
        <w:ind w:right="0" w:left="216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Mulher não pode tá em todo canto que o homem ta, né, nem brincar de certas coisas, né </w:t>
      </w:r>
      <w:r>
        <w:rPr>
          <w:rFonts w:ascii="Times New Roman" w:hAnsi="Times New Roman" w:cs="Times New Roman" w:eastAsia="Times New Roman"/>
          <w:color w:val="000000"/>
          <w:spacing w:val="0"/>
          <w:position w:val="0"/>
          <w:sz w:val="24"/>
          <w:shd w:fill="auto" w:val="clear"/>
        </w:rPr>
        <w:t xml:space="preserve">(Camponesa, 32 anos, Curi).</w:t>
      </w:r>
    </w:p>
    <w:p>
      <w:pPr>
        <w:spacing w:before="0" w:after="0" w:line="360"/>
        <w:ind w:right="0" w:left="2160" w:firstLine="0"/>
        <w:jc w:val="both"/>
        <w:rPr>
          <w:rFonts w:ascii="Times New Roman" w:hAnsi="Times New Roman" w:cs="Times New Roman" w:eastAsia="Times New Roman"/>
          <w:b/>
          <w:color w:val="000000"/>
          <w:spacing w:val="0"/>
          <w:position w:val="0"/>
          <w:sz w:val="24"/>
          <w:shd w:fill="auto" w:val="clear"/>
        </w:rPr>
      </w:pPr>
    </w:p>
    <w:p>
      <w:pPr>
        <w:spacing w:before="0" w:after="0" w:line="240"/>
        <w:ind w:right="0" w:left="216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Nuns ponto é, né, pra mim é assim de sair, né porque o homem vai a todo canto, e a mulher não pode, senão fica falada </w:t>
      </w:r>
      <w:r>
        <w:rPr>
          <w:rFonts w:ascii="Times New Roman" w:hAnsi="Times New Roman" w:cs="Times New Roman" w:eastAsia="Times New Roman"/>
          <w:color w:val="000000"/>
          <w:spacing w:val="0"/>
          <w:position w:val="0"/>
          <w:sz w:val="24"/>
          <w:shd w:fill="auto" w:val="clear"/>
        </w:rPr>
        <w:t xml:space="preserve">(Camponesa, 41 anos, Curi).</w:t>
      </w:r>
    </w:p>
    <w:p>
      <w:pPr>
        <w:spacing w:before="0" w:after="0" w:line="360"/>
        <w:ind w:right="0" w:left="3600" w:firstLine="0"/>
        <w:jc w:val="both"/>
        <w:rPr>
          <w:rFonts w:ascii="Times New Roman" w:hAnsi="Times New Roman" w:cs="Times New Roman" w:eastAsia="Times New Roman"/>
          <w:color w:val="000000"/>
          <w:spacing w:val="0"/>
          <w:position w:val="0"/>
          <w:sz w:val="22"/>
          <w:shd w:fill="auto" w:val="clear"/>
        </w:rPr>
      </w:pPr>
    </w:p>
    <w:p>
      <w:pPr>
        <w:spacing w:before="0" w:after="0" w:line="360"/>
        <w:ind w:right="0" w:left="0" w:firstLine="90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 acordo com os relatos, percebe-se que essas mulheres, ao educarem as filhas e filhos estabelecem superioridade aos homens e inferioridades às mulheres, condição que implica desigualdade social. Desta forma, a situação de discriminação e preconceito parece se fortalecer e se estabelecer no imaginário dessas mulheres.</w:t>
      </w:r>
    </w:p>
    <w:p>
      <w:pPr>
        <w:tabs>
          <w:tab w:val="left" w:pos="16775416" w:leader="none"/>
          <w:tab w:val="left" w:pos="16775776" w:leader="none"/>
          <w:tab w:val="left" w:pos="16776676" w:leader="none"/>
        </w:tabs>
        <w:spacing w:before="0" w:after="0" w:line="360"/>
        <w:ind w:right="0" w:left="0" w:firstLine="90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fato de a menina “ficar falada” parece ser uma justificativa para controlar e determinar sua liberdade, mantendo-a sob o controle da família, fato muito utilizado nas imposições originadas da cultura e da religião, que por muito tempo tem reservado às mulheres o lugar de martírio. </w:t>
      </w:r>
    </w:p>
    <w:p>
      <w:pPr>
        <w:tabs>
          <w:tab w:val="left" w:pos="0"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  A ideologia religiosa exerceu um forte poder nas mentes femininas, por muitos séculos. Segundo Almeida (2004, p. 68),</w:t>
      </w:r>
    </w:p>
    <w:p>
      <w:pPr>
        <w:tabs>
          <w:tab w:val="left" w:pos="0"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16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 modelo normativo de mulher, criado desde meados do século XIX, inspirado nos arquétipos do Cristianismo, espelhava a cultura vigente instituindo formas de comportamento em que se exaltavam virtudes femininas como castidade e abnegação, forjando uma representação simbólica de mulher por meio de uma ideologia imposta pela religião e pela sociedade, na qual o perigo era representado pela sexualidade. Essa ideologia vai desqualificar a mulher do ponto de vista profissional, político e intelectual.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90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causa de dominação ideológica, muitas mães tentam controlar as filhas, privando-as de frequentar espaços que porventura possa levar a transgressão das regras impostas pela sociedade e colocá-las numa situação de caráter desviante. O cuidado em manter as filhas sob o controle da família parece estar associado à questão da sexualidade, que, historicamente, as mulheres foram educadas para não manifestar.</w:t>
      </w:r>
    </w:p>
    <w:p>
      <w:pPr>
        <w:spacing w:before="0" w:after="0" w:line="360"/>
        <w:ind w:right="0" w:left="0" w:firstLine="90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Então, pelo receio de que as meninas possam infrigir e alterar a imagem da virgem Maria que lhe foi associada, pela Igreja Católica, considerando-as símbolo de bondade, pureza e santidade, é que a maioria das mães tenta manter as filhas sob controle, inclusive da sexualidade. Porém essa ideologia que se manteve há séculos e ainda está arraigada na nossa cultura é justamente para afirmar a subordinação das mulheres, em relação aos homens.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4"/>
          <w:shd w:fill="auto" w:val="clear"/>
        </w:rPr>
        <w:t xml:space="preserve">O que as mães pensam: o trabalho doméstico e só coisa de mulher?</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tabs>
          <w:tab w:val="left" w:pos="16776676" w:leader="none"/>
          <w:tab w:val="left" w:pos="16776856" w:leader="none"/>
        </w:tabs>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responder a esse questionamento selecionamos algumas mães pela categoria idade, dividida em três faixas etárias, a fim de analisar a concepção que as mesmas têm em relação à participação dos filhos no trabalho doméstico.</w:t>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maioria das mães mais jovens, 67%, considerando a idade de 27 anos, compreende que os homens devem contribuir no trabalho doméstico, assim como as meninas contribuem. </w:t>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6776856" w:leader="none"/>
        </w:tabs>
        <w:spacing w:before="0" w:after="0" w:line="24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É, do jeito que a mãe podia colocar menina mulher pra varrer uma casa, um homem também deveria, por causa que ele também suja e bagunça dentro de casa, só porque ela é mulher, só ela vai ter que dar conta </w:t>
      </w:r>
      <w:r>
        <w:rPr>
          <w:rFonts w:ascii="Times New Roman" w:hAnsi="Times New Roman" w:cs="Times New Roman" w:eastAsia="Times New Roman"/>
          <w:color w:val="auto"/>
          <w:spacing w:val="0"/>
          <w:position w:val="0"/>
          <w:sz w:val="24"/>
          <w:shd w:fill="auto" w:val="clear"/>
        </w:rPr>
        <w:t xml:space="preserve">(Camponesa, 19 anos, Km 12).</w:t>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6776856" w:leader="none"/>
        </w:tabs>
        <w:spacing w:before="0" w:after="0" w:line="240"/>
        <w:ind w:right="0" w:left="2160" w:hanging="360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ab/>
        <w:t xml:space="preserve">Acho que todos deve sim não importa se é menino ou é menina, mas deve ajudar sim, até mesmo porque isso faz parte da educação que eu recebi, né. Eu quero passar isso também, pra não ser assim, criar no caso a menina como a dona de casa, e o menino como aquele que não pode fazer nada </w:t>
      </w:r>
      <w:r>
        <w:rPr>
          <w:rFonts w:ascii="Times New Roman" w:hAnsi="Times New Roman" w:cs="Times New Roman" w:eastAsia="Times New Roman"/>
          <w:color w:val="auto"/>
          <w:spacing w:val="0"/>
          <w:position w:val="0"/>
          <w:sz w:val="24"/>
          <w:shd w:fill="auto" w:val="clear"/>
        </w:rPr>
        <w:t xml:space="preserve">(Camponesa, 26 anos, Curí).</w:t>
      </w:r>
    </w:p>
    <w:p>
      <w:pPr>
        <w:tabs>
          <w:tab w:val="left" w:pos="16776856" w:leader="none"/>
        </w:tabs>
        <w:spacing w:before="0" w:after="0" w:line="360"/>
        <w:ind w:right="0" w:left="3600" w:hanging="3600"/>
        <w:jc w:val="both"/>
        <w:rPr>
          <w:rFonts w:ascii="Times New Roman" w:hAnsi="Times New Roman" w:cs="Times New Roman" w:eastAsia="Times New Roman"/>
          <w:color w:val="auto"/>
          <w:spacing w:val="0"/>
          <w:position w:val="0"/>
          <w:sz w:val="24"/>
          <w:shd w:fill="auto" w:val="clear"/>
        </w:rPr>
      </w:pP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Parece que a concepção dessas mulheres caminha no sentido de reconhecer que a definição dos papéis pelo sexo não tem mais sentido e precisa ser extinto. Nas falas a seguir percebe-se que as mães compreendem a importância de educar os filhos com igualdade, não colocando as meninas numa situação desigual, em relação ao menino. Desta forma parecem romper com o modelo estabelecido, em que as meninas eram destinadas ao serviço de casa e os meninos ao trabalho fora, seguindo a carreira do pai.</w:t>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Por causa dessa ideologia, vários ditos populares se criaram, tentando inferiorizar figura feminina: “lugar de mulher é na cozinha”, “lugar de mulher é pilotando fogão”. Talvez esses ditos carregados de preconceito sejam a razão pela qual essas e outras mulheres compreendam que os estereótipos criados e reproduzidos pela sociedade possam ser desmistificados, na medida em que outros comportamentos e atitudes sejam introduzidos nas mentalidades dos filhos/as.</w:t>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Todavia, no relato de outras entrevistadas da mesma faixa etária, a compreensão é bem distinta das apresentadas acima. 33% acreditam que as tarefas de varrer, lavar, cozinhar, entre outras atividades, são coisas de mulher, por isso a menina é que deve fazer, deve ser continuação da mãe, e os meninos, seguir os passos do pai. Sendo assim recorremos aos relatos:</w:t>
      </w:r>
    </w:p>
    <w:p>
      <w:pPr>
        <w:tabs>
          <w:tab w:val="left" w:pos="16776856" w:leader="none"/>
        </w:tabs>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Tem que ser mais pra menina, a menina faz o trabalho da mãe, né, o menino fica mais a cargo do pai, né, gosta de seguir o que o pai faz, né </w:t>
      </w:r>
      <w:r>
        <w:rPr>
          <w:rFonts w:ascii="Times New Roman" w:hAnsi="Times New Roman" w:cs="Times New Roman" w:eastAsia="Times New Roman"/>
          <w:color w:val="auto"/>
          <w:spacing w:val="0"/>
          <w:position w:val="0"/>
          <w:sz w:val="24"/>
          <w:shd w:fill="auto" w:val="clear"/>
        </w:rPr>
        <w:t xml:space="preserve">(Camponesa, 25 anos, Curi).</w:t>
      </w:r>
    </w:p>
    <w:p>
      <w:pPr>
        <w:tabs>
          <w:tab w:val="left" w:pos="16776856" w:leader="none"/>
        </w:tabs>
        <w:spacing w:before="0" w:after="0" w:line="360"/>
        <w:ind w:right="0" w:left="3600" w:firstLine="0"/>
        <w:jc w:val="both"/>
        <w:rPr>
          <w:rFonts w:ascii="Times New Roman" w:hAnsi="Times New Roman" w:cs="Times New Roman" w:eastAsia="Times New Roman"/>
          <w:color w:val="auto"/>
          <w:spacing w:val="0"/>
          <w:position w:val="0"/>
          <w:sz w:val="22"/>
          <w:shd w:fill="auto" w:val="clear"/>
        </w:rPr>
      </w:pPr>
    </w:p>
    <w:p>
      <w:pPr>
        <w:tabs>
          <w:tab w:val="left" w:pos="16776856" w:leader="none"/>
          <w:tab w:val="left" w:pos="2340" w:leader="none"/>
        </w:tabs>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A menina é que tem que fazer </w:t>
      </w:r>
      <w:r>
        <w:rPr>
          <w:rFonts w:ascii="Times New Roman" w:hAnsi="Times New Roman" w:cs="Times New Roman" w:eastAsia="Times New Roman"/>
          <w:color w:val="auto"/>
          <w:spacing w:val="0"/>
          <w:position w:val="0"/>
          <w:sz w:val="24"/>
          <w:shd w:fill="auto" w:val="clear"/>
        </w:rPr>
        <w:t xml:space="preserve">(Camponesa, 24 anos, Curí)</w:t>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Já as mulheres classificadas entre as idades 28 a 40 anos, metade acreditam que os trabalhos domésticos devem ser exercidos somente pela menina, uma vez que a atribuição do menino não diz respeito ao serviço doméstico, mas eventualmente podem até fazer, desde que se encontre só, sem apoio da mãe ou irmã. Assim retrata a fala:</w:t>
        <w:tab/>
        <w:t xml:space="preserve"> </w:t>
      </w:r>
    </w:p>
    <w:p>
      <w:pPr>
        <w:tabs>
          <w:tab w:val="left" w:pos="1677685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6776856" w:leader="none"/>
        </w:tabs>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Os meninos não fazem porque não tem necessidade, mas se tiver eles fazem, porque não tem, não tem precisão, porque tem mulher suficiente pra fazer, né, mas se caso sair de casa todo mundo, eles fazem</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(Camponesa, 39 anos, Curí).</w:t>
      </w:r>
    </w:p>
    <w:p>
      <w:pPr>
        <w:spacing w:before="0" w:after="0" w:line="36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234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Só as meninas quase, não vou dizer que eu coloco eles porque tem elas, ai eles já</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(Camponesa, 37 anos, Km 12).</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Não. Porque não, né, se fosse só eles homem, né, eles podiam me ajudar em casa, mas tem elas </w:t>
      </w:r>
      <w:r>
        <w:rPr>
          <w:rFonts w:ascii="Times New Roman" w:hAnsi="Times New Roman" w:cs="Times New Roman" w:eastAsia="Times New Roman"/>
          <w:color w:val="auto"/>
          <w:spacing w:val="0"/>
          <w:position w:val="0"/>
          <w:sz w:val="24"/>
          <w:shd w:fill="auto" w:val="clear"/>
        </w:rPr>
        <w:t xml:space="preserve">(Camponesa, 33 anos, Km 12)</w:t>
      </w:r>
    </w:p>
    <w:p>
      <w:pPr>
        <w:spacing w:before="0" w:after="0" w:line="360"/>
        <w:ind w:right="0" w:left="3600" w:firstLine="0"/>
        <w:jc w:val="left"/>
        <w:rPr>
          <w:rFonts w:ascii="Times New Roman" w:hAnsi="Times New Roman" w:cs="Times New Roman" w:eastAsia="Times New Roman"/>
          <w:color w:val="auto"/>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Das mulheres mais velhas, de 41 anos em diante, 61% afirmam que todos devem contribuir independente do sexo. A fala seguinte demonstra a condição que levou essas mulheres a perceberem e declararem sobre a importância da contribuição do homem no trabalho de casa.</w:t>
      </w:r>
    </w:p>
    <w:p>
      <w:pPr>
        <w:spacing w:before="0" w:after="0" w:line="240"/>
        <w:ind w:right="0" w:left="2340" w:hanging="289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Quando eu não tinha menina eles sempre me ajudavam, porque eu lavava no igarapé, né, aí eles me ajudavam, lavavam a roupa, carregar, colocar no sol, tirar, sempre eu ensinava a eles a fazer aquilo que eu não sabia se eu ia conseguir uma filha mulher, né </w:t>
      </w:r>
      <w:r>
        <w:rPr>
          <w:rFonts w:ascii="Times New Roman" w:hAnsi="Times New Roman" w:cs="Times New Roman" w:eastAsia="Times New Roman"/>
          <w:color w:val="auto"/>
          <w:spacing w:val="0"/>
          <w:position w:val="0"/>
          <w:sz w:val="24"/>
          <w:shd w:fill="auto" w:val="clear"/>
        </w:rPr>
        <w:t xml:space="preserve">(Camponesa, 46 anos, Curí)</w:t>
      </w:r>
    </w:p>
    <w:p>
      <w:pPr>
        <w:spacing w:before="0" w:after="0" w:line="360"/>
        <w:ind w:right="0" w:left="3600" w:hanging="2892"/>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vale ressaltar, de acordo com a fala acima, que essas mulheres não concebem a divisão do trabalho numa perspectiva de emancipação da mulher ou pela clareza de tirará-las da condição de explorada, mas pelo fato de sua ausência no espaço doméstico, ou no caso de ter somente filho homem, ou seja, pela necessidade das circunstâncias.</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da fala percebe-se que as tarefas da menina já estão pré-estabelecidas, até antes de nascer. O desejo de ter uma filha parece vir junto com a necessidade desta para com o trabalho doméstico.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vale ressaltar que algumas mulheres da mesma faixa de idade, não apresentando idéias convergentes, fornecem depoimentos interessantes sobre o que pensam dos filhos em relação ao trabalho de casa:</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Pra mim diferença entre homem é só o sexo, ele é masculino e eu sô feminino, só isso. Cabeça, maneira de ser, pensar e agir, todo mundo é igual. Então não tem porque só eu saber cozinhar, só eu saber fazer as coisas, de repente não estou, ou morro, meu filho tem que fazer tudo</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(Camponesa, 46 anos, Curí)</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16775416"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A fala da entrevistada deixa implícito que as diferenças biológicas apenas definem o sexo, em masculino e feminino, e não determinam os papéis que homens e mulheres devem exercer, pois ambos são sujeitos que convivem em um meio social, e possuem as mesmas necessidades. Por isso, assim como podem, devem contribuir igualmente nas atividades ditas femininas, tanto quanto as mulheres. Mas as diferenças entre homens e mulheres estabelecidas a partir do aspecto biológico “foram transformadas em desigualdades sociais, à medida que, diferentes sociedades e períodos históricos, múltiplos discursos e práticas forjaram a submissão feminina e a dominação patriarcal” </w:t>
      </w:r>
      <w:r>
        <w:rPr>
          <w:rFonts w:ascii="Times New Roman" w:hAnsi="Times New Roman" w:cs="Times New Roman" w:eastAsia="Times New Roman"/>
          <w:color w:val="000000"/>
          <w:spacing w:val="0"/>
          <w:position w:val="0"/>
          <w:sz w:val="24"/>
          <w:shd w:fill="auto" w:val="clear"/>
        </w:rPr>
        <w:t xml:space="preserve">(Delgado, 1998, p.15)</w:t>
      </w:r>
      <w:r>
        <w:rPr>
          <w:rFonts w:ascii="Times New Roman" w:hAnsi="Times New Roman" w:cs="Times New Roman" w:eastAsia="Times New Roman"/>
          <w:color w:val="0000FF"/>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Talvez por essas razões muitas mulheres ainda continuam absorvendo aqueles discursos  preconceituosos ou porque ainda não conseguiram se libertar dessa ideologia de dominação patriarcal.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Veremos a seguir, o depoimento de uma mãe que tenta convencer os filhos a contribuírem no trabalho doméstico, por compreender que os direitos devem ser iguais, haja vista que além das meninas fazerem os serviços de casa, elas ainda contribuem para o trabalho da roça.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340" w:hanging="16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Eles só fazem no caso..., não é igual, se chegar e tiver que ser eles que tem que fazer mesmo, aí eles faz, se eu não tiver em casa nem as meninas. Mas no caso, se as meninas tiver em casa..., meu filho vai lavar esse louça aí. Pra quê que tem mulher? As meninas já são diferente se eu for pro roçado elas vão. Aí no caso eu digo: você tem que fazer as mesmas coisa dela, porque, porque elas num vão mais nós pro roçado?. Então vocês têm que ajudar em casa (Camponesa 41 anos, Curí).  </w:t>
      </w:r>
    </w:p>
    <w:p>
      <w:pPr>
        <w:spacing w:before="0" w:after="0" w:line="360"/>
        <w:ind w:right="0" w:left="2340" w:hanging="1632"/>
        <w:jc w:val="both"/>
        <w:rPr>
          <w:rFonts w:ascii="Times New Roman" w:hAnsi="Times New Roman" w:cs="Times New Roman" w:eastAsia="Times New Roman"/>
          <w:color w:val="auto"/>
          <w:spacing w:val="0"/>
          <w:position w:val="0"/>
          <w:sz w:val="24"/>
          <w:shd w:fill="auto" w:val="clear"/>
        </w:rPr>
      </w:pPr>
    </w:p>
    <w:p>
      <w:pPr>
        <w:spacing w:before="0" w:after="0" w:line="360"/>
        <w:ind w:right="0" w:left="2340" w:hanging="1632"/>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Diante da fala da camponesa, percebe-se que há uma tentativa de estabelecer uma relação de igualdade de direito, no que tange às relações de trabalho entre os filhos e as filhas, porém há uma forte resistência por parte do menino em compreender que as relações não podem ser desiguais. Contudo, as atitudes dos meninos nada mais são do que uma manifestação da cultura machista predominante na historia da sociedade.</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Conclusões</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900"/>
        <w:jc w:val="both"/>
        <w:rPr>
          <w:rFonts w:ascii="Chiller" w:hAnsi="Chiller" w:cs="Chiller" w:eastAsia="Chiller"/>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Como vimos, este trabalho tentou dar visibilidade às mulheres camponesas que foram e ainda continuam sendo marginalizadas pelo processo histórico-cultural e muitas vezes esquecidas pela própria ciência. Através deste estudo percebemos o reconhecimento que as mulheres têm do seu trabalho. Embora desenvolvam as atividades ditas masculinas, percebem que seu trabalho representa apenas ajuda, portanto nota-se que nas relações de produção o trabalho do homem é mais valorizado do que o da mulher, embora o processo e a força envolvida seja a mesma. Mas são as mulheres também que discriminam seu próprio trabalho. Por ser o homem quem se envolve na parte final da produção e principalmente na comercialização, este acaba sendo mais valorizado, e, por conseguinte, seu trabalho adquiriu um maior valor social. Infelizmente é assim que é compreendida a relação de trabalho em algumas famílias camponesas</w:t>
      </w:r>
      <w:r>
        <w:rPr>
          <w:rFonts w:ascii="Chiller" w:hAnsi="Chiller" w:cs="Chiller" w:eastAsia="Chiller"/>
          <w:color w:val="auto"/>
          <w:spacing w:val="0"/>
          <w:position w:val="0"/>
          <w:sz w:val="28"/>
          <w:shd w:fill="auto" w:val="clear"/>
        </w:rPr>
        <w:t xml:space="preserve">.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visão negativa das mulheres não diz respeito somente ao trabalho, mas também à forma como educam os/as filhas. As hipóteses levantadas acerca da problemática desse trabalho foram constatadas, pois as mulheres ainda continuam educando os/as filhas reforçando as desigualdades entre os meninos e as meninas. Acredita-se que as influências culturais sejam a forte razão para que as mães ainda continuem exercendo essa prática, pois muitas afirmaram que a educação que receberam de seus pais influenciou na forma como educam os filhos/as, embora, para algumas, nem sempre com o mesmo rigor</w:t>
      </w:r>
      <w:r>
        <w:rPr>
          <w:rFonts w:ascii="Arial" w:hAnsi="Arial" w:cs="Arial" w:eastAsia="Arial"/>
          <w:color w:val="auto"/>
          <w:spacing w:val="0"/>
          <w:position w:val="0"/>
          <w:sz w:val="24"/>
          <w:shd w:fill="auto" w:val="clear"/>
        </w:rPr>
        <w:t xml:space="preserve">.</w:t>
      </w:r>
    </w:p>
    <w:p>
      <w:pPr>
        <w:spacing w:before="0" w:after="0" w:line="360"/>
        <w:ind w:right="0" w:left="0" w:firstLine="720"/>
        <w:jc w:val="both"/>
        <w:rPr>
          <w:rFonts w:ascii="Arial" w:hAnsi="Arial" w:cs="Arial" w:eastAsia="Arial"/>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mulheres não se intimidavam em dizer que as meninas brincavam separadas dos meninos e vice-versa, que os meninos tinham mais liberdade que as meninas, que os papéis eram separados de acordo com sexo. Para elas isso é natural. Porém uma situação preocupante que nos instiga a questionar: Como podemos mudar a história dando vez às mulheres, tirando-as da condição desigual, se a família mantém e reforça as práticas de desigualdades</w:t>
      </w:r>
      <w:r>
        <w:rPr>
          <w:rFonts w:ascii="Arial" w:hAnsi="Arial" w:cs="Arial" w:eastAsia="Arial"/>
          <w:color w:val="auto"/>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 otimista em acreditar que a mulher será liberta da cultura dominante, mesmo sabendo que ainda teremos que desconstruir essa cultura e para isso teremos talvez muitas décadas ainda. Mas se hoje muitas mudanças ocorreram, graças movimento feminista que contribuiu significativamente não só pela luta dos direitos da mulher, mas também para que essa pudesse se repensar, analisando e refletindo sobre a condição que lhes foram impostas pela sociedade, por que não acreditar que muitas outras serão possíveis?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construção teórica de gênero, uma contribuição importante no campo da ciência, tem sido fundamental para desmistificar outras teorias que afirmavam que as desigualdades sociais são decorrentes dos fatores biológicos. </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família como espaço educativo se constitui em um campo importante de estudo. Principalmente porque o processo educativo que ocorre nesse espaço é a base de formação de pessoas e de construção de personalidades. Os valores que a família acredita vão sendo transmitidos aos filhos/as, mas nem sempre contribuem para libertar como já constatamos, por isso é necessário que adentremos mais vezes nesse espaço a fim de compreender como se dão os processos educativos.</w:t>
      </w:r>
    </w:p>
    <w:p>
      <w:pPr>
        <w:spacing w:before="0" w:after="0" w:line="36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espera-se que este trabalho contribua para a reflexão acerca da problemática em questão, pois muitas mulheres que ainda são vítimas dessa cultura que reforça a dominação masculina. Que através deste as mulheres que ainda mantém uma forma dicotomizada de compreender as relações entre gêneros possa repensar sua prática.</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bibliográficas</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ALMEIDA, Jane Soares. Da rainha do lar a educadora da infância: Missão, Vocação e destino. In: SAVIANI, Dermeval et al.</w:t>
      </w:r>
      <w:r>
        <w:rPr>
          <w:rFonts w:ascii="Times New Roman" w:hAnsi="Times New Roman" w:cs="Times New Roman" w:eastAsia="Times New Roman"/>
          <w:b/>
          <w:color w:val="auto"/>
          <w:spacing w:val="0"/>
          <w:position w:val="0"/>
          <w:sz w:val="24"/>
          <w:shd w:fill="auto" w:val="clear"/>
        </w:rPr>
        <w:t xml:space="preserve">O legado Educacional do Século XX no Brasil.</w:t>
      </w:r>
      <w:r>
        <w:rPr>
          <w:rFonts w:ascii="Times New Roman" w:hAnsi="Times New Roman" w:cs="Times New Roman" w:eastAsia="Times New Roman"/>
          <w:color w:val="auto"/>
          <w:spacing w:val="0"/>
          <w:position w:val="0"/>
          <w:sz w:val="24"/>
          <w:shd w:fill="auto" w:val="clear"/>
        </w:rPr>
        <w:t xml:space="preserve"> Campinas: Autores Associados, 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ALVES, Bianca Moreira; PITANGUY, Jaqueline. </w:t>
      </w:r>
      <w:r>
        <w:rPr>
          <w:rFonts w:ascii="Times New Roman" w:hAnsi="Times New Roman" w:cs="Times New Roman" w:eastAsia="Times New Roman"/>
          <w:b/>
          <w:color w:val="auto"/>
          <w:spacing w:val="0"/>
          <w:position w:val="0"/>
          <w:sz w:val="24"/>
          <w:shd w:fill="auto" w:val="clear"/>
        </w:rPr>
        <w:t xml:space="preserve">O que é feminismo.</w:t>
      </w:r>
      <w:r>
        <w:rPr>
          <w:rFonts w:ascii="Times New Roman" w:hAnsi="Times New Roman" w:cs="Times New Roman" w:eastAsia="Times New Roman"/>
          <w:color w:val="auto"/>
          <w:spacing w:val="0"/>
          <w:position w:val="0"/>
          <w:sz w:val="24"/>
          <w:shd w:fill="auto" w:val="clear"/>
        </w:rPr>
        <w:t xml:space="preserve"> São Paulo, Ed. brasiliense. Ed. 38ª, 1995.</w:t>
      </w: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Antonio A. B. (org). </w:t>
      </w:r>
      <w:r>
        <w:rPr>
          <w:rFonts w:ascii="Times New Roman" w:hAnsi="Times New Roman" w:cs="Times New Roman" w:eastAsia="Times New Roman"/>
          <w:b/>
          <w:color w:val="auto"/>
          <w:spacing w:val="0"/>
          <w:position w:val="0"/>
          <w:sz w:val="24"/>
          <w:shd w:fill="auto" w:val="clear"/>
        </w:rPr>
        <w:t xml:space="preserve">Trabalho e Desenvolvimento na Amazônia: As experiências formativas da CUT.</w:t>
      </w:r>
      <w:r>
        <w:rPr>
          <w:rFonts w:ascii="Times New Roman" w:hAnsi="Times New Roman" w:cs="Times New Roman" w:eastAsia="Times New Roman"/>
          <w:color w:val="auto"/>
          <w:spacing w:val="0"/>
          <w:position w:val="0"/>
          <w:sz w:val="24"/>
          <w:shd w:fill="auto" w:val="clear"/>
        </w:rPr>
        <w:t xml:space="preserve"> Belém: edufro, 2002. p.61-83</w:t>
      </w: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BOGDAN, Roberto C; BIKLEN, Sari  Knopp. Análise de dados. In: </w:t>
      </w:r>
      <w:r>
        <w:rPr>
          <w:rFonts w:ascii="Times New Roman" w:hAnsi="Times New Roman" w:cs="Times New Roman" w:eastAsia="Times New Roman"/>
          <w:b/>
          <w:color w:val="auto"/>
          <w:spacing w:val="0"/>
          <w:position w:val="0"/>
          <w:sz w:val="24"/>
          <w:shd w:fill="auto" w:val="clear"/>
        </w:rPr>
        <w:t xml:space="preserve">Investigação qualitativa em educação.</w:t>
      </w:r>
      <w:r>
        <w:rPr>
          <w:rFonts w:ascii="Times New Roman" w:hAnsi="Times New Roman" w:cs="Times New Roman" w:eastAsia="Times New Roman"/>
          <w:color w:val="auto"/>
          <w:spacing w:val="0"/>
          <w:position w:val="0"/>
          <w:sz w:val="24"/>
          <w:shd w:fill="auto" w:val="clear"/>
        </w:rPr>
        <w:t xml:space="preserve"> Coleção ciências da educação, 1994.</w:t>
      </w: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Maria Eulina P</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Introdução à Questão das Relações de Gênero na Educação.</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 </w:t>
      </w:r>
      <w:r>
        <w:rPr>
          <w:rFonts w:ascii="Times New Roman" w:hAnsi="Times New Roman" w:cs="Times New Roman" w:eastAsia="Times New Roman"/>
          <w:b/>
          <w:color w:val="auto"/>
          <w:spacing w:val="0"/>
          <w:position w:val="0"/>
          <w:sz w:val="24"/>
          <w:shd w:fill="auto" w:val="clear"/>
        </w:rPr>
        <w:t xml:space="preserve">Consciência de gênero na escola</w:t>
      </w:r>
      <w:r>
        <w:rPr>
          <w:rFonts w:ascii="Times New Roman" w:hAnsi="Times New Roman" w:cs="Times New Roman" w:eastAsia="Times New Roman"/>
          <w:color w:val="auto"/>
          <w:spacing w:val="0"/>
          <w:position w:val="0"/>
          <w:sz w:val="24"/>
          <w:shd w:fill="auto" w:val="clear"/>
        </w:rPr>
        <w:t xml:space="preserve">. João Pessoa: Editora Universitária/ UFPB, 2000.</w:t>
      </w: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 O que essa história tem a ver com as relações de gênero? Problematizando o gênero no currículo e na formação docente. In:</w:t>
      </w:r>
      <w:r>
        <w:rPr>
          <w:rFonts w:ascii="Times New Roman" w:hAnsi="Times New Roman" w:cs="Times New Roman" w:eastAsia="Times New Roman"/>
          <w:b/>
          <w:color w:val="auto"/>
          <w:spacing w:val="0"/>
          <w:position w:val="0"/>
          <w:sz w:val="24"/>
          <w:shd w:fill="auto" w:val="clear"/>
        </w:rPr>
        <w:t xml:space="preserve"> Gênero e Educação: Múltiplas Faces.</w:t>
      </w:r>
      <w:r>
        <w:rPr>
          <w:rFonts w:ascii="Times New Roman" w:hAnsi="Times New Roman" w:cs="Times New Roman" w:eastAsia="Times New Roman"/>
          <w:color w:val="auto"/>
          <w:spacing w:val="0"/>
          <w:position w:val="0"/>
          <w:sz w:val="24"/>
          <w:shd w:fill="auto" w:val="clear"/>
        </w:rPr>
        <w:t xml:space="preserve"> João Pessoa: Editora Universitária, 2003.</w:t>
      </w: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99" w:left="0" w:firstLine="0"/>
        <w:jc w:val="both"/>
        <w:rPr>
          <w:rFonts w:ascii="Arial" w:hAnsi="Arial" w:cs="Arial" w:eastAsia="Arial"/>
          <w:color w:val="auto"/>
          <w:spacing w:val="0"/>
          <w:position w:val="0"/>
          <w:sz w:val="24"/>
          <w:shd w:fill="auto" w:val="clear"/>
        </w:rPr>
      </w:pPr>
      <w:hyperlink xmlns:r="http://schemas.openxmlformats.org/officeDocument/2006/relationships" r:id="docRId78">
        <w:r>
          <w:rPr>
            <w:rFonts w:ascii="Times New Roman" w:hAnsi="Times New Roman" w:cs="Times New Roman" w:eastAsia="Times New Roman"/>
            <w:color w:val="0000FF"/>
            <w:spacing w:val="0"/>
            <w:position w:val="0"/>
            <w:sz w:val="24"/>
            <w:u w:val="single"/>
            <w:shd w:fill="auto" w:val="clear"/>
          </w:rPr>
          <w:t xml:space="preserve">CHAUÍ, M</w:t>
        </w:r>
      </w:hyperlink>
      <w:r>
        <w:rPr>
          <w:rFonts w:ascii="Times New Roman" w:hAnsi="Times New Roman" w:cs="Times New Roman" w:eastAsia="Times New Roman"/>
          <w:color w:val="auto"/>
          <w:spacing w:val="0"/>
          <w:position w:val="0"/>
          <w:sz w:val="24"/>
          <w:shd w:fill="auto" w:val="clear"/>
        </w:rPr>
        <w:t xml:space="preserve">arilena de Sousa. </w:t>
      </w:r>
      <w:hyperlink xmlns:r="http://schemas.openxmlformats.org/officeDocument/2006/relationships" r:id="docRId79">
        <w:r>
          <w:rPr>
            <w:rFonts w:ascii="Times New Roman" w:hAnsi="Times New Roman" w:cs="Times New Roman" w:eastAsia="Times New Roman"/>
            <w:b/>
            <w:color w:val="0000FF"/>
            <w:spacing w:val="0"/>
            <w:position w:val="0"/>
            <w:sz w:val="24"/>
            <w:u w:val="single"/>
            <w:shd w:fill="auto" w:val="clear"/>
          </w:rPr>
          <w:t xml:space="preserve">O Que é Ideologia</w:t>
        </w:r>
      </w:hyperlink>
      <w:r>
        <w:rPr>
          <w:rFonts w:ascii="Times New Roman" w:hAnsi="Times New Roman" w:cs="Times New Roman" w:eastAsia="Times New Roman"/>
          <w:color w:val="auto"/>
          <w:spacing w:val="0"/>
          <w:position w:val="0"/>
          <w:sz w:val="24"/>
          <w:shd w:fill="auto" w:val="clear"/>
        </w:rPr>
        <w:t xml:space="preserve">. São Paulo: Brasiliense, 1994</w:t>
      </w: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D’INCAO, Maria Ângela; ALVARES, Maria Luiza Miranda; Eunice Ferreira dos Santos. </w:t>
      </w:r>
      <w:r>
        <w:rPr>
          <w:rFonts w:ascii="Times New Roman" w:hAnsi="Times New Roman" w:cs="Times New Roman" w:eastAsia="Times New Roman"/>
          <w:b/>
          <w:color w:val="auto"/>
          <w:spacing w:val="0"/>
          <w:position w:val="0"/>
          <w:sz w:val="24"/>
          <w:shd w:fill="auto" w:val="clear"/>
        </w:rPr>
        <w:t xml:space="preserve">Mulher e Modernidade na Amazônia.</w:t>
      </w:r>
      <w:r>
        <w:rPr>
          <w:rFonts w:ascii="Times New Roman" w:hAnsi="Times New Roman" w:cs="Times New Roman" w:eastAsia="Times New Roman"/>
          <w:color w:val="auto"/>
          <w:spacing w:val="0"/>
          <w:position w:val="0"/>
          <w:sz w:val="24"/>
          <w:shd w:fill="auto" w:val="clear"/>
        </w:rPr>
        <w:t xml:space="preserve"> Belém: GEPEM/ CFCH/UFPA, 2001.</w:t>
      </w:r>
    </w:p>
    <w:p>
      <w:pPr>
        <w:spacing w:before="0" w:after="0" w:line="240"/>
        <w:ind w:right="9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DELGADO, Andréa. Escola e Construção de Gênero. In: </w:t>
      </w:r>
      <w:r>
        <w:rPr>
          <w:rFonts w:ascii="Times New Roman" w:hAnsi="Times New Roman" w:cs="Times New Roman" w:eastAsia="Times New Roman"/>
          <w:b/>
          <w:color w:val="auto"/>
          <w:spacing w:val="0"/>
          <w:position w:val="0"/>
          <w:sz w:val="24"/>
          <w:shd w:fill="auto" w:val="clear"/>
        </w:rPr>
        <w:t xml:space="preserve">Gênero e educação.</w:t>
      </w:r>
      <w:r>
        <w:rPr>
          <w:rFonts w:ascii="Times New Roman" w:hAnsi="Times New Roman" w:cs="Times New Roman" w:eastAsia="Times New Roman"/>
          <w:color w:val="auto"/>
          <w:spacing w:val="0"/>
          <w:position w:val="0"/>
          <w:sz w:val="24"/>
          <w:shd w:fill="auto" w:val="clear"/>
        </w:rPr>
        <w:t xml:space="preserve"> CNTE, Brasília, DF, 1998.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99" w:left="0" w:firstLine="0"/>
        <w:jc w:val="both"/>
        <w:rPr>
          <w:rFonts w:ascii="Arial" w:hAnsi="Arial" w:cs="Arial" w:eastAsia="Arial"/>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LOURO, Guacira Lopes.</w:t>
      </w:r>
      <w:r>
        <w:rPr>
          <w:rFonts w:ascii="Times New Roman" w:hAnsi="Times New Roman" w:cs="Times New Roman" w:eastAsia="Times New Roman"/>
          <w:b/>
          <w:color w:val="auto"/>
          <w:spacing w:val="0"/>
          <w:position w:val="0"/>
          <w:sz w:val="24"/>
          <w:shd w:fill="auto" w:val="clear"/>
        </w:rPr>
        <w:t xml:space="preserve"> Gênero, Sexualidade e Educação: Uma perspectiva pós-estruturalista.</w:t>
      </w:r>
      <w:r>
        <w:rPr>
          <w:rFonts w:ascii="Times New Roman" w:hAnsi="Times New Roman" w:cs="Times New Roman" w:eastAsia="Times New Roman"/>
          <w:color w:val="auto"/>
          <w:spacing w:val="0"/>
          <w:position w:val="0"/>
          <w:sz w:val="24"/>
          <w:shd w:fill="auto" w:val="clear"/>
        </w:rPr>
        <w:t xml:space="preserve"> 2ª ed. Petrópolis - RJ: Vozes, 1997</w:t>
      </w:r>
      <w:r>
        <w:rPr>
          <w:rFonts w:ascii="Arial" w:hAnsi="Arial" w:cs="Arial" w:eastAsia="Arial"/>
          <w:color w:val="auto"/>
          <w:spacing w:val="0"/>
          <w:position w:val="0"/>
          <w:sz w:val="24"/>
          <w:shd w:fill="auto" w:val="clear"/>
        </w:rPr>
        <w:t xml:space="preserve">.</w:t>
      </w:r>
    </w:p>
    <w:p>
      <w:pPr>
        <w:spacing w:before="0" w:after="0" w:line="240"/>
        <w:ind w:right="99"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MOURÃO, Patrícia de Lucena. </w:t>
      </w:r>
      <w:r>
        <w:rPr>
          <w:rFonts w:ascii="Times New Roman" w:hAnsi="Times New Roman" w:cs="Times New Roman" w:eastAsia="Times New Roman"/>
          <w:b/>
          <w:color w:val="auto"/>
          <w:spacing w:val="0"/>
          <w:position w:val="0"/>
          <w:sz w:val="24"/>
          <w:shd w:fill="auto" w:val="clear"/>
        </w:rPr>
        <w:t xml:space="preserve">Um olhar de Gênero sobre a Reconstrução da Agricultura em Abaetetuba, Pará.</w:t>
      </w:r>
      <w:r>
        <w:rPr>
          <w:rFonts w:ascii="Times New Roman" w:hAnsi="Times New Roman" w:cs="Times New Roman" w:eastAsia="Times New Roman"/>
          <w:color w:val="auto"/>
          <w:spacing w:val="0"/>
          <w:position w:val="0"/>
          <w:sz w:val="24"/>
          <w:shd w:fill="auto" w:val="clear"/>
        </w:rPr>
        <w:t xml:space="preserve"> 2004. Dissertação (Mestrado em Agriculturas Familiares e Desenvolvimento Sustentável.</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PRADO, Yolanda Cerquinho da Silva. </w:t>
      </w:r>
      <w:r>
        <w:rPr>
          <w:rFonts w:ascii="Times New Roman" w:hAnsi="Times New Roman" w:cs="Times New Roman" w:eastAsia="Times New Roman"/>
          <w:b/>
          <w:color w:val="auto"/>
          <w:spacing w:val="0"/>
          <w:position w:val="0"/>
          <w:sz w:val="24"/>
          <w:shd w:fill="auto" w:val="clear"/>
        </w:rPr>
        <w:t xml:space="preserve">Ser esposa: a mais antiga profissão</w:t>
      </w:r>
      <w:r>
        <w:rPr>
          <w:rFonts w:ascii="Times New Roman" w:hAnsi="Times New Roman" w:cs="Times New Roman" w:eastAsia="Times New Roman"/>
          <w:color w:val="auto"/>
          <w:spacing w:val="0"/>
          <w:position w:val="0"/>
          <w:sz w:val="24"/>
          <w:shd w:fill="auto" w:val="clear"/>
        </w:rPr>
        <w:t xml:space="preserve">. São Paulo.  Ed.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Brasiliense. Ano 1979.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PACHECO, Maria Emília Lisboa. Em defesa da agricultura familiar sustentável com igualdade de gênero. In: SCALABRIN, Rosemeri. SILVA, Ricardo G. da Costa. LIMA, Antonio A. B. (org). </w:t>
      </w:r>
      <w:r>
        <w:rPr>
          <w:rFonts w:ascii="Times New Roman" w:hAnsi="Times New Roman" w:cs="Times New Roman" w:eastAsia="Times New Roman"/>
          <w:b/>
          <w:color w:val="auto"/>
          <w:spacing w:val="0"/>
          <w:position w:val="0"/>
          <w:sz w:val="24"/>
          <w:shd w:fill="auto" w:val="clear"/>
        </w:rPr>
        <w:t xml:space="preserve">Trabalho e Desenvolvimento na Amazônia: As experiências formativas da CUT.</w:t>
      </w:r>
      <w:r>
        <w:rPr>
          <w:rFonts w:ascii="Times New Roman" w:hAnsi="Times New Roman" w:cs="Times New Roman" w:eastAsia="Times New Roman"/>
          <w:color w:val="auto"/>
          <w:spacing w:val="0"/>
          <w:position w:val="0"/>
          <w:sz w:val="24"/>
          <w:shd w:fill="auto" w:val="clear"/>
        </w:rPr>
        <w:t xml:space="preserve"> Belém: edufro, 2002. p.61-83.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SEPOf–PA. Estatísticas Municipais. Disponível </w:t>
      </w:r>
      <w:r>
        <w:rPr>
          <w:rFonts w:ascii="Times New Roman" w:hAnsi="Times New Roman" w:cs="Times New Roman" w:eastAsia="Times New Roman"/>
          <w:color w:val="000000"/>
          <w:spacing w:val="0"/>
          <w:position w:val="0"/>
          <w:sz w:val="24"/>
          <w:shd w:fill="auto" w:val="clear"/>
        </w:rPr>
        <w:t xml:space="preserve">emAcesso em: 22 de maio de 2006.</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80">
        <w:r>
          <w:rPr>
            <w:rFonts w:ascii="Times New Roman" w:hAnsi="Times New Roman" w:cs="Times New Roman" w:eastAsia="Times New Roman"/>
            <w:color w:val="000000"/>
            <w:spacing w:val="0"/>
            <w:position w:val="0"/>
            <w:sz w:val="24"/>
            <w:u w:val="single"/>
            <w:shd w:fill="auto" w:val="clear"/>
          </w:rPr>
          <w:t xml:space="preserve">www.igassu.com.br</w:t>
        </w:r>
      </w:hyperlink>
      <w:r>
        <w:rPr>
          <w:rFonts w:ascii="Times New Roman" w:hAnsi="Times New Roman" w:cs="Times New Roman" w:eastAsia="Times New Roman"/>
          <w:color w:val="000000"/>
          <w:spacing w:val="0"/>
          <w:position w:val="0"/>
          <w:sz w:val="24"/>
          <w:shd w:fill="auto" w:val="clear"/>
        </w:rPr>
        <w:t xml:space="preserve">. Acesso em: 22 de maio de 2006.</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REINSERÇÃO SOCIAL DO TRANSEXUAL A PARTIR DA CIRURGIA DE REDESIGNAÇÃO DE SEXO</w:t>
      </w:r>
    </w:p>
    <w:p>
      <w:pPr>
        <w:spacing w:before="0" w:after="0" w:line="240"/>
        <w:ind w:right="0" w:left="0" w:firstLine="0"/>
        <w:jc w:val="left"/>
        <w:rPr>
          <w:rFonts w:ascii="KeplerStd-MediumCnSubh" w:hAnsi="KeplerStd-MediumCnSubh" w:cs="KeplerStd-MediumCnSubh" w:eastAsia="KeplerStd-MediumCnSubh"/>
          <w:color w:val="000000"/>
          <w:spacing w:val="0"/>
          <w:position w:val="0"/>
          <w:sz w:val="21"/>
          <w:shd w:fill="auto" w:val="clear"/>
        </w:rPr>
      </w:pPr>
    </w:p>
    <w:p>
      <w:pPr>
        <w:spacing w:before="0" w:after="0" w:line="240"/>
        <w:ind w:right="0" w:left="0" w:firstLine="0"/>
        <w:jc w:val="left"/>
        <w:rPr>
          <w:rFonts w:ascii="KeplerStd-MediumCnSubh" w:hAnsi="KeplerStd-MediumCnSubh" w:cs="KeplerStd-MediumCnSubh" w:eastAsia="KeplerStd-MediumCnSubh"/>
          <w:color w:val="000000"/>
          <w:spacing w:val="0"/>
          <w:position w:val="0"/>
          <w:sz w:val="21"/>
          <w:shd w:fill="auto" w:val="clear"/>
        </w:rPr>
      </w:pPr>
    </w:p>
    <w:p>
      <w:pPr>
        <w:spacing w:before="0" w:after="0" w:line="24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Patrícia Pássaro da Silva Toledo</w:t>
      </w:r>
    </w:p>
    <w:p>
      <w:pPr>
        <w:spacing w:before="0" w:after="0" w:line="240"/>
        <w:ind w:right="0" w:left="0" w:firstLine="0"/>
        <w:jc w:val="right"/>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Universidade Gama Filho (UGF- RJ)</w:t>
      </w:r>
    </w:p>
    <w:p>
      <w:pPr>
        <w:spacing w:before="0" w:after="0" w:line="240"/>
        <w:ind w:right="0" w:left="0" w:firstLine="0"/>
        <w:jc w:val="right"/>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Orientadora: Janaína Pinto Janini</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Introdução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transexualidade é compreendida como uma certeza constante e inabalável do indivíduo ao sentir-se pertencente ao sexo oposto daquele que consta em seu Registro de Nascimento. Nesse processo o sujeito discorda intensamente de seus órgãos levando-o a almejar a retirada ou alteração destes através de cirurgia e reposição hormonal.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Foi classificada no DSM-III (Manual Diagnóstico e Estatístico das Desordens Mentais), desde 1980, como uma desordem mental. Na Classificação Internacional de Doenças (CID – 10), situa-se sob o código F64 – Transtornos da Identidade Sexual. Em 1994 foi incluída também no DSM-IV, substituindo o termo transexualismo por Transtorno de Identidade de Gênero (TIG). Desde então a transexualidade vem sendo analisada como um distúrbio reconhecido pelo direito e pela medicina, mais especificamente pela psiquiatria, dando uma conotação de patologia, o que o caracteriza como passível de tratamento. Este reconhecimento como “patologia tratável”, apesar de caracterizar a transexualidade como distúrbio ou doença, admitiu que as redesignações sexuais e os tratamentos hormonais fossem inseridos formalmente em processos terapêuticos, que por sua vez permitiram a normatização dos procedimentos aplicados, a criação de centros de transgenitalização e a elaboração de protocolos para o atendimento destes casos.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Não pretendemos em nosso trabalho defender uma ou mais teorias que expliquem a etiologia da transexualidade, sob o risco de nos posicionarmos erroneamente e com um enfoque cartesiano sobre uma questão extremamente complexa e permeada de incertezas e fatores desconhecidos. Limitar-nos-emos, em nossa análise, a aceitar que todas as linhas de pesquisa, explicam, em todo ou em parte, o fenômeno, sejam elas, psicológicas, sociais ou biológicas, sendo extremamente relevante para o tema.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primeira cirurgia de redesignação sexual no Brasil foi realizada em 1971, pelo Dr. Roberto Farina, ao operar Waldir Nogueira. Apesar de ter sido um procedimento bem sucedido, o cirurgião enfrentou uma ação judicial interposta pelo Ministério Público que o delatava por crime de lesão corporal de natureza gravíssima.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Isto aconteceu após a tentativa de Waldir de mudar o nome e o estado sexual constante em seu registro de nascimento. O médico foi condenado em primeira instância, com a pena de dois anos de reclusão, sendo absolvido posteriormente por ausência de constatação de ação dolosa durante sua prática profissional, durante a qual buscava apenas curar o paciente ou minimizar o sofrimento mental e sanar seus incômodos físicos. Em setembro de 1997, o Conselho Federal de Medicina reconheceu o caráter terapêutico deste procedimento, mediante a publicação da Resolução de número 1.482/97, partindo da argumentação de que “o paciente transexual é portador de desvio psicológico permanente de identidade sexual com rejeição do fenótipo e tendência à automutilação ou auto-extermínio” (BRASIL, 1997).</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ação do Ministério Público Federal para a inserção da cirurgia de transgenitalização na tabela de procedimentos do SUS em 2001, a criação do Comitê Técnico Saúde da População LGBT (Lésbicas, Gays, Bissexuais, Travestis e Transexuais) através da Portaria GM nº. 2.227 em 2004, a instituição do Coletivo Nacional de Transexuais em 2005, a realização de reuniões e seminários pelo Ministério da Saúde a respeito do processo de redesignação sexual no SUS e os subsídios fornecidos por pesquisadores acadêmicos, favoreceram o estabelecimento de pactos e propostas de saúde integral, culminando com a publicação da Portaria nº 1.707/2008 do Ministério da Saúde que institui no Sistema Único de Saúde (SUS) o Processo Transexualizador, por meio de serviços de referência habilitados a proporcionar atenção integral e humanizada a transexuais. Estes fatores incitaram a construção de programas assistenciais no sistema público de saúde, voltados para esta clientela.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classificação como uma desordem mental se apresenta por tratar-se de conduta que implica em problemas adaptativos e funcionais na esfera social, psicológica e biológica, ocasionando sofrimento mental ao indivíduo. Porém, é importante esclarecer que classificar o transtorno de identidade de gênero como um transtorno mental não possui a pretensão de estigmatizar ou anular os direitos civis do transexual. No entanto, o estigma existe para o transexual, que experimenta episódios de preconceito, de não-aceitação e de exclusão social, conforme explica Murta et al (2009):</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0" w:line="240"/>
        <w:ind w:right="0" w:left="241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É fato que a vivência da transexualidade pode acarretar problemas relacionados à vida psíquica, em geral marcada pelo trauma do não-reconhecimento, da injúria e da exclusão social, assim como por dificuldades provenientes de problemas familiares e de relacionamentos sexuais e afetivos. Esta experiência pode se constituir num intenso sofrimento psíquico, que aparece muitas vezes sob a forma de tentativas de suicídio, depressão, transtornos alimentares e angústias das mais diversas formas, provocadas não apenas pelo conflito de não-pertencimento ao sexo biológico, como também pelas inúmeras conseqüências sociais, éticas, jurídicas e culturais intrínsecas a esta condição.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Murta (2007) esclarece que a acepção de um diagnóstico manifesta mera interpretação social acerca do gênero masculino/feminino. Assim, a sociedade encara a transexualidade como uma conduta desviante e, por isso, carente de normatização e tratamento. Essa delimitação da identidade transexual, pautada em discursos como “sexo biológico como determinante de gênero”, é a mola precursora da estigmatização e de preconceitos que, constantemente, irá comprometer a saúde psicossocial desse indivíduo.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Foucault (1988) explica que nos séculos XVIII e XIX emergiu um interesse em discutir sobre sexo, isto devido, como afirma o autor, a necessidade de buscar conhecimento para classificar e obter domínio sobre o assunto. Com esta classificação surgem as chamadas “sexualidades periféricas”, onde a transexualidade passa a ser enquadrada. Conseqüentemente, verifica-se que a interpretação da transexualidade como um transtorno psiquiátrico funciona como um mecanismo de acessibilidade às tecnologias disponíveis para redesignação sexual. Neste contexto, percebe-se que o diagnóstico é um facilitador no que se refere à realização da vontade de obter a intervenção cirúrgica de transgenitalização, entretanto é, ao mesmo tempo, um desencadeador do sofrimento para o transexual devido à pressão social própria dessa situação e a necessidade de se enquadrar a norma (MURTA, 2008). Como a autora salienta, compreender o significado deste diagnóstico para o indivíduo e entender as repercussões disso para sua vida é imprescindível para que se possam proporcionar serviços voltados ao atendimento de transexuais em todas as esferas: jurídica, médica, social e psicológica.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Durante todo o processo o transexual se depara com o medo, ansiedade, angústia e depressão, além do sentimento constante de discordância entre o corpo e as atitudes próprias do gênero oposto, convivendo com a sensação de estar dentro de um corpo que não o pertence. O transexual enfrenta problemas de adaptação que podem ser causadores de dificuldades em todas as suas relações sociais (MURTA, 2008). A condição imposta ao transexual por não se adequar ao sexo biológico com o qual nasceu estigmatiza-o, refletindo diretamente em suas relações familiares, sociais, afetivas e profissionais.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O indivíduo experimenta carência de apoio e estrutura afetivo-emocional, preconceitos e desafios que, a seu ver, só serão resolvidos com a transformação física e sexual. Porém, a cirurgia de redesignação sexual não pode ser avaliada como a última barreira enfrentada pelo transexual, visto que as dificuldades advindas de sua nova condição representam grande parte de seu sofrimento. O preconceito, o estigma, problemas éticos, jurídicos, religiosos e sociais permearão essa nova fase (VIEIRA, 2004).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Araújo (2000) disserta sobre a rejeição a que estas pessoas estão expostas por não se encaixarem nos papéis sociais pré-definidos. Para o autor, a sociedade persiste em procurar respostas pautadas em uma sexualidade dualista, ou seja, os que não são heterossexuais representam o “ser diferente”. Este tipo de mecânica social promove o preconceito, o estigma e a exclusão social. O cotidiano destes indivíduos é preenchido por dificuldades, afirma Goldim (2004), desde sua identificação através de documento oficial até ser convocado pelo seu nome de registro em um local público. Porém, estas não são as únicas ocasiões que estes indivíduos enfrentam o preconceito, tendo que lidar com este tipo de situação diariamente.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Silva (1996) denomina como “atitudes de evitação” as sofridas pelos transexuais, que mesmo após a intervenção cirúrgica se deparam com limitações de ordem jurídica (alteração do nome de registro civil), de ordem profissional (não ser aceito profissionalmente, permanecendo no mercado informal), no núcleo familiar e social (preconceito e estigmatização). A sociedade constantemente tende a categorizar pessoas e circunstâncias, seja por um atributo, seja por status ou por alguma particularidade do indivíduo. Quando esta categorização é negativa e o sujeito em questão passa a ser considerado fora dos parâmetros de aceitação social integral, sendo reduzido a uma única característica, passando a ser estigmatizado. Segundo Goffman (1988), o estigma se encontrará presente em diversos momentos na vida social do transexual, visto que: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 sociedade estabelece os meios de categorizar as pessoas e o total de atributos considerados como comuns e naturais para os membros de cada uma dessas categorias. Os ambientes sociais estabelecem as categorias em que as pessoas que têm probabilidade de serem neles encontradas. As rotinas de relação social em ambientes estabelecidos os permitem um relacionamento com “outras pessoas” previstas sem atenção ou reflexão particular.</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autor evidencia que a discriminação com as pessoas estigmatizadas se apresenta como impedimento expressivo para a socialização, posto que: “[...] um indivíduo que poderia ter sido facilmente recebido na relação social quotidiana possui um traço que pode se impor à atenção e afastar aqueles que ele encontra, destruindo a possibilidade de atenção para outros atributos seus” (GOFFMAN, 1988).</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desvinculação da sexualidade como dispositivo meramente reprodutivo, admitindo uma perspectiva de prazer e de interações afetivas e sociais, consentiu a compreensão de que as expressões de gênero estão arraigadas ao comportamento social e não a uma natureza biológica do sexo (BUTLER, 2003). A contestação moderna a propósito da sexualidade e gênero suplantou o debate ultrapassado, amparado na conceituação da arbitrariedade da dominação masculina (BOURDIEU, 1999 e 2007) e da concepção histórica da sexualidade (FOUCAULT, 1982). Portanto, não é mais cabível o preconceito, o estigma e a exclusão social imposta aos transexuais ou sobre quaisquer outras manifestações de sexualidade.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Martins (2002) ao se referir à idéia de exclusão social, explica: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 idéia da exclusão pressupõe uma sociedade acabada, cujo acabamento não é por inteiro acessível a todos. Os que sofrem essa privação seriam os ‘excluídos’. No entanto, essa sociedade acabada não existe em princípio. A sociedade é um processo contínuo de estruturação e desestruturação. O que parece estruturado é recriado continuamente. É nesse âmbito que as rupturas, aquilo que se chama de exclusão, são reparadas, espontânea e continuamente. Há processos excludentes, mas não há exclusões consumadas, definitivas, irremediáveis. [...] O ‘excluído’ é, na melhor das hipóteses, a vivência pessoal de um momento transitório, fugaz ou demorado, de exclusão-integração, de ‘sair’ e ‘reentrar’ no processo de reprodução social. [...] A categoria ‘excluído’ pressupõe um mundo social estável, rígido e enrijecedor. Ignora, portanto, que a sociedade contemporânea é essencialmente a sociedade da luta contínua contra todas as modalidades de exclusão, não só as que se materializam na pobreza visível. Luta, porém, que é fundamentalmente pela integração, sobretudo pela integração simbólica quando a integração material e social não se concretiza na extensão que se espera.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a parcela excluída da sociedade, os </w:t>
      </w:r>
      <w:r>
        <w:rPr>
          <w:rFonts w:ascii="Times New Roman" w:hAnsi="Times New Roman" w:cs="Times New Roman" w:eastAsia="Times New Roman"/>
          <w:i/>
          <w:color w:val="000000"/>
          <w:spacing w:val="0"/>
          <w:position w:val="0"/>
          <w:sz w:val="24"/>
          <w:shd w:fill="auto" w:val="clear"/>
        </w:rPr>
        <w:t xml:space="preserve">direitos</w:t>
      </w:r>
      <w:r>
        <w:rPr>
          <w:rFonts w:ascii="Times New Roman" w:hAnsi="Times New Roman" w:cs="Times New Roman" w:eastAsia="Times New Roman"/>
          <w:color w:val="000000"/>
          <w:spacing w:val="0"/>
          <w:position w:val="0"/>
          <w:sz w:val="24"/>
          <w:shd w:fill="auto" w:val="clear"/>
        </w:rPr>
        <w:t xml:space="preserve"> não são experimentados concretamente, funcionando meramente como aparelhos formais, totalmente não relacionados e afastados do vivenciado de fato pelos sujeitos no seu dia-a-dia social. Na tentativa de tentar entender como o fenômeno da reinserção social é vivenciado, nos deparamos com a seguinte questão: a reinserção depende de um movimento contrário e anterior – a exclusão. </w:t>
        <w:tab/>
        <w:t xml:space="preserve">Este tema é permeado por diversas definições e teorias, mas precisamos ter em mente que a exclusão só acontece porque o homem é um ser social, assim como nos demonstra Bomfim (2003):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O homem é um ser social, ou seja, necessita de um grupo de pessoas para orientar a vida coletiva. Esta ambiência em que o homem é mergulhado ao nascer perdura pelo resto de sua vida, condicionando sua conduta e influenciando seus atos e pensamentos para fazê-lo integrar ao meio social em que vive.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Sawaia (2006) apresenta a dialética exclusão/inclusão, advertindo para a complexidade e contrariedade que envolve este processo. </w:t>
      </w:r>
    </w:p>
    <w:p>
      <w:pPr>
        <w:spacing w:before="0" w:after="0" w:line="360"/>
        <w:ind w:right="0" w:left="0" w:firstLine="0"/>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ab/>
        <w:tab/>
        <w:tab/>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Em síntese a exclusão é um processo complexo e multifacetado, uma configuração de dimensões materiais, políticas, relacionais e subjetivas. É um processo sutil e dialético, pois só existe em relação à inclusão como parte constitutiva dela. Não é uma coisa ou um estado, é um processo que envolve o homem por inteiro e suas relações com os outros.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Escorel (1999) aborda esta ordem social desigual partindo do tema de dualidade da sociedade. A autora explica baseada nas obras de Telles (1994) e Lechner (1990), que esta dicotomia produz uma ordem social segmentada, onde, além de outros aspectos, o “bloqueio de perspectivas de futuro e a perda de um sentindo de pertinência em relação à vida social”, consequentemente causa um novo tipo de exclusão social. Porém, como ratifica Rattner (2006), a teoria dualista apresenta certa temerariedade: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 percepção dualista de exclusão e inclusão, como se fossem fenômenos polarizados e mundos separados, confunde a política com sentimentos de caridade; a cidadania com filantropia; e os direitos humanos com ajuda humanitária, o que leva, em última análise, à perda dos direitos de cidadania dos excluídos. [...] Trata-se de dois processos sociais com dinâmicas assimétricas e diferentes. Enquanto a inclusão social é produto de políticas públicas dirigidas concretamente para o resgate e a incorporação da população marginalizada, oferecendo condições e acesso à organização social, como produtores e consumidores, cidadãos com plenos direitos e senhores de seu destino, a exclusão é o resultado de uma dinâmica “perversa” de acumulação e reprodução do capital, cada vez mais aceleradas pela concentração de capitais no regime de mercados e espaços globalizados. A exclusão é inerente ao sistema capitalista, como fenômeno universal e inevitável, expandindo-se em ritmo e intensidade diferentes, ao acompanhar os ciclos de expansão e recessão da economia.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Xiberras (1993) detalha este processo: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seus valores não são reconhecidos e são ausentes ou excluídos do universo simbólico. Quando surgem, esses valores figuram como invertidos, atributos negativos que os situam na categoria dos estigmatizados, a categoria negativa.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São através dos vínculos sociais materiais e simbólicos que o indivíduo se sente pertencente ou não a um ambiente ou a uma identidade social positiva, conferindo (ou não) para cada indivíduo um lugar na sociedade. </w:t>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Existem, nestes vínculos, três níveis de interação: entre indivíduos e grupos sociais, entre grupos intermediários e entre estes grupos e a sociedade global (ESCOREL, 1999).  Atingindo o nível mais global, o de exclusão máxima, a sua identidade pessoal encontra-se despersonificada, mantendo condutas desviantes, impregnando-se com uma idéia estigmatizada sobre si próprio. O processo de exclusão, portanto, se edifica através de conceitos como desvio ou comportamento desviante e estigma.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Por desvio, Goffman (1988) define: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Começando com a noção muito geral de um grupo de indivíduos que compartilham alguns valores e aderem a um conjunto de normas sociais referentes à conduta e a atributos pessoais, pode-se chamar "destoante" a qualquer membro individual que não adere às normas, e denominar "desvio" a sua peculiaridade.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Becker (1977) foi quem propôs o conceito de desvio da regra social. Segundo ele, os grupos sociais estabelecem regras para lidar com questões tais como o meio ambiente, a história do grupo e seus valores, suas tradições e costumes. O intuito destas regras é que elas sejam adotadas e seguidas. As regras são elaboradas por grupos específicos, assim sendo, por cada um dos grupos que se inter-relacionam numa sociedade, definindo as situações sociais e os tipos de comportamento que lhes são adequados, especificando quais ações são "corretas" e quais são "erradas". Quando uma dessas regras sociais é desrespeitada, o membro responsável por esta infração será caracterizado como um desviante ou como possuidor de um comportamento desviante. Por meio desta teoria de comportamento desviante, Becker (1977) conclui que "o desvio não é uma qualidade do ato que a pessoa comete... mas uma conseqüência da aplicação por outras pessoas de regras e sanções a um 'transgressor'. O desviante é alguém a quem aquele rótulo foi aplicado com sucesso".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Partindo disto, torna-se mais simples a concepção do conceito estigma. Goffman (1988) abordou o tema como sendo uma maneira que a sociedade estabelece para categorizar seus membros (as pessoas) e todos os predicados encarados como comuns e naturais para os componentes de cada uma dessas categorias. Ele adiciona ainda uma dupla perspectiva encoberta pelo termo estigma: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Assume o estigmatizado que a sua característica distintiva já é conhecida ou é imediatamente evidente ou então que ela não é nem conhecida pelos presentes e nem imediatamente perceptível por eles? No primeiro caso, está-se lidando com a condição do desacreditado, no segundo com a do desacreditável. Esta é uma diferença importante, mesmo que um indivíduo estigmatizado em particular tenha, provavelmente, experimentado ambas as situações.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ab/>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Deste modo, o estigma pode ser encarado como um fator causador da exclusão social, como também a trajetória inversa é verdadeira. A relação entre desvio comportamental, o estigma e a exclusão social deve ser vista como um fluxograma circular onde as partes são independentes e se inter-relacionam.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Nossa proposta nesta pesquisa, portanto, foi a de identificar os anseios e as conturbadas experiências vividas pelos transexuais pós-redesignação sexual no que se refere à re-socialização, sugerindo a implementação de políticas de saúde pública no intuito de favorecer a readaptação e de impedir agravos psicossociais.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Objetivos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objetivo geral deste estudo é identificar a efetividade da reinserção social do transexual após a cirurgia de redesignação sexual. Os objetivos específicos são: contextualizar o processo de reinserção social pós-cirurgia de redesignação sexual; observar e identificar os enfrentamentos biopsicossociais advindos de sua nova identidade sexual.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observação, identificação e analise do complexo processo enfrentado após a cirurgia de redesignação sexual permitirá o reconhecimento e preenchimento de lacunas assistenciais, favorecendo a reinserção destes indivíduos em sociedade sem danos psicossociais. Pela complexidade do tema estudado e pelos agravos e prejuízos a que se encontram expostos os transexuais, o presente artigo buscou compreender a dinâmica da reinserção social para que se pudesse, num futuro próximo, criar mecanismos que evitem a exclusão do transexual da vida em sociedade.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Metodologia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Em nosso estudo optamos por realizar uma pesquisa qualitativa, fenomenológica, descritiva, não-experimental, pautada em estudos de campo, por meio de auto-relatos mediados por entrevistas não-estruturadas. O referencial conceitual utilizado foi o Modelo de Sistemas Comportamentais, proposta em 1959 por Dorothy Johnson. Este modelo volta seu olhar para o sistema comportamental do paciente, os seus subsistemas e seu ambiente. Foram entrevistados cinco transexuais que realizaram a cirurgia de redesignação sexual e o cenário da pesquisa foi o ambulatório de acompanhamento endocrinológico aos usuários redesignados sexualmente no Instituto Estadual de Diabetes e Endocrinologia Luiz Capriglione – IEDE, no Rio de Janeiro.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Resultados da pesquisa e discussão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Tendo como enfoque principal de nosso estudo a compreensão do fenômeno da reinserção social do transexual a partir da cirurgia de redesignação de sexo assim como uma leitura de suas percepções sobre este processo, realizamos nossa análise com base nas respostas apresentadas para as seguintes questões norteadoras: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Dados de gerais - nome adotado; idade; escolaridade; naturalidade; profissão; identificação sexual/gênero; data da cirurgia.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Infância - início da identificação com o gênero oposto; postura dos pais em relação à sexualidade; relação com os pais e familiares próximos; escola.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Adolescência - escola; relações interpessoais e afetivas.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 Transformação do corpo - significado; importância pessoal; importância social.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 Expectativas com o tratamento hormonal e cirúrgico.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 Tratamento - hormonal (medicamentos e período de utilização); cirúrgico (ano da intervenção e período de espera); “prova real de vida” (perspectivas, sentimentos e dificuldades); recuperação pós-cirúrgica.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Entendimento sobre o transexualismo.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 Relação atual com os pais e familiares próximos.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Relacionamentos interpessoais atuais.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 Relações sexuais e afetivas atuais.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11. Relações profissionais.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 Escolha do nome - aceitação familiar; motivação para escolha do referido nome.</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13. Preconceito, manifestações de violência física ou verbal e discriminação - pré e pós- transgenitalização.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14. Vida social - enfrentamento de problemas; aceitação social.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15. Contemplações acerca das expectativas da transgenitalização.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O contato inicial com os sujeitos da pesquisa ocorreu individualmente no próprio ambulatório supracitado mediante a exposição, a explicação do objeto de estudo e assinatura do termo de consentimento livre e esclarecido.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sexo biológico de nascimento de todos os entrevistados era o masculino e todos autorizaram a utilização do seu nome feminino neste estudo. A faixa etária está compreendida entre 28 e 42 anos.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Quanto à escolaridade, duas possuem o segundo grau completo, uma está concluindo o segundo grau, uma possui nível superior e a outra apenas o primeiro grau completo. Todas possuem profissões que usualmente são exercidas em regime autônomo: uma é artista plástica, uma é empresária (dona de uma loja de roupas femininas), uma é costureira e atriz amadora, uma é cozinheira e a outra é designer.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Com relação ao tempo de permanência no Programa Terapêutico que antecede a transgenitalização oscilou entre três e seis anos. De acordo com as normas para a realização da cirurgia, o período mínimo no programa e, mais especificamente na “prova real de vida”, é de dois anos, visto que é justamente nesta etapa que o candidato enfrentará situações diversas ao experimentar a vida social de acordo com o gênero de opção.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Assim, o aspirante será capaz de refletir os impactos, as dificuldades, os prejuízos ou benefícios da mudança sexual, além de prover para equipe interdisciplinar de saúde, mais subsídios para analisar a tomada de decisão quanto à realização ou não da transgenitalização.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entrevista foi realizada entre um a dois anos após a realização do procedimento cirúrgico de cada participante deste estudo. Esta não foi uma condição imposta pela pesquisa, visto que a amostra foi selecionada aleatoriamente. No entanto acreditamos que o tempo médio entre a trangenitalização e a realização deste estudo foi importante para que pudéssemos avaliar o início da reinserção social do entrevistado.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Ao serem questionados quanto ao o início da percepção de pertencimento ao sexo feminino, os sujeitos da pesquisa relataram que se deu, em sua maioria, na fase da infância.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“Aos 9 anos já me sentia estranho, me sentia um monstro até os 19 anos, pois a descoberta me trazia uma sensação de estranheza. Não entendia porque eu era estranha.”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“Desde criança... vestia as roupas da minha mãe... adorava os saltos dela... (risos). Para mim sempre fui mulher.”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Somente uma das entrevistadas relatou que a identificação com o sexo oposto se deu no início da adolescência: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“Comecei a me ver como mulher, a me achar uma menina na adolescência, quando eu achava tudo que menino fazia muito chato. Eu gostava de ir para cozinha, de arrumar a casa, de passar os cremes da minha irmã. Jogar bola para mim sempre foi uma agressão (risos).” (Jaqueline, 28 anos)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Quando questionadas sobre a postura dos pais na época de sua descoberta da identificação com o gênero feminino, procuramos categorizar a aceitação dos responsáveis legais perante a sexualidade e o comportamento demonstrado, classificando-os em três graus: aceitação total, aceitação com reservas e rejeição.  Feito isto, com base nos depoimentos abaixo transcritos, constatamos que duas entrevistadas se enquadravam no grau de aceitação total (entrevistada Janaína e Alyanna); duas vivenciaram uma aceitação com reservas (Joana e Jaqueline) e a outra sofreu rejeição por parte dos envolvidos (Shirley).</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“Não fui criada com os meus pais. Meu avô sabia que alguma coisa acontecia... nunca comentou o assunto... entendia do jeito dele e nunca houve problemas por isso... mesmo quando me comportava, me vestia e falava como menina. Minhas irmãs sempre me aceitaram muito bem, mesmo na infância.”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“Meu pai implicava muito comigo, mas a minha mãe tentava acalmar os ânimos, me acalmar... mas ele (o pai) era fogo. E sabe o que aconteceu? Nada... não mudei!” (Jaqueline, 28 anos)</w: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“Sempre tentaram me fazer ver os dois lados. Não me forçavam a fazer nada, mas me pediam para experimentar fazer coisas como menino.” (Alyanna, 36 anos)</w: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“Viviam brigando comigo... tinha vezes que ficavam mais de uma semana sem falar comigo. Ficava de castigo e o meu pai chegou a me expulsar de casa antes de morrer.” (Shirley, 42 anos)</w: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“Fui criada só pela minha mãe que era costureira. Ela deixava eu ajudar na costura... eu costuro desde garotinha....mamãe dizia que um dia eu ia ser famoso. Ela não brigava nem implicava comigo... mas as vezes, quando eu falava que era uma menina ela dizia: você não é bichinha....pára com isso, meu filho!”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Ao analisarmos estas narrativas, apoiados em Foucault (2004), percebemos que muito mais constrangedor para os pais é o comportamento social adotado pela criança ou adolescente ao se portar e ter atitudes divergentes do sexo biológico de nascimento, se mostrando mais importante até do que a própria condição que os envolvidos estavam enfrentando. Sendo assim, estes familiares que não aceitavam, ou ainda aceitavam com restrições, tentavam impor o controle sobre o corpo e a conduta do transexual. E, como explica o autor, a sociedade exerce habitualmente este tipo de poder, chamado por ele de disciplina.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Esses métodos que permitem o controle minucioso das operações do corpo, que realizam a sujeição constante de suas forcas e lhes impõem uma relação de docilidade-utilidade, são o que podemos chamar as ‘disciplinas’. Muitos processos disciplinares existiam há muito tempo: nos conventos, nos exércitos, nas oficinas também. [...] Uma ‘anatomia política’, que é também igualmente uma ‘mecânica do poder’, está nascendo; ela define como se pode ter domínio sobre o corpo dos outros, não simplesmente para que façam o que se quer, mas para que operem como se quer, com as técnicas, segundo a rapidez e a eficácia que se determina.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Esta relação de poder é percebida também nas relações parentais vivenciadas pelas entrevistadas. Mesmo naqueles núcleos familiares em que a sexualidade era aceita plena ou parcialmente, quando se tratava de parentes e outros familiares mais distantes, que não os pais ou responsáveis, a tentativa de coerção através da disciplina é, freqüentemente identificada na fala dos sujeitos.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“Eles só me criticavam, falavam que eu era estranha, que era uma bichinha (referindo-se à homossexualidade).” (Jaqueline, 28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“Com o resto da família era aquele afastamento!” (Alyanna, 36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Na fala da entrevistada Shirley, fica muito explícita a idéia, considerada ainda por muitos e aqui representada pela atitude de seus tios, da reprodução de comportamentos, costumes e sentimentos gerados pela convivência social e até mesmo pela exclusão social, neste caso, simulada pela ‘brincadeira’ entre primos.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“Os outros (os familiares) não me entendiam e só criticavam minhas brincadeiras. Meus tios não me deixavam que brincar com os meus primos por tinham medo deles ficarem afeminados também.” (Shirley, 42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Este comportamento é explicado por Bourdieu (2007) como o “espaço dos estilos de vida”: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 divisão em classes operada pela ciência conduz à raíz comum das práticas classificáveis produzidas pelos agentes e dos julgamentos classificatórios emitidos por eles sobre as práticas dos outros ou suas próprias práticas: o </w:t>
      </w:r>
      <w:r>
        <w:rPr>
          <w:rFonts w:ascii="Times New Roman" w:hAnsi="Times New Roman" w:cs="Times New Roman" w:eastAsia="Times New Roman"/>
          <w:i/>
          <w:color w:val="000000"/>
          <w:spacing w:val="0"/>
          <w:position w:val="0"/>
          <w:sz w:val="20"/>
          <w:shd w:fill="auto" w:val="clear"/>
        </w:rPr>
        <w:t xml:space="preserve">habitus</w:t>
      </w:r>
      <w:r>
        <w:rPr>
          <w:rFonts w:ascii="Times New Roman" w:hAnsi="Times New Roman" w:cs="Times New Roman" w:eastAsia="Times New Roman"/>
          <w:color w:val="000000"/>
          <w:spacing w:val="0"/>
          <w:position w:val="0"/>
          <w:sz w:val="20"/>
          <w:shd w:fill="auto" w:val="clear"/>
        </w:rPr>
        <w:t xml:space="preserve"> é, com efeito, </w:t>
      </w:r>
      <w:r>
        <w:rPr>
          <w:rFonts w:ascii="Times New Roman" w:hAnsi="Times New Roman" w:cs="Times New Roman" w:eastAsia="Times New Roman"/>
          <w:i/>
          <w:color w:val="000000"/>
          <w:spacing w:val="0"/>
          <w:position w:val="0"/>
          <w:sz w:val="20"/>
          <w:shd w:fill="auto" w:val="clear"/>
        </w:rPr>
        <w:t xml:space="preserve">princípio gerador</w:t>
      </w:r>
      <w:r>
        <w:rPr>
          <w:rFonts w:ascii="Times New Roman" w:hAnsi="Times New Roman" w:cs="Times New Roman" w:eastAsia="Times New Roman"/>
          <w:color w:val="000000"/>
          <w:spacing w:val="0"/>
          <w:position w:val="0"/>
          <w:sz w:val="20"/>
          <w:shd w:fill="auto" w:val="clear"/>
        </w:rPr>
        <w:t xml:space="preserve"> de práticas objetivamente classificáveis e, ao mesmo tempo, </w:t>
      </w:r>
      <w:r>
        <w:rPr>
          <w:rFonts w:ascii="Times New Roman" w:hAnsi="Times New Roman" w:cs="Times New Roman" w:eastAsia="Times New Roman"/>
          <w:i/>
          <w:color w:val="000000"/>
          <w:spacing w:val="0"/>
          <w:position w:val="0"/>
          <w:sz w:val="20"/>
          <w:shd w:fill="auto" w:val="clear"/>
        </w:rPr>
        <w:t xml:space="preserve">sistema de classificação (principium divisionis)</w:t>
      </w:r>
      <w:r>
        <w:rPr>
          <w:rFonts w:ascii="Times New Roman" w:hAnsi="Times New Roman" w:cs="Times New Roman" w:eastAsia="Times New Roman"/>
          <w:color w:val="000000"/>
          <w:spacing w:val="0"/>
          <w:position w:val="0"/>
          <w:sz w:val="20"/>
          <w:shd w:fill="auto" w:val="clear"/>
        </w:rPr>
        <w:t xml:space="preserve"> de tais práticas. Na relação entre as duas capacidades que definem o </w:t>
      </w:r>
      <w:r>
        <w:rPr>
          <w:rFonts w:ascii="Times New Roman" w:hAnsi="Times New Roman" w:cs="Times New Roman" w:eastAsia="Times New Roman"/>
          <w:i/>
          <w:color w:val="000000"/>
          <w:spacing w:val="0"/>
          <w:position w:val="0"/>
          <w:sz w:val="20"/>
          <w:shd w:fill="auto" w:val="clear"/>
        </w:rPr>
        <w:t xml:space="preserve">habitus</w:t>
      </w:r>
      <w:r>
        <w:rPr>
          <w:rFonts w:ascii="Times New Roman" w:hAnsi="Times New Roman" w:cs="Times New Roman" w:eastAsia="Times New Roman"/>
          <w:color w:val="000000"/>
          <w:spacing w:val="0"/>
          <w:position w:val="0"/>
          <w:sz w:val="20"/>
          <w:shd w:fill="auto" w:val="clear"/>
        </w:rPr>
        <w:t xml:space="preserve">, ou seja, a capacidade de produzir práticas e obras classificáveis, além da capacidade de diferenciar e apreciar essas práticas ou produtos (gosto), é que se constitui o </w:t>
      </w:r>
      <w:r>
        <w:rPr>
          <w:rFonts w:ascii="Times New Roman" w:hAnsi="Times New Roman" w:cs="Times New Roman" w:eastAsia="Times New Roman"/>
          <w:i/>
          <w:color w:val="000000"/>
          <w:spacing w:val="0"/>
          <w:position w:val="0"/>
          <w:sz w:val="20"/>
          <w:shd w:fill="auto" w:val="clear"/>
        </w:rPr>
        <w:t xml:space="preserve">mundo social representado</w:t>
      </w:r>
      <w:r>
        <w:rPr>
          <w:rFonts w:ascii="Times New Roman" w:hAnsi="Times New Roman" w:cs="Times New Roman" w:eastAsia="Times New Roman"/>
          <w:color w:val="000000"/>
          <w:spacing w:val="0"/>
          <w:position w:val="0"/>
          <w:sz w:val="20"/>
          <w:shd w:fill="auto" w:val="clear"/>
        </w:rPr>
        <w:t xml:space="preserve">, ou seja, o </w:t>
      </w:r>
      <w:r>
        <w:rPr>
          <w:rFonts w:ascii="Times New Roman" w:hAnsi="Times New Roman" w:cs="Times New Roman" w:eastAsia="Times New Roman"/>
          <w:i/>
          <w:color w:val="000000"/>
          <w:spacing w:val="0"/>
          <w:position w:val="0"/>
          <w:sz w:val="20"/>
          <w:shd w:fill="auto" w:val="clear"/>
        </w:rPr>
        <w:t xml:space="preserve">espaço dos estilos de vida.</w:t>
      </w:r>
      <w:r>
        <w:rPr>
          <w:rFonts w:ascii="Times New Roman" w:hAnsi="Times New Roman" w:cs="Times New Roman" w:eastAsia="Times New Roman"/>
          <w:color w:val="000000"/>
          <w:spacing w:val="0"/>
          <w:position w:val="0"/>
          <w:sz w:val="20"/>
          <w:shd w:fill="auto" w:val="clear"/>
        </w:rPr>
        <w:t xml:space="preserve">”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Aos serem questionadas quanto ao relacionamento social durante a fase escolar na infância, percebemos uma familiaridade nas experiências das entrevistadas. Todas informaram ter sido um período de grande confusão e discriminação.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“Sofri muito com as piadas. Acabava sempre chorando. Todos me chamavam de mariquinhas porque eu só queria brincar com coisas de menina.”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"Na escola sofri muito. Não me aceitavam... eu era diferente mesmo antes de descobrir o que acontecia comigo.” (Jaqueline, 28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"Ihhh... muito complicado. Não sei como consegui passar de ano. Muita piada, agressão verbal, preconceito... sofri muito". (Alyanna, 36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"Me isolei de todo mundo nessa época. Devia ter uns 10 ou 11 anos e só ficava sozinha no recreio. Ficava com meu mundinho imaginário onde eu era uma menina e brincava com as outras meninas. Fazia meus lápis e canetas de boneca... imaginava isso no recreio todo e brincava quietinha com elas." (Shirley, 42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“Na escola era tratada como uma criança problemática. Sofri discriminação até por parte dos professores. Como eu tinha o cabelo lisinho e comprido, corpinho alongado e afeminado, jeitinho de menina, era motivo de piada dos colegas e de broncas dos professores que me mandavam agir feito menino. Foi bem chato... eu não entendia que por nascer com um ‘bilauzinho’ (referindo-se ao pênis) e nome de menino, que eu tinha que ser menino, já que eu nunca fui menino... eu nasci menina. Gente, mas era muito difícil para minha cabeça tentar entender a cabeça dos outros. Se eu era menina, e eu sentia isso, porque implicavam comigo?"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Nos relatos feitos por Shirley referentes à sua relação com os pais e familiares durante a adolescência, verificamos o mesmo padrão de ocorrência:</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“Era o grupo dos esquisitos, como minha mãe falava. Mas eles eram ótimos. Apesar de sermos meio esquisitos, nunca usamos drogas, nunca bebíamos... só éramos diferentes. Não éramos todos transexuais, homossexuais, não é isso... só que gostávamos de ouvir música, falar de moda, de revistas, dessas coisa que eram muito modernas para a época... Na verdade só eu tinha um problema com a sexualidade, com o sexo de nascimento... duas delas estão casadas, com filhos, um deles casou também e a outra é minha sócia na nossa boutique.” (Shirley, 42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entrevistada explica ainda que possuía pouquíssimos colegas e que só no final da adolescência foi ter um grupo de amigos que a entendiam.</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“Muito complicado o relacionamento na escola durante o período de adolescência. Faltava muito as aulas e só concluí os estudos pois era muito inteligente. Tive uma professora que era minha única amiga. Foi ela que me fez passar de ano... ela me falava que eu tinha que passar, que estudar, para provar que eu não era um esquisito, como todos pensavam. Ela chegava a estudar comigo no recreio e nas horas vagas na escola. Mas eu faltava muito... e ela brigava comigo e dizia que quando eu fazia isso eu estava prejudicando só a mim, a mais ninguém. Foi ela que conversou um pouco com os meus pais. Foi difícil porque eles eram sem estudo, não entendiam bem, mas ela dizia que se eles não queriam que eu fosse um marginal, que era para eles não implicarem tanto com o meu jeito." (Shirley, 42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Continuando a análise das últimas falas de Shirley, especialmente onde a mesma explica o relacionamento com seus tios, podemos verificar outra característica sociocultural existente e ainda presente nos dias atuais: a dominação masculina. Mais uma vez, com imensa propriedade, Bourdieu (1999) assinala a questão: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“Também sempre vi na dominação masculina, e no modo como é imposta e vivenciada, o exemplo por excelência desta submissão paradoxal, resultante daquilo que eu chamo de violência simbólica, violência suave, insensível, invisível as suas próprias vítimas, que se exerce essencialmente pelas vias puramente simbólicas da comunicação e do conhecimento, ou, mais precisamente, do desconhecimento, do reconhecimento ou, em última instância, do sentimento.</w:t>
      </w:r>
      <w:r>
        <w:rPr>
          <w:rFonts w:ascii="Times New Roman" w:hAnsi="Times New Roman" w:cs="Times New Roman" w:eastAsia="Times New Roman"/>
          <w:i/>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Essa relação social extraordinariamente ordinária oferece também uma ocasião única de apreender a lógica da dominação, exercida em nome de um princípio simbólico conhecido e reconhecido tanto pelo dominante quanto pelo dominado, de uma língua (ou uma maneira de falar), um estilo de vida (ou uma maneira de pensar, de falar ou de agir) e, mais geralmente, de uma propriedade distintiva, emblema ou estigma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Esta relação de dominação masculina, como denomina Bourdieu, também pode ser verificada no depoimento de outra entrevistada ao relatar como era seu convívio com os três irmãos mais velhos durante a adolescência: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“Tinha poucos amigos. Meus irmãos eram meus colegas dentro de casa. Mas na rua? Não... não podia ser vista com eles... (risos). Um deles já faleceu, entrou para o crime... e era o mais tranquilo. Mas a falta de dinheiro faz isso né... os outros estão casados... nos dávamos bem... mas brigávamos muito também... eles não me aceitavam direito na frente dos colegas." (Joana, 37 anos)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Na questão referente a transformação do corpo e de suas representações sociais, procuramos entender o significado da modificação física para os sujeitos da pesquisa.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“Sensação de plenitude comparada à maternidade. Sentia que estava em um corpo estranho, que não era eu. Eu era muito ansiosa antes da cirurgia, justamente por estes motivos (refere-se a sua altura, sua voz e sua genitália masculina). Nasci mulher, me sinto mulher e agora vou me ver mulher.”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“Foi tudo na minha vida. Hoje sou livre !! A transformação afetou tudo em mim. Acalmou minha mente. Hoje eu sou mais tranqüila, me aceito e aceito os outros. Respeito! Isso foi a principal transformação. As pessoas me tratam pelo que enxergam, não mais pelo que imaginam o que é.” (Jaqueline, 28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“Consertar um erro. Para mim foi isso! Poder me olhar no espelho, por andar pelada quando estou com meu namorado, poder ir a praia... poder ser completa e feliz. Significou a minha auto-afirmação. Agora digo: sou mulher, quer ver ?!!? (Faz gestos imitando os homens quando são questionados a respeito de sua sexualidade que colocam a mão sobre o seu órgão sexual como tentativa de provar sua masculinidade).” (Alyanna, 36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“Não tem explicação! Me sinto livre. Meu corpo encontrou minha personalidade. Finalmente! Para mim o mais importante foi me aceitar. Porque eu não me aceitava tendo pênis. Não adiantava, eu não me aceitava daquele jeito. Acho que foi a minha libertação. Sabe... me sinto mais segura para lidar com os outros, afinal agora estou com o corpo que condiz com a minha personalidade." (Shirley, 42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“Para mim significava mostrar para mim mesma e para os outros o que eu era de verdade. Sempre fui vaidosa e com o corpo muito feminino e bonito, só faltava tirar aquilo... (risos). Poder me olhar no espelho e ver que meu defeito tinha sido consertado. Não tem gente com nariz grande ? Então... eu tinha um defeito também, que também tinha que ser consertado. Para mim o melhor foi me sentir mais livre e segura. Ah, e poder namorar também... (risos)"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que pudemos apurar através dos seus relatos foi o valor atribuído à modificação corporal como ferramenta de auto-identificação e aceitação, além da sensação de liberdade e segurança obtida após a terapia hormonal e a cirurgia de transgenitalização. De fato, os sentimentos mais referidos pelas entrevistadas foram o de liberdade, seguido de plenitude e felicidade.</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Verificamos, no entanto, que a terapia hormonal desempenha um papel fundamental, mas que, no entanto, não é capaz de fornecer o mesmo sentimento de plenitude como o oferecido pela intervenção cirúrgica. Observando os relatos, percebemos que as expectativas foram superadas para todas as entrevistadas.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“Sempre tive aparência de menininha, mas os hormônios ajudaram a ficar com o corpo mais feminino. Com a cirurgia eu não tinha muitas expectativas... não ficava pensando muito em como ia ficar... eu só não queria ter o pênis... (risos). Ficou bem melhor do que eu queria!”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“Eu esperava que os remédios (referindo-se à terapia hormonal) mudassem a minha voz, a única coisa que me incomodava além do pênis. Porque sempre fui gordinha, então os peitos disfarçavam, mas a voz... nossa, era terrível. Esperava tirar aquilo de mim... (risos) e poder ter um relacionamento saudável. Porque com o pênis não era bom, eu sempre achava que estavam comigo só pela sacanagem, sabe?! E eu não sou gay, então me fazia muito mal. Só tive um namorado que realmente me via como mulher antes da cirurgia... os outros? Só me viam como um homossexual.” (Jaqueline, 28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“Eu queria que meus seios crescessem. Cresceram pouco... então coloquei silicone e hoje estão como eu queria: pequenos e femininos. Com a cirurgia eu esperava me livrar daquela coisa. E consegui! Foi a melhor escolha que fiz. Sim....foi uma escolha: vivar como mulher com o pênis em mim ou entrar numa cirurgia que é relativamente nova. Eu escolhi por ser completa! Expectativas superadas: minha vida agora é outra!” (Alyanna, 36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“Não esperava muita coisa... mas coisas que eu não esperava que fossem acontecer... a voz, os seios, a pele, o cabelo... tudo ficou ainda melhor. Esperava arrancar aquele defeito que eu tinha (referindo-se ao pênis) e ainda ganhei uma neo-vagina. Ficou ótimo. Melhor do que eu imaginava!” (Shirley, 42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“Eu já tinha corpo e forma de mulher, mas meus seios... Eu queria que eles se desenvolvessem... e ficaram bem melhores. Nem precisei de silicone. Minha expectativa com a cirurgia era a de consertar o meu defeito. E consertei. Ficou melhor que eu imaginava.”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Durante a entrevista, achamos importante conhecer o processo da prova real de vida, etapa pela qual todos os candidatos à intervenção cirúrgica devem passar. Notamos que este período não ofereceu dificuldades para as entrevistadas, pois a maioria já vivia exclusivamente como mulher ao ser admitida no programa terapêutico. Somente uma das entrevistadas alternava sua aparência antes da prova real de vida, conforme explica: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“Vivia em dois mundos. No trabalho tinha que ser o homem, com roupas de homem. Fora dele eu era a Alyanna. Andava sempre com uma bolsa de viagem... (risos)... sempre com minhas roupas de mulher para depois do trabalho ir para a universidade.” (Alyanna, 36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Outra percepção que pudemos obter em nossa pesquisa foi a de que a vontade em realizar a cirurgia não estava diretamente relacionada à necessidade de satisfação sexual, ou seja, da obtenção de prazer através de relações sexuais. Este fato ficou bem claro nos relatos acima, porém, identificamos que após a transgenitalização, todas as entrevistadas experimentaram satisfação em suas relações sexuais com seus parceiros. O primeiro ato sexual ocorreu entre três e seis meses após a intervenção. Todas relataram uma recuperação pós-cirúrgica muito tranquila e sem problemas.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“Chorei durante o sexo... de emoção por sentir meu marido pela primeira vez com minha neo-vagina. Depois disse ao meu cirurgião: o senhor não me deu a vida porque não é Deus; não me deu a felicidade porque nem Deus dá; mas me deu a liberdade.”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“Foi a melhor coisa que poderia ter acontecido. E eu nem esperava por isso antes. Tive prazer como mulher que sempre fui.” (Jaqueline, 28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Observamos que todas as entrevistadas possuem claramente o entendimento acerca do que é a transexualidade. Analisando suas falas notamos que todas possuem a certeza de que o transexual é “um ser humano normal com um órgão sexual que não condiz com a sua essência” (Alyanna, 36 anos), ou ainda, “é uma coisa de natureza... você não é daquele sexo que você nasceu. Você anda, fala, come, sente e pensa como uma pessoa do sexo oposto” (Jaqueline, 28 anos).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Quando questionadas sobre seus relacionamentos atuais com os familiares, seus relacionamentos sociais e afetivos obtivemos as seguintes respostas: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“Meu relacionamento com a família é ótimo. O social também. Onde moro agora (em outro município) ninguém conhece minha história... todos acham que sempre fui assim... mulher... e com vagina!! Com meu marido também, é super normal.”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“Com os familiares não mantenho nenhuma relação, a não ser com a mãe e a irmã (que é sua melhor amiga). Tenho poucos amigos, mas estou bem assim. Hoje, socialmente sou tratada como mulher por todos, desde que não saibam da cirurgia. Meu namorado foi o único que sempre me tratou como mulher. Pensamos em casar. E queremos trazer a filha dele para visitas, mas a mãe dela não deixa... estamos tentando.” (Jaqueline, 28 anos) </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“Mais normal do que muitas famílias... (risos). Tenho amigos e namorado. Mas ainda enfrento problemas com a documentação. Meu namorado diz: você é uma mulher...seria um pecado se não existisse a cirurgia!” (Alyanna, 36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“O meu pai faleceu quando eu ainda era adolescente, mas sem aceitar minha condição. A minha mãe é bem idosa, ainda me chama pelo nome de batismo e diz que é uma palhaçada essa coisa de andar vestido de mulher. Como ela é muito velhinha ainda mora comigo e não aceita o meu namorado. Mas não posso abandoná-la. Só tem eu de filha e minha família toda mora no interior. Então vou levando e ela também. Tenho amigos que sabem da cirurgia e que não me criticam. Os meus amigos e clientes da loja me aceitam como eu sou, me tratam como mulher. Namoro há 8 anos o mesmo homem, que foi o meu segundo namorado. No primeiro relacionamento tive relações sexuais anais e me sentia ‘sujo’. Não gostava daquilo e por isso terminou. Conheci meu atual ‘namorido’ (referindo-se à namorado-marido) e não tinha relações sexuais anais. Nosso sexo era só masturbação e sexo oral... não deixava ele tocar o meu pênis e eu fazia de tudo, menos sexo anal. Estamos juntos até hoje e o nosso sexo é maravilhoso (referindo ao sexo neo-vaginal)... só não nos casamos e moramos juntos porque tenho que cuidar da minha mãe. Mas passo 3 dias da semana na casa dele. Ele se mudou para a mesma rua que eu, então nos vemos todos os dia.” (Shirley, 42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“Minha mãe morreu antes da cirurgia. Meus irmãos hoje se dão muito bem comigo, frequentamos a casa um dos outros... sou madrinha dos meus sobrinhos... amiga das minhas cunhadas. O mais velho fala que se soubesse que eu ia ser uma irmã tão boa, não tinha implicado comigo antes... (risos). Socialmente meus relacionamentos são normais... com conflitos como qualquer outra pessoa. Atualmente não estou namorando, Atualmente não está namorando. Terminei um relacionamento de 3 anos por ciúmes dele. Sou muito ciumenta, mas era pior antes da cirugia. Não podia ver uma mulher bonita... e olha que sei que sou linda... mas eu já achava que ele estava olhando e que ia me trocar só porque ela tinha uma vagina. Mesmo depois que operei ficava nessa neurose de achar que ele ia me trocar só porque ele me conheceu antes da cirurgia e sabia que eu tive um pênis algum dia. Por causa dos ciúmes que eu tinha, acabamos terminando. Mais ainda o amo e respeito muito. Ele sempre esteve ao meu lado.”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Como se pode observar, especialmente no relato da entrevistada Janaína, a reinserção social ainda é complicada, sendo em sua maior parte, facilitada à partir do momento que estas relações interpessoais ocorrem com sujeitos que desconhecem  a identificação sexual de nascimento dos envolvidos. A própria Janaína nos confidencia que seu atual marido não sabe completamente de sua história: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“Ele pensa que eu nasci hermafrodita e por isso meu nome de registro é masculino. Essa foi a história que contei, alegando que a cirurgia de retirada do pequeno órgão sexual masculino que eu possuía, juntamente com o feminino, só ocorreu na minha vida adulta.” (Janaína, 34 anos)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tab/>
        <w:t xml:space="preserve">As entrevistadas relataram constantemente a dificuldade e o constrangimento sofrido quando são solicitadas a apresentarem documentos de identificação, principalmente no campo profissional.</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“Sou cozinheira e cozinho muito bem, inclusive cardápio de alto nível. Foi difícil conseguir o meu emprego atual. Fui selecionada como mulher e quando pediram os documentos não queriam mais me contratar. Pedi para chamarem o dono, depois da prova (teve que cozinhar alguns pratos típicos de botequim e cozinha nordestina). Quando ele chegou eu pedi que ele me ouvisse e que provasse minha comida. Ele adorou... e perguntou qual era o problema de eu estar chorando... aí a menina que estava fazendo a seleção, que era gerente na época, explicou... e ele disse que eu estava contratada assim mesmo. Trabalho lá até hoje". (Jaqueline, 28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“Quando tenho que fazer as compras, tenho que acionar a minha sócia, minha amiga há muitos anos. Não posso chegar nas lojas lá em São Paulo e realizar a compra sozinha... ela tem que ir por mim para assinar... porque eu chego lá, entendendo de moda, uma perfeita mulher, e na hora de assinar o cheque da empresa eu assino fulano (referindo-se ao seu nome de registro). Então ela sempre assina ela empresa... eu cuido da marca, dos ‘looks’, da escolha das peças, das fotos... enfim, da moda mesmo... e ela cuida da parte administrativa e financeira. Tem dado muito certo nossa parceira. Já temos a loja há 5 anos e agora estamos pensando em abrir uma filial.” (Shirley, 42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“Como costureira nunca tive nenhum problema. Como atriz... aiaiai... estou começando no teatro, é difícil porque muitas vezes, por saber que eu sou operada, só me chamam para peças eróticas. Não aceito. Não adianta... nem por qualquer dinheiro do mundo. Faço isso porque realmente gosto da profissão... e dinheiro eu já ganho bem com minha costura. Faço shows musicais também... muitas vezes me passando por travesti. São shows em casas de espetáculo, direcionado aos turistas. Mas sem pornografia... faço shows de samba, como mulata, sabe... danço muito bem".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Outro ponto importante em nossa pesquisa foi a constante referência das entrevistadas aos preconceitos e discriminações sofridas. Pudemos concluir que todas, de alguma maneira, sofreram este estigma e, continuam sofrendo até os dias de hoje. Observemos os relatos: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“Antes da cirurgia os homens que eu conhecia só me queriam para sexo. Depois ficou tudo melhor. Só enfrento problemas no que diz respeito à documentação.” (Janaína, 34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“Sofri discriminação, manifestações de preconceito e agressividade física de meu pai e de um ex-namorado que me agrediu porque eu queria fazer a cirurgia. Ele disse que gostava de mim como ‘bichinha’ e que se eu fosse mesmo procurar a cirurgia eu estava morta. Me bateu muito, mas me livrei dele no dia seguinte. Sumi da vida dele. Quem me conhece depois do tratamento sem saber, me trata normalmente. Mas quando sabem... ou quando pedem a identidade, minha paz acaba. Mas estou mais calma, sem ficar tão deprimida como antes. Vivia deprimida, mas depois do tratamento tudo melhorou. Agora são só fases de depressão. Meu namorado e minha irmã dizem que é como se fosse uma TPM... (risos)... normal em qualquer mulher” (Jaqueline, 28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“O acompanhamento psicológico após a cirurgia é essencial para que nós possamos enfrentar o preconceito. Sem ele muitos transexuais já teriam cometido o suicídio. Sinto pena por nem todos poderem ter este tipo de tratamento... eu pude graças aos meus pais que possuíam uma situação financeira boa. Sempre tenho problemas quando tenho que apresentar meus documentos. Fora isso, no meu meio (referindo-se ao meio profissional) não tenho problemas e sou muito bem aceito.” (Alyanna, 36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“Sofri muito preconceito, discriminação e agressão verbal antes da cirurgia. Meu pai me deu várias surras... (chora)... me chamava de vários nomes......foi horrível! No médico por exemplo. Vou ao oftalmologista e tenho que dizer que sou transgenitalizada, senão eles não entendem. Isso é constrangedor... fico sempre arrasada. Acho que esta pesquisa de vocês vai nos ajudar... assim a sociedade vai entender que não somos bichos... que não somos pervertidos... que somos seres humanos. Acho que isso devia ser mais divulgado, através da mídia, através dos médicos, através de estudos... nós temos que ter voz. Enquanto não dissermos ao mundo quem somos, ninguém vai saber. Também é muito fácil nós (transexuais) criticarmos os outros, mas veja bem... ninguém nasce sabendo... se a sociedade não for informada, corretamente sobre o que é o transexualismo, eles nunca vão entender. E vai continuar essa história... de dizer que o SUS não tem que pagar pela cirurgia... só fala isso quem não entende o que sofremos. Quando eles souberem a nossa história, a nossa realidade, com certeza não vão haver mais esses tipos de discriminações!” (Shirley, 42 anos)</w:t>
      </w: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“Sofri preconceito na adolescência, mas nunca violência e agressão verbal ou física. Por diversas vezes sou chamada para atuar em peças de teatro erótica, só por causa da sua cirurgia. É curiosidade em ver como ficou, sabe! A aceitação social só é problema quando pedem minha documentação. Eu entendo o espanto dos outros quando olham minha identidade.” (Joana, 37 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Mediante todas as informações obtidas através do conteúdo colhido nos relatos durante as entrevistas, fomos capazes, de apresentar nossas considerações finais no próximo capítulo.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Conclusões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 desenvolvimento de nossa pesquisa, fomos capazes de compreender que a transexualidade é sobressaltada especialmente por não se enquadrar nos arquétipos de gênero e sexualidade estabelecidos pela sociedade. Os transexuais demonstram a necessidade constante de se afirmar socialmente como seres humanos. Isto nos intriga imensamente, pois pudemos observar que esta necessidade é fruto de uma sociedade marcada pelo preconceito, pela discriminação e, especialmente pela desinformação.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maneira como estes sujeitos edificam sua existência e como se apresentam na vida diária é considerado por muitos como algo incoerente. Nós acreditamos que as entrevistadas são seres humanos que possuem suas histórias, suas idiossincrasias, seus contextos culturais e sociais da mesma maneira que todos e quaisquer indivíduos.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Percebemos em suas narrativas o quão intenso é o sofrimento imposto pela sociedade e o quão previsíveis são as dificuldades enfrentadas, tornando-se alvos invariáveis das classificações subversivas conferidas em nome de uma normalidade de padrões, construídos com base no binômio sexo-gênero. É preciso desconstruir estes conceitos arraigados em nossa sociedade, oferecendo o real conhecimento de todas as nuances da transexualidade.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 para as vítimas de tamanha exclusão social, devemos proporcionar direitos iguais, seja através da possibilidade de alteração nos documentos oficiais, como através de acompanhamento psicológico e médico durante e após todo o processo terapêutico de transgenitalização.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reinserção social do transexual pós-cirurgia de redesignação sexual não se mostrou tão fácil, embora a mudança física seja significativa para o seu bem-estar biopsicossocial, ela não é suficiente para alcançar o respeito e o espaço social almejado. Verificamos nas narrativas das entrevistadas que estas se utilizam de subterfúgios para que sua aceitação seja o menos dolorosa possível.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Diversas vezes pudemos constatar a felicidade e esperança que nossa pesquisa trazia para as entrevistadas, como se fosse mais um instrumento de revelação da realidade do que é ser um transexual. E assim queremos que o seja!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Esperamos ter colaborado para a construção de uma sociedade menos injusta e cruel com os transexuais e para engrandecimento da causa.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Concluímos que o tema de nosso trabalho não é exaustivamente esgotado e, principalmente, divulgado, devendo, portanto ser ainda mais estudado e discutido cientificamente, pois somente desta maneira seremos capazes de modificar a percepção social acerca da transexualidade e promover a reinserção social destes seres humanos.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Referências Bibliográficas</w:t>
      </w: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tbl>
      <w:tblPr/>
      <w:tblGrid>
        <w:gridCol w:w="4644"/>
        <w:gridCol w:w="4536"/>
      </w:tblGrid>
      <w:tr>
        <w:trPr>
          <w:trHeight w:val="1" w:hRule="atLeast"/>
          <w:jc w:val="center"/>
        </w:trPr>
        <w:tc>
          <w:tcPr>
            <w:tcW w:w="464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ARAUJO, L. A. D. </w:t>
            </w:r>
            <w:r>
              <w:rPr>
                <w:rFonts w:ascii="Times New Roman" w:hAnsi="Times New Roman" w:cs="Times New Roman" w:eastAsia="Times New Roman"/>
                <w:b/>
                <w:color w:val="auto"/>
                <w:spacing w:val="0"/>
                <w:position w:val="0"/>
                <w:sz w:val="20"/>
                <w:shd w:fill="auto" w:val="clear"/>
              </w:rPr>
              <w:t xml:space="preserve">A proteção constitucional do transexual.</w:t>
            </w:r>
            <w:r>
              <w:rPr>
                <w:rFonts w:ascii="Times New Roman" w:hAnsi="Times New Roman" w:cs="Times New Roman" w:eastAsia="Times New Roman"/>
                <w:color w:val="auto"/>
                <w:spacing w:val="0"/>
                <w:position w:val="0"/>
                <w:sz w:val="20"/>
                <w:shd w:fill="auto" w:val="clear"/>
              </w:rPr>
              <w:t xml:space="preserve"> São Paulo: Saraiva, 2000.</w:t>
            </w: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r>
              <w:rPr>
                <w:rFonts w:ascii="Times New Roman" w:hAnsi="Times New Roman" w:cs="Times New Roman" w:eastAsia="Times New Roman"/>
                <w:color w:val="231F20"/>
                <w:spacing w:val="0"/>
                <w:position w:val="0"/>
                <w:sz w:val="20"/>
                <w:shd w:fill="auto" w:val="clear"/>
              </w:rPr>
              <w:t xml:space="preserve">BECKER, H. </w:t>
            </w:r>
            <w:r>
              <w:rPr>
                <w:rFonts w:ascii="Times New Roman" w:hAnsi="Times New Roman" w:cs="Times New Roman" w:eastAsia="Times New Roman"/>
                <w:b/>
                <w:color w:val="231F20"/>
                <w:spacing w:val="0"/>
                <w:position w:val="0"/>
                <w:sz w:val="20"/>
                <w:shd w:fill="auto" w:val="clear"/>
              </w:rPr>
              <w:t xml:space="preserve">Uma teoria da ação coletiva.</w:t>
            </w:r>
            <w:r>
              <w:rPr>
                <w:rFonts w:ascii="Times New Roman" w:hAnsi="Times New Roman" w:cs="Times New Roman" w:eastAsia="Times New Roman"/>
                <w:color w:val="231F20"/>
                <w:spacing w:val="0"/>
                <w:position w:val="0"/>
                <w:sz w:val="20"/>
                <w:shd w:fill="auto" w:val="clear"/>
              </w:rPr>
              <w:t xml:space="preserve"> Trad. Márcia bandeira de Mello Leite Nunes. Rio de Janeiro: Zahar Editores, 1977.</w:t>
            </w: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r>
              <w:rPr>
                <w:rFonts w:ascii="Times New Roman" w:hAnsi="Times New Roman" w:cs="Times New Roman" w:eastAsia="Times New Roman"/>
                <w:color w:val="231F20"/>
                <w:spacing w:val="0"/>
                <w:position w:val="0"/>
                <w:sz w:val="20"/>
                <w:shd w:fill="auto" w:val="clear"/>
              </w:rPr>
              <w:t xml:space="preserve">BOMFIM, J.C. </w:t>
            </w:r>
            <w:r>
              <w:rPr>
                <w:rFonts w:ascii="Times New Roman" w:hAnsi="Times New Roman" w:cs="Times New Roman" w:eastAsia="Times New Roman"/>
                <w:b/>
                <w:color w:val="231F20"/>
                <w:spacing w:val="0"/>
                <w:position w:val="0"/>
                <w:sz w:val="20"/>
                <w:shd w:fill="auto" w:val="clear"/>
              </w:rPr>
              <w:t xml:space="preserve">O dependente químico e as relações de emprego.</w:t>
            </w:r>
            <w:r>
              <w:rPr>
                <w:rFonts w:ascii="Times New Roman" w:hAnsi="Times New Roman" w:cs="Times New Roman" w:eastAsia="Times New Roman"/>
                <w:color w:val="231F20"/>
                <w:spacing w:val="0"/>
                <w:position w:val="0"/>
                <w:sz w:val="20"/>
                <w:shd w:fill="auto" w:val="clear"/>
              </w:rPr>
              <w:t xml:space="preserve"> In: Enfoque Institucional – Boletim informativo Eletrônico da Procuradoria Regional do Trabalho da 12ª região – Santa Catarina, ano 2, nº 4, ago, 2003. Disponível em: &lt;</w:t>
            </w:r>
            <w:hyperlink xmlns:r="http://schemas.openxmlformats.org/officeDocument/2006/relationships" r:id="docRId81">
              <w:r>
                <w:rPr>
                  <w:rFonts w:ascii="Times New Roman" w:hAnsi="Times New Roman" w:cs="Times New Roman" w:eastAsia="Times New Roman"/>
                  <w:color w:val="231F20"/>
                  <w:spacing w:val="0"/>
                  <w:position w:val="0"/>
                  <w:sz w:val="20"/>
                  <w:u w:val="single"/>
                  <w:shd w:fill="auto" w:val="clear"/>
                </w:rPr>
                <w:t xml:space="preserve">http://www.prt12.mpt.gov.br/enfoque04/art_bomfim.htm</w:t>
              </w:r>
            </w:hyperlink>
            <w:r>
              <w:rPr>
                <w:rFonts w:ascii="Times New Roman" w:hAnsi="Times New Roman" w:cs="Times New Roman" w:eastAsia="Times New Roman"/>
                <w:color w:val="231F20"/>
                <w:spacing w:val="0"/>
                <w:position w:val="0"/>
                <w:sz w:val="20"/>
                <w:shd w:fill="auto" w:val="clear"/>
              </w:rPr>
              <w:t xml:space="preserve">&gt;. Acesso em: 09/01/2009.</w:t>
            </w: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r>
              <w:rPr>
                <w:rFonts w:ascii="Times New Roman" w:hAnsi="Times New Roman" w:cs="Times New Roman" w:eastAsia="Times New Roman"/>
                <w:color w:val="231F20"/>
                <w:spacing w:val="0"/>
                <w:position w:val="0"/>
                <w:sz w:val="20"/>
                <w:shd w:fill="auto" w:val="clear"/>
              </w:rPr>
              <w:t xml:space="preserve">BOURDIEU, P. </w:t>
            </w:r>
            <w:r>
              <w:rPr>
                <w:rFonts w:ascii="Times New Roman" w:hAnsi="Times New Roman" w:cs="Times New Roman" w:eastAsia="Times New Roman"/>
                <w:b/>
                <w:color w:val="231F20"/>
                <w:spacing w:val="0"/>
                <w:position w:val="0"/>
                <w:sz w:val="20"/>
                <w:shd w:fill="auto" w:val="clear"/>
              </w:rPr>
              <w:t xml:space="preserve">A Dominação Masculina.</w:t>
            </w:r>
            <w:r>
              <w:rPr>
                <w:rFonts w:ascii="Times New Roman" w:hAnsi="Times New Roman" w:cs="Times New Roman" w:eastAsia="Times New Roman"/>
                <w:color w:val="231F20"/>
                <w:spacing w:val="0"/>
                <w:position w:val="0"/>
                <w:sz w:val="20"/>
                <w:shd w:fill="auto" w:val="clear"/>
              </w:rPr>
              <w:t xml:space="preserve"> Rio de Janeiro: Bertrand Brasil, 1999.</w:t>
            </w: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r>
              <w:rPr>
                <w:rFonts w:ascii="Times New Roman" w:hAnsi="Times New Roman" w:cs="Times New Roman" w:eastAsia="Times New Roman"/>
                <w:color w:val="231F20"/>
                <w:spacing w:val="0"/>
                <w:position w:val="0"/>
                <w:sz w:val="20"/>
                <w:shd w:fill="auto" w:val="clear"/>
              </w:rPr>
              <w:t xml:space="preserve">____________. A Distinção: crítica social do julgamento. São Paulo: EDUSP, 2007.</w:t>
            </w: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r>
              <w:rPr>
                <w:rFonts w:ascii="Times New Roman" w:hAnsi="Times New Roman" w:cs="Times New Roman" w:eastAsia="Times New Roman"/>
                <w:color w:val="231F20"/>
                <w:spacing w:val="0"/>
                <w:position w:val="0"/>
                <w:sz w:val="20"/>
                <w:shd w:fill="auto" w:val="clear"/>
              </w:rPr>
              <w:t xml:space="preserve">BRASIL, CONSELHO FEDERAL DE MEDICINA. </w:t>
            </w:r>
            <w:r>
              <w:rPr>
                <w:rFonts w:ascii="Times New Roman" w:hAnsi="Times New Roman" w:cs="Times New Roman" w:eastAsia="Times New Roman"/>
                <w:b/>
                <w:color w:val="231F20"/>
                <w:spacing w:val="0"/>
                <w:position w:val="0"/>
                <w:sz w:val="20"/>
                <w:shd w:fill="auto" w:val="clear"/>
              </w:rPr>
              <w:t xml:space="preserve">Resolução nº 1.482 de 19 de setembro de 1997. </w:t>
            </w:r>
            <w:r>
              <w:rPr>
                <w:rFonts w:ascii="Times New Roman" w:hAnsi="Times New Roman" w:cs="Times New Roman" w:eastAsia="Times New Roman"/>
                <w:color w:val="231F20"/>
                <w:spacing w:val="0"/>
                <w:position w:val="0"/>
                <w:sz w:val="20"/>
                <w:shd w:fill="auto" w:val="clear"/>
              </w:rPr>
              <w:t xml:space="preserve">Autoriza, a título experimental, a realização de cirurgia de transgenitalização do tipo neocolpovulvoplastia, neofaloplastia e ou procedimentos complementares sobre gônadas e caracteres sexuais secundários como tratamento dos casos de transexualismo.</w:t>
            </w:r>
          </w:p>
          <w:p>
            <w:pPr>
              <w:spacing w:before="0" w:after="0" w:line="240"/>
              <w:ind w:right="0" w:left="0" w:firstLine="0"/>
              <w:jc w:val="both"/>
              <w:rPr>
                <w:rFonts w:ascii="Times New Roman" w:hAnsi="Times New Roman" w:cs="Times New Roman" w:eastAsia="Times New Roman"/>
                <w:color w:val="231F20"/>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BUTLER, J. </w:t>
            </w:r>
            <w:r>
              <w:rPr>
                <w:rFonts w:ascii="Times New Roman" w:hAnsi="Times New Roman" w:cs="Times New Roman" w:eastAsia="Times New Roman"/>
                <w:b/>
                <w:color w:val="auto"/>
                <w:spacing w:val="0"/>
                <w:position w:val="0"/>
                <w:sz w:val="20"/>
                <w:shd w:fill="auto" w:val="clear"/>
              </w:rPr>
              <w:t xml:space="preserve">Problemas de gênero</w:t>
            </w:r>
            <w:r>
              <w:rPr>
                <w:rFonts w:ascii="Times New Roman" w:hAnsi="Times New Roman" w:cs="Times New Roman" w:eastAsia="Times New Roman"/>
                <w:color w:val="auto"/>
                <w:spacing w:val="0"/>
                <w:position w:val="0"/>
                <w:sz w:val="20"/>
                <w:shd w:fill="auto" w:val="clear"/>
              </w:rPr>
              <w:t xml:space="preserve">: feminismo e subversão da identidade. Tradução de Renato Aguiar. Rio de Janeiro: Civilização Brasileira, 2003.</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ESCOREL, S. </w:t>
            </w:r>
            <w:r>
              <w:rPr>
                <w:rFonts w:ascii="Times New Roman" w:hAnsi="Times New Roman" w:cs="Times New Roman" w:eastAsia="Times New Roman"/>
                <w:b/>
                <w:color w:val="auto"/>
                <w:spacing w:val="0"/>
                <w:position w:val="0"/>
                <w:sz w:val="20"/>
                <w:shd w:fill="auto" w:val="clear"/>
              </w:rPr>
              <w:t xml:space="preserve">Vidas ao Léu:</w:t>
            </w:r>
            <w:r>
              <w:rPr>
                <w:rFonts w:ascii="Times New Roman" w:hAnsi="Times New Roman" w:cs="Times New Roman" w:eastAsia="Times New Roman"/>
                <w:color w:val="auto"/>
                <w:spacing w:val="0"/>
                <w:position w:val="0"/>
                <w:sz w:val="20"/>
                <w:shd w:fill="auto" w:val="clear"/>
              </w:rPr>
              <w:t xml:space="preserve"> trajetórias de exclusão social. Rio de Janeiro: Editora Fiocruz, 1999.</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FOUCAULT, M. </w:t>
            </w:r>
            <w:r>
              <w:rPr>
                <w:rFonts w:ascii="Times New Roman" w:hAnsi="Times New Roman" w:cs="Times New Roman" w:eastAsia="Times New Roman"/>
                <w:b/>
                <w:color w:val="auto"/>
                <w:spacing w:val="0"/>
                <w:position w:val="0"/>
                <w:sz w:val="20"/>
                <w:shd w:fill="auto" w:val="clear"/>
              </w:rPr>
              <w:t xml:space="preserve">Vigiar e Punir.</w:t>
            </w:r>
            <w:r>
              <w:rPr>
                <w:rFonts w:ascii="Times New Roman" w:hAnsi="Times New Roman" w:cs="Times New Roman" w:eastAsia="Times New Roman"/>
                <w:color w:val="auto"/>
                <w:spacing w:val="0"/>
                <w:position w:val="0"/>
                <w:sz w:val="20"/>
                <w:shd w:fill="auto" w:val="clear"/>
              </w:rPr>
              <w:t xml:space="preserve"> Nascimento da prisão. 29 ed. Tradução de Raquel Ramalhete. Petrópolis: Editora Vozes, 2004.</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______________. </w:t>
            </w:r>
            <w:r>
              <w:rPr>
                <w:rFonts w:ascii="Times New Roman" w:hAnsi="Times New Roman" w:cs="Times New Roman" w:eastAsia="Times New Roman"/>
                <w:b/>
                <w:color w:val="auto"/>
                <w:spacing w:val="0"/>
                <w:position w:val="0"/>
                <w:sz w:val="20"/>
                <w:shd w:fill="auto" w:val="clear"/>
              </w:rPr>
              <w:t xml:space="preserve">História da Sexualidade I.</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 vontade de saber. Rio de Janeiro: Graal, 1988.</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______________. </w:t>
            </w:r>
            <w:r>
              <w:rPr>
                <w:rFonts w:ascii="Times New Roman" w:hAnsi="Times New Roman" w:cs="Times New Roman" w:eastAsia="Times New Roman"/>
                <w:b/>
                <w:color w:val="auto"/>
                <w:spacing w:val="0"/>
                <w:position w:val="0"/>
                <w:sz w:val="20"/>
                <w:shd w:fill="auto" w:val="clear"/>
              </w:rPr>
              <w:t xml:space="preserve">Herculine Barbin:</w:t>
            </w:r>
            <w:r>
              <w:rPr>
                <w:rFonts w:ascii="Times New Roman" w:hAnsi="Times New Roman" w:cs="Times New Roman" w:eastAsia="Times New Roman"/>
                <w:color w:val="auto"/>
                <w:spacing w:val="0"/>
                <w:position w:val="0"/>
                <w:sz w:val="20"/>
                <w:shd w:fill="auto" w:val="clear"/>
              </w:rPr>
              <w:t xml:space="preserve"> Diário de um Hermafrodita. São Paulo: Francisco Alves, 1982.</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spacing w:val="0"/>
                <w:position w:val="0"/>
                <w:shd w:fill="auto" w:val="clear"/>
              </w:rPr>
            </w:pPr>
            <w:r>
              <w:rPr>
                <w:rFonts w:ascii="Times New Roman" w:hAnsi="Times New Roman" w:cs="Times New Roman" w:eastAsia="Times New Roman"/>
                <w:color w:val="auto"/>
                <w:spacing w:val="0"/>
                <w:position w:val="0"/>
                <w:sz w:val="20"/>
                <w:shd w:fill="auto" w:val="clear"/>
              </w:rPr>
              <w:t xml:space="preserve">GOFFMAN, E. </w:t>
            </w:r>
            <w:r>
              <w:rPr>
                <w:rFonts w:ascii="Times New Roman" w:hAnsi="Times New Roman" w:cs="Times New Roman" w:eastAsia="Times New Roman"/>
                <w:b/>
                <w:color w:val="auto"/>
                <w:spacing w:val="0"/>
                <w:position w:val="0"/>
                <w:sz w:val="20"/>
                <w:shd w:fill="auto" w:val="clear"/>
              </w:rPr>
              <w:t xml:space="preserve">Estigma:</w:t>
            </w:r>
            <w:r>
              <w:rPr>
                <w:rFonts w:ascii="Times New Roman" w:hAnsi="Times New Roman" w:cs="Times New Roman" w:eastAsia="Times New Roman"/>
                <w:color w:val="auto"/>
                <w:spacing w:val="0"/>
                <w:position w:val="0"/>
                <w:sz w:val="20"/>
                <w:shd w:fill="auto" w:val="clear"/>
              </w:rPr>
              <w:t xml:space="preserve"> notas sobre a manipulação da identidade deteriorada (1963). 4ª ed. Trad. Márcia Bandeira. Rio de Janeiro: LTC Editora, 1988.</w:t>
            </w:r>
          </w:p>
        </w:tc>
        <w:tc>
          <w:tcPr>
            <w:tcW w:w="453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GOLDIM, J. R.; BORDAS, F. C.; RAYMUNDO, M. M. </w:t>
            </w:r>
            <w:r>
              <w:rPr>
                <w:rFonts w:ascii="Times New Roman" w:hAnsi="Times New Roman" w:cs="Times New Roman" w:eastAsia="Times New Roman"/>
                <w:b/>
                <w:color w:val="auto"/>
                <w:spacing w:val="0"/>
                <w:position w:val="0"/>
                <w:sz w:val="20"/>
                <w:shd w:fill="auto" w:val="clear"/>
              </w:rPr>
              <w:t xml:space="preserve">Aspectos bioéticos e jurídicos do transexualismo.</w:t>
            </w:r>
            <w:r>
              <w:rPr>
                <w:rFonts w:ascii="Times New Roman" w:hAnsi="Times New Roman" w:cs="Times New Roman" w:eastAsia="Times New Roman"/>
                <w:color w:val="auto"/>
                <w:spacing w:val="0"/>
                <w:position w:val="0"/>
                <w:sz w:val="20"/>
                <w:shd w:fill="auto" w:val="clear"/>
              </w:rPr>
              <w:t xml:space="preserve"> In VIEIRA,Tereza Rodrigues (Coord.) Bioética e sexualidade. São Paulo: Jurídico Brasileira, 2004.</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MARTINS, J. S. </w:t>
            </w:r>
            <w:r>
              <w:rPr>
                <w:rFonts w:ascii="Times New Roman" w:hAnsi="Times New Roman" w:cs="Times New Roman" w:eastAsia="Times New Roman"/>
                <w:b/>
                <w:color w:val="auto"/>
                <w:spacing w:val="0"/>
                <w:position w:val="0"/>
                <w:sz w:val="20"/>
                <w:shd w:fill="auto" w:val="clear"/>
              </w:rPr>
              <w:t xml:space="preserve">A Sociedade vista do abismo:</w:t>
            </w:r>
            <w:r>
              <w:rPr>
                <w:rFonts w:ascii="Times New Roman" w:hAnsi="Times New Roman" w:cs="Times New Roman" w:eastAsia="Times New Roman"/>
                <w:color w:val="auto"/>
                <w:spacing w:val="0"/>
                <w:position w:val="0"/>
                <w:sz w:val="20"/>
                <w:shd w:fill="auto" w:val="clear"/>
              </w:rPr>
              <w:t xml:space="preserve"> novos estudos sobre exclusão, pobreza e classes sociais. Petrópolis, RJ: Vozes, 2002.</w:t>
            </w: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MURTA, D.; ARÁN, M. </w:t>
            </w:r>
            <w:r>
              <w:rPr>
                <w:rFonts w:ascii="Times New Roman" w:hAnsi="Times New Roman" w:cs="Times New Roman" w:eastAsia="Times New Roman"/>
                <w:b/>
                <w:color w:val="auto"/>
                <w:spacing w:val="0"/>
                <w:position w:val="0"/>
                <w:sz w:val="20"/>
                <w:shd w:fill="auto" w:val="clear"/>
              </w:rPr>
              <w:t xml:space="preserve">Do diagnóstico de transtorno de identidade de gênero às redescrições da experiência da transexualidade: </w:t>
            </w:r>
            <w:r>
              <w:rPr>
                <w:rFonts w:ascii="Times New Roman" w:hAnsi="Times New Roman" w:cs="Times New Roman" w:eastAsia="Times New Roman"/>
                <w:color w:val="auto"/>
                <w:spacing w:val="0"/>
                <w:position w:val="0"/>
                <w:sz w:val="20"/>
                <w:shd w:fill="auto" w:val="clear"/>
              </w:rPr>
              <w:t xml:space="preserve">uma reflexão sobre gênero, tecnologia e saúde. Physis Revista de Saúde Coletiva, Rio de Janeiro, 19 [ 1 ]: 15-41, 2009.</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MURTA, D. </w:t>
            </w:r>
            <w:r>
              <w:rPr>
                <w:rFonts w:ascii="Times New Roman" w:hAnsi="Times New Roman" w:cs="Times New Roman" w:eastAsia="Times New Roman"/>
                <w:b/>
                <w:color w:val="auto"/>
                <w:spacing w:val="0"/>
                <w:position w:val="0"/>
                <w:sz w:val="20"/>
                <w:shd w:fill="auto" w:val="clear"/>
              </w:rPr>
              <w:t xml:space="preserve">Paradoxos entre o acesso a saúde e a patologização: </w:t>
            </w:r>
            <w:r>
              <w:rPr>
                <w:rFonts w:ascii="Times New Roman" w:hAnsi="Times New Roman" w:cs="Times New Roman" w:eastAsia="Times New Roman"/>
                <w:color w:val="auto"/>
                <w:spacing w:val="0"/>
                <w:position w:val="0"/>
                <w:sz w:val="20"/>
                <w:shd w:fill="auto" w:val="clear"/>
              </w:rPr>
              <w:t xml:space="preserve">Algumas considerações sobre a psiquiatrização da transexualidade. Fazendo Gênero 8 - Corpo, Violência e Poder. Florianópolis: Agosto, 2008.</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__________. </w:t>
            </w:r>
            <w:r>
              <w:rPr>
                <w:rFonts w:ascii="Times New Roman" w:hAnsi="Times New Roman" w:cs="Times New Roman" w:eastAsia="Times New Roman"/>
                <w:b/>
                <w:color w:val="auto"/>
                <w:spacing w:val="0"/>
                <w:position w:val="0"/>
                <w:sz w:val="20"/>
                <w:shd w:fill="auto" w:val="clear"/>
              </w:rPr>
              <w:t xml:space="preserve">A psiquiatrização da transexualidade:</w:t>
            </w:r>
            <w:r>
              <w:rPr>
                <w:rFonts w:ascii="Times New Roman" w:hAnsi="Times New Roman" w:cs="Times New Roman" w:eastAsia="Times New Roman"/>
                <w:color w:val="auto"/>
                <w:spacing w:val="0"/>
                <w:position w:val="0"/>
                <w:sz w:val="20"/>
                <w:shd w:fill="auto" w:val="clear"/>
              </w:rPr>
              <w:t xml:space="preserve"> análise dos efeitos do diagnóstico de Transtorno de Identidade de Gênero sobre as práticas de saúde. Dissertação (Mestrado em Saúde Coletiva) – Instituto de Medicina Social, Universidade do Estado do Rio de Janeiro, Rio de Janeiro, 2007.</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RATTNER, H. </w:t>
            </w:r>
            <w:r>
              <w:rPr>
                <w:rFonts w:ascii="Times New Roman" w:hAnsi="Times New Roman" w:cs="Times New Roman" w:eastAsia="Times New Roman"/>
                <w:b/>
                <w:color w:val="auto"/>
                <w:spacing w:val="0"/>
                <w:position w:val="0"/>
                <w:sz w:val="20"/>
                <w:shd w:fill="auto" w:val="clear"/>
              </w:rPr>
              <w:t xml:space="preserve">Exclusão social.</w:t>
            </w:r>
            <w:r>
              <w:rPr>
                <w:rFonts w:ascii="Times New Roman" w:hAnsi="Times New Roman" w:cs="Times New Roman" w:eastAsia="Times New Roman"/>
                <w:color w:val="auto"/>
                <w:spacing w:val="0"/>
                <w:position w:val="0"/>
                <w:sz w:val="20"/>
                <w:shd w:fill="auto" w:val="clear"/>
              </w:rPr>
              <w:t xml:space="preserve"> Revista espaço acadêmico, nº 65, ano VI, out, 2006. Disponível em: &lt;</w:t>
            </w:r>
            <w:hyperlink xmlns:r="http://schemas.openxmlformats.org/officeDocument/2006/relationships" r:id="docRId82">
              <w:r>
                <w:rPr>
                  <w:rFonts w:ascii="Times New Roman" w:hAnsi="Times New Roman" w:cs="Times New Roman" w:eastAsia="Times New Roman"/>
                  <w:color w:val="0000FF"/>
                  <w:spacing w:val="0"/>
                  <w:position w:val="0"/>
                  <w:sz w:val="20"/>
                  <w:u w:val="single"/>
                  <w:shd w:fill="auto" w:val="clear"/>
                </w:rPr>
                <w:t xml:space="preserve">http://www.espacoacademico.com.br/065/65rattner.htm</w:t>
              </w:r>
            </w:hyperlink>
            <w:r>
              <w:rPr>
                <w:rFonts w:ascii="Times New Roman" w:hAnsi="Times New Roman" w:cs="Times New Roman" w:eastAsia="Times New Roman"/>
                <w:color w:val="auto"/>
                <w:spacing w:val="0"/>
                <w:position w:val="0"/>
                <w:sz w:val="20"/>
                <w:shd w:fill="auto" w:val="clear"/>
              </w:rPr>
              <w:t xml:space="preserve">&gt;. Acesso em 09/01/09.</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SAWAIA, B. </w:t>
            </w:r>
            <w:r>
              <w:rPr>
                <w:rFonts w:ascii="Times New Roman" w:hAnsi="Times New Roman" w:cs="Times New Roman" w:eastAsia="Times New Roman"/>
                <w:b/>
                <w:color w:val="auto"/>
                <w:spacing w:val="0"/>
                <w:position w:val="0"/>
                <w:sz w:val="20"/>
                <w:shd w:fill="auto" w:val="clear"/>
              </w:rPr>
              <w:t xml:space="preserve">As artimanhas da exclusão social:</w:t>
            </w:r>
            <w:r>
              <w:rPr>
                <w:rFonts w:ascii="Times New Roman" w:hAnsi="Times New Roman" w:cs="Times New Roman" w:eastAsia="Times New Roman"/>
                <w:color w:val="auto"/>
                <w:spacing w:val="0"/>
                <w:position w:val="0"/>
                <w:sz w:val="20"/>
                <w:shd w:fill="auto" w:val="clear"/>
              </w:rPr>
              <w:t xml:space="preserve"> análise psicossocial e ética da desigualdade social. 6ª ed. Petrópolis: Ed. Vozes, 2006.</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SILVA, H. R. </w:t>
            </w:r>
            <w:r>
              <w:rPr>
                <w:rFonts w:ascii="Times New Roman" w:hAnsi="Times New Roman" w:cs="Times New Roman" w:eastAsia="Times New Roman"/>
                <w:b/>
                <w:color w:val="auto"/>
                <w:spacing w:val="0"/>
                <w:position w:val="0"/>
                <w:sz w:val="20"/>
                <w:shd w:fill="auto" w:val="clear"/>
              </w:rPr>
              <w:t xml:space="preserve">Certas Cariocas:</w:t>
            </w:r>
            <w:r>
              <w:rPr>
                <w:rFonts w:ascii="Times New Roman" w:hAnsi="Times New Roman" w:cs="Times New Roman" w:eastAsia="Times New Roman"/>
                <w:color w:val="auto"/>
                <w:spacing w:val="0"/>
                <w:position w:val="0"/>
                <w:sz w:val="20"/>
                <w:shd w:fill="auto" w:val="clear"/>
              </w:rPr>
              <w:t xml:space="preserve"> travestis e vida de rua no rio de janeiro. Rio de Janeiro: Relume-Dumará, 1996.</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VIEIRA, T. R. </w:t>
            </w:r>
            <w:r>
              <w:rPr>
                <w:rFonts w:ascii="Times New Roman" w:hAnsi="Times New Roman" w:cs="Times New Roman" w:eastAsia="Times New Roman"/>
                <w:b/>
                <w:color w:val="auto"/>
                <w:spacing w:val="0"/>
                <w:position w:val="0"/>
                <w:sz w:val="20"/>
                <w:shd w:fill="auto" w:val="clear"/>
              </w:rPr>
              <w:t xml:space="preserve">A Bioética e o direito à adequação de sexo do transexual.</w:t>
            </w:r>
            <w:r>
              <w:rPr>
                <w:rFonts w:ascii="Times New Roman" w:hAnsi="Times New Roman" w:cs="Times New Roman" w:eastAsia="Times New Roman"/>
                <w:color w:val="auto"/>
                <w:spacing w:val="0"/>
                <w:position w:val="0"/>
                <w:sz w:val="20"/>
                <w:shd w:fill="auto" w:val="clear"/>
              </w:rPr>
              <w:t xml:space="preserve"> In: VIEIRA, T. R. (Coord.). Bioética e sexualidade</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São Paulo: Jurídico Brasileira, 2004.</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XIBERRAS, M. </w:t>
            </w:r>
            <w:r>
              <w:rPr>
                <w:rFonts w:ascii="Times New Roman" w:hAnsi="Times New Roman" w:cs="Times New Roman" w:eastAsia="Times New Roman"/>
                <w:b/>
                <w:color w:val="auto"/>
                <w:spacing w:val="0"/>
                <w:position w:val="0"/>
                <w:sz w:val="20"/>
                <w:shd w:fill="auto" w:val="clear"/>
              </w:rPr>
              <w:t xml:space="preserve">Lês théoris de l’exclusion.</w:t>
            </w:r>
            <w:r>
              <w:rPr>
                <w:rFonts w:ascii="Times New Roman" w:hAnsi="Times New Roman" w:cs="Times New Roman" w:eastAsia="Times New Roman"/>
                <w:color w:val="auto"/>
                <w:spacing w:val="0"/>
                <w:position w:val="0"/>
                <w:sz w:val="20"/>
                <w:shd w:fill="auto" w:val="clear"/>
              </w:rPr>
              <w:t xml:space="preserve"> Paris: Meridiens-Klincksieck, 1993.</w:t>
            </w:r>
          </w:p>
        </w:tc>
      </w:tr>
    </w:tbl>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VALER A CIDADANIA, HOMENS E MULHERES QUEREM VIVER EM UMA SOCIEDADE SEM PRECONCEITOS.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ab/>
        <w:tab/>
        <w:tab/>
        <w:t xml:space="preserve">                         Gisélia Jacinta de Andrade Ramalho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Estamos centralizados, necessitando de continuar na sociedade onde vivemos, sendo considerados direitos iguais para homens e mulheres, não esta mais em pauta a Ética que primeiro as damas depois os cavalheiros. Será que realmente a possibilidade de cidadania, respeito, ocupar lugares diferentes na sociedade, valorizar o lugar da mulher na sociedade, entender a situação na qual fomos para o mercado de trabalho e buscar entender as desigualdades existentes entre homens e mulheres em nosso país, levar o ser humano ao prazer de viver, ser feliz, estar bem, gostar do que faz ou fazer o que gosta, ter bom ânimo, ter coragem, ser persistente, saber demonstrar a gratidão, procurar sempre manter a auto-estima são muito importantes estas atitudes e muitas outras que podem ser aplicadas na sociedade para enfrentar as desigualdades e preconceitos.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Palavras-chave: Mulheres, Homens, Sociedade e Preconceitos.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Profº. Orientador: Luciana Cristina Simões Ramalho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Psicopedagogia Clinica.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Unijipa Faculdade Panamericana de Ji-Paraná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Metodologia de Ensino Superior.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E-mail: giseliaeagostinho@hotmail.com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416" w:firstLine="708"/>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INTRODUÇAO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Em situações diversas estamos enfrentando obstáculos e construindo novos horizontes, procurando facilitar num ato de sonhar que fomos levados a ser considerada tão frágil como uma borboleta. Cada vez mais estamos demonstrando as nossas forças que vão além da cama, mesas, banho, casa e cozinha.</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Estamos quase lado- a- lado com o homem na sociedade, no sentido de faz de conta, onde deixou “homens” fazer nós acreditarmos que mandamos e decidimos, mas na verdade a ultima palavra e a deles, os homens, Eles tem o jeito de conduzir as situações, nos mulheres também temos, mas o faz de conta esta aumentando cada vez mais na sociedade em geral, o difícil e aceitar a nossa sociedade  sendo destruída e desmoralizada, por maus entendidos e faz de conta, como vamos sonhar?</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Hoje neste século, estamos precisando da presença masculina e feminina cada dia mais na sociedade em geral, para preservar principalmente as famílias, que estas sendo destruídas sendo qual for o lugar que ambos ocupam, o reflexo afeta toda a sociedade.</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 Geral</w: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Identificar suas atitudes em meio ao ambiente onde vive, sendo suporte a sociedade critica, responsável com organização e amor ao próximo.</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 Específicos</w: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Proporcionar palestras que levam ao cidadão a valorizar o bem da vida na sociedade.</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*Analisar situações nas comunidades, escolas e clubes que levam o homem e mulher a refletir suas atitudes, com dinâmicas, palestras e teatros.</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Envolver todos os seres humanos deste bairro na responsabilidade de cidadão, homem e mulher na sociedade contribuindo para um mundo melhor.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O presente Artigo utilizou uma metodologia que partiu de uma abordagem de pesquisa bibliográfica e etnográfica de caráter dialético, como instrumentos de pesquisa e observação participante e um questionário estruturado e uma amostra de população intencional simples, enfim e o estudo das contradições inseridos na essência das coisas, que são fundamentais para o homem e mulher na sociedade, independente de lugares e cargos que se ocupam.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A pesquisa foi realizada através do questionário estruturado com questões abertas, aplicados a pais e mães no Bairro Santiago nesta cidade de Ji-Paraná, neste Estado de Rondônia, foram realizadas anotações que serviram de subsídios para vários comentários introduzidos no referencial teórico.</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LUGAR DA MULHER NA SOCIEDADE </w:t>
        <w:tab/>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mulher conquistou e vem conquistando seu lugar na sociedade que precisa ser revisado para trazer entendimento ao ser humano entre si, devido a necessidade que existe hoje na vida das famílias, por estarem sentindo a falta de dialogo, a carência da presença feminina ou ausência da presença masculina, a situação da carência da presença feminina envolve o desconforto afetivo onde o dinheiro colocado em casa pela esposa não substitui o afeto que transformado em valores destina-se na sobrevivência pelo resto da vida, ainda que estão entendendo que e importante a ajuda financeira da esposa, que mesmo a mulher percebendo que esta se sobrecarregando se desgastando, se desdobrando, tentando ser presente na família que é a quê mais sente falta e tem sido desfalcada e as seqüelas estão sendo cada vez maiores nas famílias, atitudes impensadas estão processando situações cabulozas  sociedade, a mulher tem uma participação inigualável, por partes até substituível na sociedade e principalmente na família onde a  ordem importante da vida e dos fatos encontra esposas que são para o esposo uns importantíssimos objetos sexuais, onde ela não se dá ao luxo de querer ser como outras esposas que perdem os seus espaços aconchegantes do lar por querer imitar outras esposas que ao irem ao mercado de trabalho com muito prazer e orgulho, deixam a desejar, pois o relacionamento segue em frente sem firmezas porque em muitos casos não há necessidade financeira da esposa ir a busca de trabalho remunerado, esquecendo –se que a maior remuneração se tem com o prazer de ser esposa preciosa, lapidada que não perde o controle que Deus lhe oferece para desenvolver este papel com orgulho, sabiamente, psicologicamente, com muita dinâmica , pois as pesquisas têm encorajado muito nos mulheres tanto esposas ou não, com necessidade ou não, em estarem à frente da sociedade a qualquer custo.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ausência da presença masculina, ocorre por vários fatores que estão relacionados a modernidade, na qual não excluem pessoas ou incluem pessoas no seu papel sendo qual for o sexo, entre vantagens e desvantagens, estão em desvantagens quem esta sem a presença masculina.</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Ouviu-se de tudo um pouco; na próxima geração quero nascer homem, se arrependeu e dizem ruim com ele, pior sem ele, homens são todos iguais, por causa de um pedaço de lingüiça temos que levar o boi inteiro, uma infinidade de ditados populares agravantes que faz parte da realidade tanto do homem quanto da mulher, mas não os levam a pensar para resolver situações e tomar posse da real responsabilidade de cada um, para assim todos sentirem prazer em viver, ir ao trabalho, voltarem para casa, estarem  em casa com paz e harmonia.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Mesmo às vezes no momento do diálogo com mulheres, não concordando totalmente, nota-se que a presença masculina sendo bem conduzida ou conduzida como deveria ser por todos da família a começar pelo próprio esposo e principalmente a esposa ser persistente num todo para sentirem a importância do companheirismo, dos valores e razoes que indo como esta cada vez mais complicada as desavenças e desentendimentos, devido o machismo e feminismo estão se destruindo e destruindo seus lares.</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MULHERES E HOMENS OCUPAM LUGARES DIFERENTES NA SOCIEDADE?</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Provavelmente, sim. Lugares diferentes com os mesmos objetivos, ou os mesmos lugares com objetivos diferentes, os lugares podem ser diferentes, mas o destino pelo qual buscam ocupar estes lugares para possíveis contribuições para as famílias e sociedade em geral, felizmente o homem não deixou de ser homem e ter muitas qualidades boas por estar dividindo o seu espaço com as mulheres, ao contrario 25% dos homens, reconhecem e valorizam as esposas e incentivam a buscar cada etapa mais valores na sociedade.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sociedade oferece lugar para todos independente do sexo, homens ocupam seu lugar com muita classe, competência e elegância,estão oferecendo o melhor que podem pois sempre são mais decididos e seguros no que fazem, quero dizer não perdem o sono por atitudes tomadas durante o dia, logicamente como tem mulheres assim que se culpam e carregam excesso de preocupação, assim tem homens também.</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É pela natureza de tais coisas que desalmados tem subido ao poder....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Estamos diante de uma sociedade onde os programadores do sistema estão desamparando tanto o homem quanto a mulher, pois no trabalho onde todos vão por extrema necessidade, para compor a necessidade da família e estar bem na sociedade, pois cobranças e despreparo dos representantes faz os problemas aumentarem, afetando relacionamentos com o trânsito, escolas comunidades e sociedade em geral.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Mariano Otto, </w:t>
      </w:r>
    </w:p>
    <w:p>
      <w:pPr>
        <w:spacing w:before="0" w:after="0" w:line="240"/>
        <w:ind w:right="0" w:left="2832" w:firstLine="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Nossos conhecimentos fizeram-nos céticos, empedernidos e cruéis. Pensamos em demasia e sentimos bem pouco. Mas do que de máquinas, precisamos de humanidade! Mais do que inteligência, precisamos de afeição e doçura. Sem essas virtudes, a vida será de violência e tudo será perdido!</w:t>
      </w:r>
    </w:p>
    <w:p>
      <w:pPr>
        <w:spacing w:before="0" w:after="0" w:line="240"/>
        <w:ind w:right="0" w:left="2832" w:firstLine="6"/>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Muitas vezes achamos que não estamos sabendo usar nossos conhecimentos, nos calamos, com fé esperamos por dias melhores e  mais apoio masculino, valorizar cada instante em que vivemos para fortalecer principalmente as famílias, que estão cada vez mais precisando de luz e sabedoria ao desenvolver a correção dos filhos, ao aproximar –se dos colegas de trabalho, em demonstrar os sentimentos, o amor , a realidade do que sentimos com mais clareza na  sociedade em que vivemos hoje, precisamos buscar mais humanidade e compreensão, não só profissionalismo e autoritarismo.</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expressões do rosto são muito importantes nas nossas falas e decisões, sabemos que o ser humano sendo homem ou mulher tem o poder de valorizar o destino que tem em suas mãos.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Devemos continuar sendo persistentes, para que os valores morais e comportamentos e éticas continuem sendo passados com afeição e doçura, Mesmo sem estarmos em casa no tempo integral.</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 nada possa chegar a destruir os ensinamentos aos lares, que falhas sejam superadas e todos tenham entrosamento satisfatório ou exemplar na sociedade sem prejuízos e vícios tanto para homens quanto mulheres, devemos ter animo.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Temos que incentivar, conscientizar pessoas em todas as classes sociais e praticar essas virtudes, sabemos  que uma grande parte das mulheres tem usado o espaço conquistado para amenizar e resolver situações e diminuir a violência e manter as virtudes para não chegar  a ter os sonhos destruídos, não perder as esperanças e não ver tudo perdido.</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MULHERES E HOMENS OCUPAM LUGARES DIFERENTES NA SOCIEDADE SERÁ POR SEUS IDEAIS E CORAGEM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Mulheres e homens ou vise-versa lutam por sobrevivência com dignidade ocupando lugares onde as diferenças surgem por confiarem que somos capazes, por ser e ocuparem um cargo que antes eram só masculinos, que ao verem o desempenho a coragem, as buscas constantes da parte feminino, observaram que ambos são competentes e cada um se dedica a sua maneira.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2124"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Chalita,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ab/>
        <w:t xml:space="preserve">A ausência de um ideal na vida condena nossa existência à</w:t>
      </w:r>
    </w:p>
    <w:p>
      <w:pPr>
        <w:spacing w:before="0" w:after="0" w:line="240"/>
        <w:ind w:right="0" w:left="283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Estagnação, ao tédio e até mesmo à depressão-estado, sintoma e doença que atingem milhões de pessoas em todo o mundo.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Muitas vezes nos mulheres nos estagnamos mesmo estando muito envolvidos na sociedade, tendo um trabalho, uma família, tudo que outros desejam ter, não tem, não podem, não conseguem não sei qual motivo ou causa. Mas com o homem não e diferente, estamos sempre insatisfeitos, sem ânimo, isso não quer dizer que esquecemos nossos objetivos e ideais, situações surgem, tanto para o bem e progresso, tanto para o mau e o regresso, tanto com homens quanto para mulheres, assim nossos ideais vão se afastando, pois o que planejamos em ambos os sexos depende da vontade de Deus; estes sintomas estão relacionados aos desejos do nosso coração que conseguir lutar; superar; enfrentar tudo que vem acontecendo na sociedade; só Deus pode nos dar coragem é esta coragem precisamos dela no cotidiano em cada segundo de dia e de noite.</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Temos que ser muito fortes; ou temos que estarmos sempre forte, tanto o homem quanto a mulher; as mulheres mães e profissionais estão vendo os seus ideais com relação à família e filhos sem expectativas pelo fato que as leis atuais estão desestruturando completamente as famílias, visando autoridade e libertinagem aos filhos, onde os pais podem sentir constrangidos com atitudes erradas dos filhos ir até visitá-los na prisão, saber que policiais podem encontrá-los pelas ruas e até mesmo espancá-los pois não temos câmera escondida em todo o Brasil, mas o pai que esta perdendo sua autoridade na sociedade vai ser punido, primeiramente com a dor no coração que tenho certeza que todo o ser humano já sentiu esta dor.  De uma forma ou de outra, pagando sesta-básica e outras punições aos pais que poderiam ser diferentes, que com atitudes severas dos pais ninguém na sociedade estaria passando por tal constrangimento, no entanto a lei deveria ser revisada, pois até ao quatorze anos se torna menor aprendiz, a lei deveria sancionar uns parágrafos e artigos que deixassem bem claro a quem não quer entender e obedecer a fala dos pais, como vai a escola só para atrapalhar; então que a lei ampare o pai que fosse buscar este recurso em todo estado, cidades e municípios brasileiros tivessem um órgão responsável para socorrer os pais  destes seres humanos chamados pré-adolescentes que estão cada vez mais desumanos, causando problemas à sociedade e amparados por lei, para dor e angustias de mães e pais, que não estão conseguindo transmitir aos filhos as mensagens que muitas vezes só sabem  que os filhos estão crescendo e seja o que Deus quiser,. Vejo que todos os casais estão precisando estudar mais e ter ajuda constante, mas de órgãos que vão fazer visitas nas residências, para resolver problemas, orientar protegendo as famílias que só sabemos o que realmente acontece, se estivermos lá.</w:t>
      </w:r>
    </w:p>
    <w:p>
      <w:pPr>
        <w:tabs>
          <w:tab w:val="left" w:pos="265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Segundo o Provérbio 23 v 12 a 14 que diz:</w:t>
      </w:r>
    </w:p>
    <w:p>
      <w:pPr>
        <w:tabs>
          <w:tab w:val="left" w:pos="2655" w:leader="none"/>
        </w:tabs>
        <w:spacing w:before="0" w:after="0" w:line="240"/>
        <w:ind w:right="0" w:left="265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Aplica à disciplina o teu coração, e os teus ouvidos  às palavras do conhecimemto.</w:t>
      </w:r>
    </w:p>
    <w:p>
      <w:pPr>
        <w:tabs>
          <w:tab w:val="left" w:pos="2655" w:leader="none"/>
        </w:tabs>
        <w:spacing w:before="0" w:after="0" w:line="240"/>
        <w:ind w:right="0" w:left="265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Não retires a disciplina da criança; porque fustigando-as com a vara, nem por isso morrerá.</w:t>
      </w:r>
    </w:p>
    <w:p>
      <w:pPr>
        <w:tabs>
          <w:tab w:val="left" w:pos="2655" w:leader="none"/>
        </w:tabs>
        <w:spacing w:before="0" w:after="0" w:line="240"/>
        <w:ind w:right="0" w:left="265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 a fustigaras com a vara e livrarás a sua alma do inferno.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As situações estão se agravando, a mulher normalmente tem suportado principalmente o despedaçar da família, para quem corrigir os filhos, mas espancar e uma atitude que foge a disciplina, mas a população não esta preparada para ter um dialogo a ponto de passar aos filhos os seus direitos e deveres, respeito mutuo, comportamento etc., temos uma seqüência de fatores que envolvem a necessidade de exercitar a fé e buscar a coragem com determinação; pedir a Deus muita sabedoria e conhecimento como fez Salomão, e muitos outros vencedores que usou fundamentos bíblicos para entenderem que temos um Deus vivo, que e dono do ouro e da prata, que fez os céus e a terra.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Chalita,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preciso transmitir às novas gerações os valores essenciais para a vida em sociedade. Valores que vêem se tornando escassos; valores que vêem se deteriorando por absoluta falta de uso.</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As novas gerações estão caminhando para um abismo onde a sociedade em que se vive não perdoa falta de ética, o desinteresse, as atitudes construtivistas que temos hoje, mulheres confundem ser submissa ou ser escrava ou ser companheira, atitudes que por todos terem direito de ir  e vir, que confundem e complicam cada vez mais a vida onde todos precisam fazer parte na sociedade.</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Cada dia esta mais difícil transmitir valores; respeito e ética que estão aliados a virtudes, bons comportamentos, sabedoria, simplicidade, humildade, estes valores dão origem a atitudes e sentimentos que favorecem a prática que mantém a paz num todo um coletivo necessário na qual hoje tudo que falamos e lição de moral e causa constrangimento nos futuros, fazer uso como deve ser para o valer destas palavras podemos até ser processado, algum ser humano tanto homem quanto mulheres vão ter muitas dificuldades, a não ser que venha surgir uma revolução para que haja revisão nestas leis e volte a ter nas escolas as disciplinas especificas para tratar situações que tranqüilize a sociedade em geral, ou teremos que construir mais presídios infelizmente, estamos caminhando sem chão. Precisamos saber que tipo de mulheres terá na sociedade Brasileira? E qual seria realmente o seu lugar? Que tipos de homens terão na sociedade Brasileira? Como seria para os homens ocuparem este lugar que antes era só seu? (como homem).Certo que até lá toda a população já será construtivista. Mas todos educadores e pesquisadores sabem que muitas pessoas tanto homem quanto mulheres precisam encontrar mais durezas e serem mais severos com eles para que consigam êxitos e estarem sendo valorizados  e fazer um bom trabalho na sociedade. </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Precisamos oferecer uma faculdade para as famílias que os oriente em como</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Fazer valer os valores, que voltem a ter poder e responsabilidade para usar a obrigação dos valores com mais carinho e amor, pois devido a falta de demonstração de afeto e amor, em muitas famílias não resolvem, porque existem famílias sem pai mas sem mãe e muito difícil encontrar , as empresas sobrevivem sem o homem ou sem a mulher entram em falências   por falta de administração competente independente do sexo, portanto precisamos de socorro porque a maioria dos homens já estão deixando de ser persistentes abandonando o barco ou a cruz, na mesma proporção as mulheres.</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CONSIDERAÇOES  FINAIS</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Importante seria se chegássemos a uma conclusão que levasse a solução pelo menos para pessoas de ambos os sexos que perderam o ânimo, mas sabemos que quem tem a solução para nossos problemas e só DEUS, lugares ocupados na sociedade , status, necessidades especificas, não enxergar um palmo diante do nariz, o seu lugar de pai e de mãe e o mesmo e sempre será o amor e é sempre será o mesmo para ambos os sexos, todos os seres humanos que estão na sociedade, vendo a população de Pré-adolescentes e adolescentes crescer sem princípios, sem ética, sem limites, sem caráter a espera que o mundo ensine-os. Vão aumentar as interrogações em nossos cérebros. Sendo que as famílias não dando conta ao menos de levar seus filhos a igreja, ou pelo menos a fazer leituras bíblicas, Desta forma as pessoas que compõem a nossa sociedade estão vendo que esta se cumprindo as escrituras do livro sagrado que é a bíblia, sabemos as importâncias dos argumentos para convencer o nosso próximo, o homem e mulher em que caminho se deve andar.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BIBLIOGRAFIAS:     </w: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OLTO, Mariano. </w:t>
      </w:r>
      <w:r>
        <w:rPr>
          <w:rFonts w:ascii="Times New Roman" w:hAnsi="Times New Roman" w:cs="Times New Roman" w:eastAsia="Times New Roman"/>
          <w:b/>
          <w:color w:val="auto"/>
          <w:spacing w:val="0"/>
          <w:position w:val="0"/>
          <w:sz w:val="24"/>
          <w:shd w:fill="auto" w:val="clear"/>
        </w:rPr>
        <w:t xml:space="preserve">Fale em publico sem professor</w:t>
      </w:r>
      <w:r>
        <w:rPr>
          <w:rFonts w:ascii="Times New Roman" w:hAnsi="Times New Roman" w:cs="Times New Roman" w:eastAsia="Times New Roman"/>
          <w:color w:val="auto"/>
          <w:spacing w:val="0"/>
          <w:position w:val="0"/>
          <w:sz w:val="24"/>
          <w:shd w:fill="auto" w:val="clear"/>
        </w:rPr>
        <w:t xml:space="preserve">.Editora Fapi 2005</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CHALITA,Gabriel. </w:t>
      </w:r>
      <w:r>
        <w:rPr>
          <w:rFonts w:ascii="Times New Roman" w:hAnsi="Times New Roman" w:cs="Times New Roman" w:eastAsia="Times New Roman"/>
          <w:b/>
          <w:color w:val="auto"/>
          <w:spacing w:val="0"/>
          <w:position w:val="0"/>
          <w:sz w:val="24"/>
          <w:shd w:fill="auto" w:val="clear"/>
        </w:rPr>
        <w:t xml:space="preserve">Pedagogia do amor</w:t>
      </w:r>
      <w:r>
        <w:rPr>
          <w:rFonts w:ascii="Times New Roman" w:hAnsi="Times New Roman" w:cs="Times New Roman" w:eastAsia="Times New Roman"/>
          <w:color w:val="auto"/>
          <w:spacing w:val="0"/>
          <w:position w:val="0"/>
          <w:sz w:val="24"/>
          <w:shd w:fill="auto" w:val="clear"/>
        </w:rPr>
        <w:t xml:space="preserve">. 9ª Ed. São Paulo, Editora Gente 2005.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BIBLIA SAGRADA</w:t>
      </w:r>
      <w:r>
        <w:rPr>
          <w:rFonts w:ascii="Times New Roman" w:hAnsi="Times New Roman" w:cs="Times New Roman" w:eastAsia="Times New Roman"/>
          <w:b/>
          <w:color w:val="auto"/>
          <w:spacing w:val="0"/>
          <w:position w:val="0"/>
          <w:sz w:val="24"/>
          <w:shd w:fill="auto" w:val="clear"/>
        </w:rPr>
        <w:t xml:space="preserve">, Provérbios</w: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MALAFAIA ,Silas. </w:t>
      </w:r>
      <w:r>
        <w:rPr>
          <w:rFonts w:ascii="Times New Roman" w:hAnsi="Times New Roman" w:cs="Times New Roman" w:eastAsia="Times New Roman"/>
          <w:b/>
          <w:color w:val="auto"/>
          <w:spacing w:val="0"/>
          <w:position w:val="0"/>
          <w:sz w:val="24"/>
          <w:shd w:fill="auto" w:val="clear"/>
        </w:rPr>
        <w:t xml:space="preserve">Lições de vencedor</w:t>
      </w:r>
      <w:r>
        <w:rPr>
          <w:rFonts w:ascii="Times New Roman" w:hAnsi="Times New Roman" w:cs="Times New Roman" w:eastAsia="Times New Roman"/>
          <w:color w:val="auto"/>
          <w:spacing w:val="0"/>
          <w:position w:val="0"/>
          <w:sz w:val="24"/>
          <w:shd w:fill="auto" w:val="clear"/>
        </w:rPr>
        <w:t xml:space="preserve"> Rio de Janeiro,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SMALLEY, Gary  </w:t>
      </w:r>
      <w:r>
        <w:rPr>
          <w:rFonts w:ascii="Times New Roman" w:hAnsi="Times New Roman" w:cs="Times New Roman" w:eastAsia="Times New Roman"/>
          <w:b/>
          <w:color w:val="auto"/>
          <w:spacing w:val="0"/>
          <w:position w:val="0"/>
          <w:sz w:val="24"/>
          <w:shd w:fill="auto" w:val="clear"/>
        </w:rPr>
        <w:t xml:space="preserve">Ela precisa saber</w:t>
      </w:r>
      <w:r>
        <w:rPr>
          <w:rFonts w:ascii="Times New Roman" w:hAnsi="Times New Roman" w:cs="Times New Roman" w:eastAsia="Times New Roman"/>
          <w:color w:val="auto"/>
          <w:spacing w:val="0"/>
          <w:position w:val="0"/>
          <w:sz w:val="24"/>
          <w:shd w:fill="auto" w:val="clear"/>
        </w:rPr>
        <w:t xml:space="preserve">. 11ª Ed. São Paulo. Mundo Cristão, 1995.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PAPEL DA MULHER CAMPONESA NA LUTA PELA TERRA: breve reflexão sobre as relações de gênero no MST</w:t>
      </w:r>
    </w:p>
    <w:p>
      <w:pPr>
        <w:spacing w:before="0" w:after="0" w:line="240"/>
        <w:ind w:right="0" w:left="0" w:firstLine="0"/>
        <w:jc w:val="righ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Desni Lopes Almeida</w:t>
      </w:r>
    </w:p>
    <w:p>
      <w:pPr>
        <w:spacing w:before="0" w:after="0" w:line="240"/>
        <w:ind w:right="0" w:left="0" w:firstLine="0"/>
        <w:jc w:val="righ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Universidade Estadual do Maranhão- UEMA</w:t>
      </w:r>
    </w:p>
    <w:p>
      <w:pPr>
        <w:spacing w:before="0" w:after="0" w:line="240"/>
        <w:ind w:right="0" w:left="0" w:firstLine="0"/>
        <w:jc w:val="righ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Zulene Muniz Barbosa – Professora orientadora</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presente artigo é parte do projeto de pesquisa: </w:t>
      </w:r>
      <w:r>
        <w:rPr>
          <w:rFonts w:ascii="Times New Roman" w:hAnsi="Times New Roman" w:cs="Times New Roman" w:eastAsia="Times New Roman"/>
          <w:i/>
          <w:color w:val="auto"/>
          <w:spacing w:val="0"/>
          <w:position w:val="0"/>
          <w:sz w:val="24"/>
          <w:shd w:fill="auto" w:val="clear"/>
        </w:rPr>
        <w:t xml:space="preserve">As Mulheres na Luta do MST: Construindo novas relações de trabalho e gênero, </w:t>
      </w:r>
      <w:r>
        <w:rPr>
          <w:rFonts w:ascii="Times New Roman" w:hAnsi="Times New Roman" w:cs="Times New Roman" w:eastAsia="Times New Roman"/>
          <w:color w:val="auto"/>
          <w:spacing w:val="0"/>
          <w:position w:val="0"/>
          <w:sz w:val="24"/>
          <w:shd w:fill="auto" w:val="clear"/>
        </w:rPr>
        <w:t xml:space="preserve">que desenvolvi no meu primeiro ano de iniciação científica. Busco nesta reflexão apreender as questões de gênero no MST, articulando um conjunto de questões com as quais tive contato como, por exemplo, o modo como no tocante às relações de gênero o Movimento se organiza nos diferentes espaços e instâncias e que  ações prioriza.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teve como objetivo identificar as formas de relações na perspectiva da igualdade de direitos, seja nos espaços políticos, seja nos espaços de sua territorialização (acampamentos e assentamentos). No desenvolvimento da pesquisa optamos pelo levantamento bibliográfico sobre a categoria de gênero e trabalho, além dos documentos internos elaborados pelo próprio MST, bem como visitamos o assentamento Vila Diamante onde realizamos entrevistas com militantes do Movimento, de vários setores: educação, produção e educação.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Assentamento Vila Diamante é uma das 11 comunidades que integram o Projeto de Assentamento Diamente Negro Jutaí, situado no município de Igarapé do Meio/MA. Resultado da luta de famílias camponesas por reforma agrária, segundo Azar (2005)</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A comunidade Vila Diamante é composta por um conjunto de famílias trabalhadoras rurais sem terra que foram de uma maneira ou de outra, expropriadas das condições de produção, e que organizadas pelo MST integram o processo de luta pela reforma agrária, o que lhe confere a situação de base orgânica do MST. Esta situação a diferencia da base social do MST, que são as famílias que, também expropriadas das condições de produção, necessariamente não se encontram organizadas na luta por um pedaço de chão para trabalhar</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Assentamento Vila Diamante situa-se o Centro de Formação Padre Josimo, espaço de formação e educação do Movimento Sem Terra no Estado do Maranhão, onde no decorrer de nossa pesquisa estavam acontecendo os cursos: técnico de saúde comunitária e técnico agropecuário, que foram objetos de análise para nosso trabalho.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numPr>
          <w:ilvl w:val="0"/>
          <w:numId w:val="1833"/>
        </w:numPr>
        <w:spacing w:before="0" w:after="200" w:line="360"/>
        <w:ind w:right="0" w:left="1069"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MULHER CAMPONESA E A LUTA POLÍTICA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Historicamente foi negado às mulheres o direito à participação política, ficando estas relegadas ao espaço privado, o nicho onde se fixavam também os escravos. De acordo com Held (1995:42) “a democracia ateniense era altamente restritiva, era uma democracia de patriarcas e escravistas” onde apenas os homens atenienses com mais de 20 anos podiam se tornar cidadãos.  Segundo o autor, as mulheres eram desprovidas de direitos políticos e seus direitos civis eram estritamente limitados.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Aristóteles afirmava que “a fêmea é fêmea em virtude da carência de certas qualidades” e que “devemos considerar o caráter das mulheres como sofrendo de certa deficiência natural</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(BEAUVOIR, 1980:10). Na Idade Média, embora algumas mulheres tenham se destacado nas letras e muitas tenham assumido e tocado os negócios e as terra da família, dada a ausência dos homens envolvidos em face de guerras constantes, a condução desses processos por mulheres era visto com desconfiança.  Nesse período, sua “principal virtude, dentro e fora do casamento, deveria ser a obediência e a submissão” (MACEDO, 2002:20).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século XX,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o espaço público, no Brasil, foi definido como esfera, essencialmente, masculina, do qual as mulheres participavam apenas como coadjuvantes</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(RAGO IN PRIOPRE: 2001:603). Nos anos 1950 “ser mãe, esposa e dona de casa era considerado o destino natural das mulheres. Na ideologia dos anos dourados, maternidade, casamento e dedicação ao lar faziam parte da essência feminina: sem história, sem possibilidades de contestação</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(BASSANEZI IN PRIORE,2001:609). Mas foi também nesse século que as mulheres conquistaram o direito de participar no espaço público. Segundo Gonçalves (2001) as mulheres fizeram uma revolução à parte.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Hobsbaw (1995) é enfático ao afirmar que a maior revolução social ocorrida ao longo do “curto” século XX foi a das mulheres. Porém, esta parece ter sido uma “revolução à parte”. No geral, os dirigentes das tentativas de revolução socialista afirmavam uma estreita relação entre transformação social e libertação da mulher. Para muitos, com Lênin e Clara Zetkin, a construção do socialismo só seria possível se as mulheres operárias e camponesas fossem libertas das ataduras do cuidado da família e do lar.</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Apesar destas e de inúmeras outras formulações, os revolucionários socialistas não conseguiram realizar avanços fundamentais neste terreno. (pg. 155)</w:t>
      </w:r>
    </w:p>
    <w:p>
      <w:pPr>
        <w:spacing w:before="0" w:after="200" w:line="276"/>
        <w:ind w:right="0" w:left="3420"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tocante à participação das mulheres nas lutas do campo, Fischer e Gehlen (2002) afirmam que “nesse quadro de luta pela reforma agrária brasileira, a mulher esteve presente, mas na maioria das vezes na invisibilidade</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Essa (in)visibilidade das mulheres, apesar da sua presença marcante, também, é citada por Giulani (IN PRIORE, 2001:.645/646).</w:t>
      </w:r>
    </w:p>
    <w:p>
      <w:pPr>
        <w:spacing w:before="0" w:after="0" w:line="360"/>
        <w:ind w:right="0" w:left="0" w:firstLine="709"/>
        <w:jc w:val="both"/>
        <w:rPr>
          <w:rFonts w:ascii="Times New Roman" w:hAnsi="Times New Roman" w:cs="Times New Roman" w:eastAsia="Times New Roman"/>
          <w:color w:val="auto"/>
          <w:spacing w:val="0"/>
          <w:position w:val="0"/>
          <w:sz w:val="23"/>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2"/>
          <w:shd w:fill="auto" w:val="clear"/>
        </w:rPr>
        <w:t xml:space="preserve">As experiências de vida relatadas pelas mulheres rurais mostram que em seu cotidiano não há uma clara distinção entre os limites do lar e do trabalho, entre as atividades domésticas e as tarefas agrícolas, entre as responsabilidades na educação dos filhos e a vida comunitária. No campo, a autoridade do chefe de família – do pai ou do marido - extrapola o espaço doméstico e muitas vezes impõe-se, negando a participação das mulheres nas decisões nas cooperativas, nos bancos, nas associações de produtores e nos sindicatos</w:t>
      </w:r>
      <w:r>
        <w:rPr>
          <w:rFonts w:ascii="Times New Roman" w:hAnsi="Times New Roman" w:cs="Times New Roman" w:eastAsia="Times New Roman"/>
          <w:color w:val="auto"/>
          <w:spacing w:val="0"/>
          <w:position w:val="0"/>
          <w:sz w:val="20"/>
          <w:shd w:fill="auto" w:val="clear"/>
        </w:rPr>
        <w:t xml:space="preserve">.</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processo de lutas as mulheres, mesmo presentes, nem sempre tem a sua participação mencionada. Trata-se de uma participação marcada pela invisibilidade. Para Fisher e Gehlen (2002)</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é (...) incompreensível o fato de a mulher rural ter um papel (in) visível do ponto de vista da cidadania, quando ela representa aproximadamente 45% da força de trabalho (Fischer e Melo, 1996) empenhada, principalmente, na produção para a sobrevivência da família; é difícil assimilar a marginalização de indivíduos que contribuem no campo da reprodução (não biológica) da força de trabalho, do desempenho de tarefas na agricultura e na pecuária, mas que têm essa participação considerada pela sociedade como ajuda; parece também incompreensível que as atividades visíveis dessa mulher no meio rural se resumam à reprodução biológica e ao trabalho doméstico; um tecido social que representa 30% dos ativistas na luta pela terra e 10% das lideranças em acampamentos de Pernambuco (Diário de Pernambuco, 21.6.99), não tenha reconhecimento jurídico e consuetudinário na sociedade parece um paradoxo.</w:t>
      </w:r>
    </w:p>
    <w:p>
      <w:pPr>
        <w:spacing w:before="0" w:after="200" w:line="360"/>
        <w:ind w:right="0" w:left="0" w:firstLine="709"/>
        <w:jc w:val="both"/>
        <w:rPr>
          <w:rFonts w:ascii="Times New Roman" w:hAnsi="Times New Roman" w:cs="Times New Roman" w:eastAsia="Times New Roman"/>
          <w:b/>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b/>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b/>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b/>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AS RELAÇÕES DE GÊNERO NO MST.</w:t>
      </w:r>
    </w:p>
    <w:p>
      <w:pPr>
        <w:spacing w:before="0" w:after="200" w:line="276"/>
        <w:ind w:right="0" w:left="3420"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Compreender a presença das mulheres no Movimento dos Trabalhadores Rurais Sem Terra implica distinguir diferentes espaços de participação.(...) Neste sentido, o setor de gênero está não somente entranhado na estrutura organizativa, mas é também fonte de reflexão e debates constantes desta mesma estrutura. (GONÇALVES, 2005:164).</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se aborda a discussão sobre gênero no MST, é importante ressaltar que embora o espaço de participação feminino seja o foco do nosso estudo, não é apenas a questão da mulher que está sendo discutida, mas essa discussão estabelecida é o fio condutor para o estudo das relações de gênero dentro do Movimento.</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OLINTO (1998:162)</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Gênero é um conceito das Ciências Sociais surgido nos anos 70, relativo à construção social do sexo. Significa a “distinção entre atributos culturais alocados a cada um dos sexos e à dimensão biológica dos seres”. O uso do termo gênero expressa todo um sistema de relações que inclui sexo, mas que transcende a diferença biológica.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SCOTT (1995), muito se usou o termo gênero, ao longo dos séculos, de modo equivocado ou figurado, para designar “traços de caráter ou traços sexuais”. No entanto, ainda para a autora, recentemente “as feministas começaram a utilizar a palavra ‘gênero’ mais seriamente, no sentido mais literal, como uma maneira de referir-se à organização social da relação entres os sexos”.Entendendo que “o conceito de gênero se refere à construção social do sexo anatômico”, compreendemos que o modelo de sociedade no qual o sujeito está inserido molda também as relações de gênero estabelecidas pelos sujeitos. E é essa compreensão, de gênero enquanto estudo das relações entre os sexos e não o estudo de um grupo em separado, levando em conta o modelo de sociedade no qual o sujeito social objeto de nossa pesquisa está inserido, que adotamos na realização de nosso trabalho.</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exame das novas relações de trabalho e gênero dentro dos assentamentos/ acampamentos do MST é importante considerar que esse processo não se constitui automaticamente, mesmo porque o militante e a militante Sem Terra são parte desta totalidade concreta: a formação social brasileira com seus laços de dependência, que se “reestrutura no bojo da atual fase de transnacionalização do capitalismo (Barbosa, 2006:14).       Segundo Fische e Gehlen (2002)</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Tratar a questão da mulher na estrutura fundiária brasileira significa remeter à sociedade agrária colonial onde a estrutura familiar assumia o papel de organização fundamental, desempenhando as funções econômicas e políticas num sistema em que se caracterizavam a concentração fundiária e o predomínio das relações patriarcais/paternalistas (Bruschini, 1990). Significa também remeter à luta política dos trabalhadores e trabalhadoras que almejam a terra, num contexto em que tal luta não contempla as desigualdades entre homens e mulheres, construídas a partir do patriarcalismo. Na proposta de reforma agrária do Estado e dos trabalhadores, a desigualdade entre trabalhadores e trabalhadoras se apóia principalmente nos hábitos culturais e no direito positivo, que, historicamente, têm deserdado a mulher da cidadania, sobretudo no que concerne à construção de sua própria identidade, pois a maioria participa da luta pela terra na condição de dependente do homem, como se fosse apenas a sombra do pai, marido ou companheiro. Assim sendo, conquistado o lote, a mulher é privada de participar do processo de planejamento que norteia o desenvolvimento da gleba. O feminino é contemplado na reforma agrária, sobretudo como elemento que compõe a família e, nessa perspectiva, sua individualidade cai no plano da invisibilidade, do privado, sem expressão na esfera política. Segue os passos do pacto social de Rousseau que elege o homem representante da sociedade e do projeto de vida para a mulher.</w:t>
      </w:r>
    </w:p>
    <w:p>
      <w:pPr>
        <w:spacing w:before="0" w:after="200" w:line="276"/>
        <w:ind w:right="0" w:left="3420" w:firstLine="0"/>
        <w:jc w:val="both"/>
        <w:rPr>
          <w:rFonts w:ascii="Times New Roman" w:hAnsi="Times New Roman" w:cs="Times New Roman" w:eastAsia="Times New Roman"/>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militante e a militante são interpelados por uma ideologia patriarcal alimentados por uma cultura individualista que se choca com a visão do movimento.  O fato é que a mulher camponesa tem que enfrentar várias formas de preconceitos, inclusive, o seu próprio preconceito que muitas vezes as impede de exercer o direito de participar das diversas esferas da vida social </w:t>
      </w:r>
    </w:p>
    <w:p>
      <w:pPr>
        <w:spacing w:before="0" w:after="200" w:line="276"/>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Honório (2005),</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reconhecimento da necessidade de participação das mulheres é fruto de um processo complexo e contraditório ainda em andamento.(...) Nas primeiras publicações, a preocupação com a formação das mulheres é nula. A chamada “questão da mulher” ou estava ausente ou era tratada como assunto interno e, por tanto, não necessitava ser publicizada.</w:t>
      </w:r>
    </w:p>
    <w:p>
      <w:pPr>
        <w:spacing w:before="0" w:after="200" w:line="360"/>
        <w:ind w:right="0" w:left="0" w:firstLine="709"/>
        <w:jc w:val="both"/>
        <w:rPr>
          <w:rFonts w:ascii="Times New Roman" w:hAnsi="Times New Roman" w:cs="Times New Roman" w:eastAsia="Times New Roman"/>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virtude de tal complexidade, das contradições que se estabelecem entre o reconhecer a necessidade da participação feminina e a viabilização de sua participação efetiva, percebemos a criação do setor de gênero do MST como um avanço no tocante a participação política das mulheres. É importante ressaltar que a criação de um setor específico de gênero foi formulada a partir do amadurecimento de que as questões de gênero tinham que ser discutidas pelo todo do Movimento e não apenas pelas mulheres. Segundo Inês Pinheiro, militante do MST, e integrante do setor de gênero</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Movimento Sem Terra durante muito tempo entendeu que era preciso fazer uma organização das mulheres, que era preciso que as mulheres fossem protagonistas do processo. Então tivemos encontros de mulheres, nós tivemos grupos de mulheres, mas na avaliação do movimento isso não estava avançando. Na verdade as mulheres estavam ficando num gueto, e que os homens do MST não tinham a compreensão da necessidade da luta das mulheres como protagonistas. Então por isso que o Movimento definiu que era preciso fazer um trabalho de gênero, trabalhar tanto a questão dos direito das mulheres com os homens e com as mulheres que faziam parte do movimento. Então isso foi um processo de maturidade do movimento, foi amadurecendo a discussão da questão da mulher e chegou-se a conclusão que era necessário criar um coletivo de gênero, que discutisse as especificidades e as relações de gênero e das mulheres dentro do movimento.</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criação do setor de gênero foi sem dúvida um avanço na lutas das mulheres no MST, mas não o suficiente para alterar as relações historicamente estabelecidas entre homens e mulheres, pois os sistemas culturais sob a égide do patriarcado (ideologia machista) ao se constituírem negaram à mulher o seu pleno desenvolvimento como sujeito. Mais do que isso, a ideologia patriarcal apagou a contribuição feminina na história ao omitirem o seu papel na historiografia oficial. Paradoxalmente a negação desta história fez emergir a afirmação desse sujeito social, que passa a criar espaço de debate real da condição feminina no sentido de dar visibilidade às suas lutas e resistência. O resgate desta participação política tem sido uma das frentes de luta incansável dos diversos movimentos de mulheres.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No MST a concepção de participação assumida pelo movimento de mulheres é ampla e passa por novas formas de diálogo entre homens e mulheres, condição essencial para o enfrentamento da questão da desigualdade entre os gêneros. Segundo o relato de Ecieude, militante do setor de educação,</w:t>
      </w:r>
    </w:p>
    <w:p>
      <w:pPr>
        <w:spacing w:before="0" w:after="0" w:line="240"/>
        <w:ind w:right="0" w:left="2268"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 um dos principais incentivos [para a participação das mulheres] é a discussão de que, assim, em todos os momentos é necessário, de que as mulheres participem no mínimo em 50% de todos os eventos e espaços da organização. E é claro que a gente ainda não chegou a atingir esses 50%, mas assim, é nessa perspectiva. O incentivo é a isso, não só participar, por exemplo, do acampamento, não só participar de uma ação, mas nas discussões, nas reflexões, nas proposições. E aí no âmbito mais geral, nos coletivos, nos setores, na própria direção. (...) A luta, como já dizia a música, sem a mulher a luta vai pela metade.</w:t>
      </w:r>
    </w:p>
    <w:p>
      <w:pPr>
        <w:spacing w:before="0" w:after="20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284"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embora o Movimento Sem Terra tenha essa orientação, as mulheres ainda são minoria nas direções e instâncias de organização. </w:t>
      </w:r>
    </w:p>
    <w:p>
      <w:pPr>
        <w:spacing w:before="0" w:after="0" w:line="240"/>
        <w:ind w:right="0" w:left="2268"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O MST tem uma orientação – </w:t>
      </w:r>
      <w:r>
        <w:rPr>
          <w:rFonts w:ascii="Times New Roman" w:hAnsi="Times New Roman" w:cs="Times New Roman" w:eastAsia="Times New Roman"/>
          <w:b/>
          <w:color w:val="auto"/>
          <w:spacing w:val="0"/>
          <w:position w:val="0"/>
          <w:sz w:val="21"/>
          <w:shd w:fill="auto" w:val="clear"/>
        </w:rPr>
        <w:t xml:space="preserve">não é uma determinação, isso vai de acordo com a conjuntura, de acordo com a participação das próprias mulheres - tem uma orientação de que as direções sejam formadas por 50% de mulheres. Em todas as direções</w:t>
      </w:r>
      <w:r>
        <w:rPr>
          <w:rFonts w:ascii="Times New Roman" w:hAnsi="Times New Roman" w:cs="Times New Roman" w:eastAsia="Times New Roman"/>
          <w:color w:val="auto"/>
          <w:spacing w:val="0"/>
          <w:position w:val="0"/>
          <w:sz w:val="21"/>
          <w:shd w:fill="auto" w:val="clear"/>
        </w:rPr>
        <w:t xml:space="preserve">, desde as direções dos núcleos – que é uma das principais formas de organicidade do movimento, os núcleos de famílias.</w:t>
      </w:r>
    </w:p>
    <w:p>
      <w:pPr>
        <w:spacing w:before="0" w:after="0" w:line="240"/>
        <w:ind w:right="0" w:left="2268"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 A cada dez famílias formam um núcleo no assentamento, esses núcleos formam as assembléias que são poderes de decisão; então já nos núcleos a coordenação do núcleo é um homem e uma mulher. Isso, em muitos núcleos de fato é uma representação da coordenação e é um homem e a mulher que coordenam, em alguns espaços isso não aconteceu tanto, e ainda é – digamos, a mulher é uma segunda coordenadora.(grifo nosso).(Inês Pinheiro)</w:t>
      </w:r>
    </w:p>
    <w:p>
      <w:pPr>
        <w:spacing w:before="0" w:after="120" w:line="360"/>
        <w:ind w:right="-316" w:left="284" w:firstLine="709"/>
        <w:jc w:val="left"/>
        <w:rPr>
          <w:rFonts w:ascii="Times New Roman" w:hAnsi="Times New Roman" w:cs="Times New Roman" w:eastAsia="Times New Roman"/>
          <w:color w:val="auto"/>
          <w:spacing w:val="0"/>
          <w:position w:val="0"/>
          <w:sz w:val="24"/>
          <w:shd w:fill="auto" w:val="clear"/>
        </w:rPr>
      </w:pPr>
    </w:p>
    <w:p>
      <w:pPr>
        <w:spacing w:before="0" w:after="120" w:line="360"/>
        <w:ind w:right="-316" w:left="284"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Mesmo sem atingir os 50% da orientação do MST, o movimento de mulheres tem conseguido avanços significativos. Segundo Gonçalves, (2005)</w:t>
      </w:r>
    </w:p>
    <w:p>
      <w:pPr>
        <w:spacing w:before="0" w:after="0" w:line="240"/>
        <w:ind w:right="0" w:left="2268"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O MST não sistematizou dados sobre a atuação feminina nas direções nacional, estaduais e regionais, mas líderes do movimento garantem que ela está crescendo desde o final dos anos 90. Em entrevista ao jornal cearense O Povo, Campos, assentada do Rio Grande do Sul e coordenadora do setor de gênero do MST, enfatizou que “as mulheres têm sido 30% da direção nacional. Nos estados, isso varia muito, mas, em média, representam 40%” (BONFIM, 2002). Ela ainda chama a atenção para as especificidades regionais, pois o sul e o nordeste contam com maior inserção feminina. (p.163)</w:t>
      </w:r>
    </w:p>
    <w:p>
      <w:pPr>
        <w:spacing w:before="0" w:after="0" w:line="240"/>
        <w:ind w:right="0" w:left="2268" w:firstLine="0"/>
        <w:jc w:val="both"/>
        <w:rPr>
          <w:rFonts w:ascii="Times New Roman" w:hAnsi="Times New Roman" w:cs="Times New Roman" w:eastAsia="Times New Roman"/>
          <w:color w:val="auto"/>
          <w:spacing w:val="0"/>
          <w:position w:val="0"/>
          <w:sz w:val="21"/>
          <w:shd w:fill="auto" w:val="clear"/>
        </w:rPr>
      </w:pPr>
    </w:p>
    <w:p>
      <w:pPr>
        <w:spacing w:before="0" w:after="120" w:line="360"/>
        <w:ind w:right="0" w:left="0" w:firstLine="720"/>
        <w:jc w:val="both"/>
        <w:rPr>
          <w:rFonts w:ascii="Times New Roman" w:hAnsi="Times New Roman" w:cs="Times New Roman" w:eastAsia="Times New Roman"/>
          <w:color w:val="auto"/>
          <w:spacing w:val="0"/>
          <w:position w:val="0"/>
          <w:sz w:val="24"/>
          <w:shd w:fill="auto" w:val="clear"/>
        </w:rPr>
      </w:pPr>
      <w:r>
        <w:object w:dxaOrig="4320" w:dyaOrig="2133">
          <v:rect xmlns:o="urn:schemas-microsoft-com:office:office" xmlns:v="urn:schemas-microsoft-com:vml" id="rectole0000000020" style="width:216.000000pt;height:106.650000pt" o:preferrelative="t" o:ole="">
            <o:lock v:ext="edit"/>
            <v:imagedata xmlns:r="http://schemas.openxmlformats.org/officeDocument/2006/relationships" r:id="docRId84" o:title=""/>
          </v:rect>
          <o:OLEObject xmlns:r="http://schemas.openxmlformats.org/officeDocument/2006/relationships" xmlns:o="urn:schemas-microsoft-com:office:office" Type="Embed" ProgID="StaticMetafile" DrawAspect="Content" ObjectID="0000000020" ShapeID="rectole0000000020" r:id="docRId83"/>
        </w:object>
      </w:r>
      <w:r>
        <w:rPr>
          <w:rFonts w:ascii="Times New Roman" w:hAnsi="Times New Roman" w:cs="Times New Roman" w:eastAsia="Times New Roman"/>
          <w:color w:val="auto"/>
          <w:spacing w:val="0"/>
          <w:position w:val="0"/>
          <w:sz w:val="24"/>
          <w:shd w:fill="auto" w:val="clear"/>
        </w:rPr>
        <w:t xml:space="preserve">A Direção Nacional, em 2007, era composta de 46 membros, sendo 23 mulheres, perfazendo os 50%, e a Direção Estadual do Maranhão estava composta de 25 membros, sendo 11 mulheres e 14 homens, atingindo um total de 44% de mulheres na direção. Também pode-se destacar a participação das mulheres no V Congresso Nacional do MST, realizado em Brasília entre 11 e 15 de junho de 2007. No congresso, a participação das mulheres foi de 38%. Com 14.279 delegados do MST, as mulheres militantes do MST foram 5.393. A delegação do Maranhão, formada por 445 militantes, estava composta por 182 mulheres.(fonte: MST)</w:t>
      </w:r>
    </w:p>
    <w:p>
      <w:pPr>
        <w:spacing w:before="0" w:after="120" w:line="360"/>
        <w:ind w:right="0" w:left="0" w:firstLine="720"/>
        <w:jc w:val="both"/>
        <w:rPr>
          <w:rFonts w:ascii="Times New Roman" w:hAnsi="Times New Roman" w:cs="Times New Roman" w:eastAsia="Times New Roman"/>
          <w:color w:val="auto"/>
          <w:spacing w:val="0"/>
          <w:position w:val="0"/>
          <w:sz w:val="24"/>
          <w:shd w:fill="auto" w:val="clear"/>
        </w:rPr>
      </w:pPr>
      <w:r>
        <w:object w:dxaOrig="4838" w:dyaOrig="2150">
          <v:rect xmlns:o="urn:schemas-microsoft-com:office:office" xmlns:v="urn:schemas-microsoft-com:vml" id="rectole0000000021" style="width:241.900000pt;height:107.500000pt" o:preferrelative="t" o:ole="">
            <o:lock v:ext="edit"/>
            <v:imagedata xmlns:r="http://schemas.openxmlformats.org/officeDocument/2006/relationships" r:id="docRId86" o:title=""/>
          </v:rect>
          <o:OLEObject xmlns:r="http://schemas.openxmlformats.org/officeDocument/2006/relationships" xmlns:o="urn:schemas-microsoft-com:office:office" Type="Embed" ProgID="StaticMetafile" DrawAspect="Content" ObjectID="0000000021" ShapeID="rectole0000000021" r:id="docRId85"/>
        </w:object>
      </w:r>
      <w:r>
        <w:rPr>
          <w:rFonts w:ascii="Times New Roman" w:hAnsi="Times New Roman" w:cs="Times New Roman" w:eastAsia="Times New Roman"/>
          <w:color w:val="auto"/>
          <w:spacing w:val="0"/>
          <w:position w:val="0"/>
          <w:sz w:val="24"/>
          <w:shd w:fill="auto" w:val="clear"/>
        </w:rPr>
        <w:t xml:space="preserve">                  </w:t>
      </w:r>
    </w:p>
    <w:p>
      <w:pPr>
        <w:spacing w:before="0" w:after="12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Esses dados mostram a participação feminina nos diferentes espaços político-organizativos do Movimento, principalmente se levarmos em conta que, diferentemente do que ocorre em outras organizações sociais (partidos políticos, sindicatos) não há uma </w:t>
      </w:r>
      <w:r>
        <w:rPr>
          <w:rFonts w:ascii="Times New Roman" w:hAnsi="Times New Roman" w:cs="Times New Roman" w:eastAsia="Times New Roman"/>
          <w:b/>
          <w:color w:val="auto"/>
          <w:spacing w:val="0"/>
          <w:position w:val="0"/>
          <w:sz w:val="24"/>
          <w:shd w:fill="auto" w:val="clear"/>
        </w:rPr>
        <w:t xml:space="preserve">determinação de “cotas”</w:t>
      </w:r>
      <w:r>
        <w:rPr>
          <w:rFonts w:ascii="Times New Roman" w:hAnsi="Times New Roman" w:cs="Times New Roman" w:eastAsia="Times New Roman"/>
          <w:color w:val="auto"/>
          <w:spacing w:val="0"/>
          <w:position w:val="0"/>
          <w:sz w:val="24"/>
          <w:shd w:fill="auto" w:val="clear"/>
        </w:rPr>
        <w:t xml:space="preserve"> para as mulheres.</w:t>
      </w:r>
    </w:p>
    <w:p>
      <w:pPr>
        <w:spacing w:before="0" w:after="12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numPr>
          <w:ilvl w:val="0"/>
          <w:numId w:val="1863"/>
        </w:numPr>
        <w:spacing w:before="0" w:after="120" w:line="360"/>
        <w:ind w:right="0" w:left="643"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 MULHERES E O TRABALHO.</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mais que as discussões acerca das relações de gênero e da equidade de direitos tenham avançado, e que as mulheres tenham alcançado algumas conquistas, como o sufrágio universal, emancipação e liberdade sexual com o advento da pílula, uma maior participação no espaço público, ainda há uma perspectiva social “das coisas de homem e das coisas de mulher”. Percepções do tipo: rosa é cor de menina, azul é cor de menino; meninos não choram e meninas devem ser frágeis e delicadas, ainda moldam (ou tentam) o modo de ser homem e ser mulher.</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perspectiva se reflete em todos os campos sociais, caracterizando ainda – mesmo com o avanço das discussões – os lugares e comportamentos sociais nas relações estabelecidas entre homens e mulheres. No campo do trabalho, isso é muito forte, marcado por aquilo que denomina-se de divisão sexual do trabalho.</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Kergoat (2003:55-56)</w:t>
      </w:r>
    </w:p>
    <w:p>
      <w:pPr>
        <w:spacing w:before="0" w:after="0" w:line="240"/>
        <w:ind w:right="0" w:left="0" w:firstLine="28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divisão sexual do trabalho é a forma de divisão do trabalho social decorrente das relações sociais de sexo; essa forma é adaptada historicamente e a cada sociedade. Ela tem por características a destinação prioritária dos homens à esfera produtiva e das mulheres à esfera reprodutiva e, simultaneamente, a apreensão pelos homens das funções de forte valor social agregado (políticas, religiosas, militares etc).</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Kon (2005)</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estudo da divisão sexual do trabalho entre gêneros na sociedade deve ser entendido a partir das funções atribuídas ao homem e à mulher na divisão sexual do trabalho na família, que estavam implícitas nas instituições culturais (políticas, sociais e econômicas), das sociedades em várias fases de evolução.</w:t>
      </w:r>
    </w:p>
    <w:p>
      <w:pPr>
        <w:spacing w:before="0" w:after="200" w:line="360"/>
        <w:ind w:right="0" w:left="0" w:firstLine="283"/>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percebemos que há uma idéia de naturalização dessa divisão do trabalho, baseada no sexo, uma forma de pensar e conceber os espaços de atuação, moldados por séculos de opressão sofrida pelas mulheres, que podem ser caracterizados por “lugar de mulher” e “lugar de homem” direcionando assim, além dos espaços, o que seria trabalho de homem e trabalho de mulher. De acordo com Kergoat (2003:56)</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Essa forma de divisão social do trabalho tem dois princípios organizadores: o princípio de separação (existem trabalhos de homens e trabalhos de mulheres) e o princípio de hierarquização (um trabalho de homem “vale” mais do que um trabalho de mulher). Eles são válidos para todas as sociedades conhecidas, no tempo e no espaço – o que permi-te, segundo alguns e algumas (Héritier-Augé, 1984), mas não segundo outros (Peyre e Wiels, 1997), afirmar que existem dessa forma desde o início da humanidade. Esses princípios podem ser aplicados graças a um processo específico de legitimação, a ideo-logia naturalista, que empurra o gênero para o sexo biológico, reduz as práticas sociais a “papéis sociais” sexuados, os quais remetem ao destino natural da espécie. No sen-tido oposto, a teorização em termos de divisão sexual do trabalho afirma que as prá-ticas sexuadas são construções sociais, elas próprias resultado de relações sociais.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sociedades rurais, que são muito marcadas pelo machismo típico de uma sociedade patriarcalista, percebe-se muito claramente essa questão da valoração do trabalho. Enquanto o homem trabalha, via de regra a mulher “ajuda” – por mais que tenha uma participação efetiva na produção, e que ainda arque sozinha com os afazeres domésticos, cumprindo assim uma dupla jornada.</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 assentamentos, via de regra, ainda prevalece a “velha divisão social de papéis configuradas" conforme mostra o quadro abaixo:</w:t>
      </w:r>
    </w:p>
    <w:tbl>
      <w:tblPr/>
      <w:tblGrid>
        <w:gridCol w:w="4284"/>
        <w:gridCol w:w="4662"/>
      </w:tblGrid>
      <w:tr>
        <w:trPr>
          <w:trHeight w:val="1" w:hRule="atLeast"/>
          <w:jc w:val="left"/>
        </w:trPr>
        <w:tc>
          <w:tcPr>
            <w:tcW w:w="42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O Papel do Homem</w:t>
            </w:r>
          </w:p>
        </w:tc>
        <w:tc>
          <w:tcPr>
            <w:tcW w:w="4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O Papel da Mulher</w:t>
            </w:r>
          </w:p>
        </w:tc>
      </w:tr>
      <w:tr>
        <w:trPr>
          <w:trHeight w:val="1" w:hRule="atLeast"/>
          <w:jc w:val="left"/>
        </w:trPr>
        <w:tc>
          <w:tcPr>
            <w:tcW w:w="42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Decidir sobre a produção agrícola;</w:t>
            </w:r>
          </w:p>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Negociar os custeios para o plantio;</w:t>
            </w:r>
          </w:p>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Comercializar a produção familiar;</w:t>
            </w:r>
          </w:p>
          <w:p>
            <w:pPr>
              <w:numPr>
                <w:ilvl w:val="0"/>
                <w:numId w:val="1878"/>
              </w:numPr>
              <w:tabs>
                <w:tab w:val="left" w:pos="720" w:leader="none"/>
              </w:tabs>
              <w:spacing w:before="0" w:after="0" w:line="360"/>
              <w:ind w:right="0" w:left="720" w:hanging="36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Garantir a manutenção e segurança da família, Etc..</w:t>
            </w:r>
          </w:p>
        </w:tc>
        <w:tc>
          <w:tcPr>
            <w:tcW w:w="4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Decidir pelas coisas que acontecem dentro de casa;</w:t>
            </w:r>
          </w:p>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Cuidar da limpeza e alimentação da família;</w:t>
            </w:r>
          </w:p>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Garantir água para o consumo;</w:t>
            </w:r>
          </w:p>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Garantir lenha para cozinhar;</w:t>
            </w:r>
          </w:p>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Aguar canteiros;</w:t>
            </w:r>
          </w:p>
          <w:p>
            <w:pPr>
              <w:numPr>
                <w:ilvl w:val="0"/>
                <w:numId w:val="1878"/>
              </w:numPr>
              <w:tabs>
                <w:tab w:val="left" w:pos="720" w:leader="none"/>
              </w:tabs>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Cuidar de pequenos animais;</w:t>
            </w:r>
          </w:p>
          <w:p>
            <w:pPr>
              <w:numPr>
                <w:ilvl w:val="0"/>
                <w:numId w:val="1878"/>
              </w:numPr>
              <w:tabs>
                <w:tab w:val="left" w:pos="720" w:leader="none"/>
              </w:tabs>
              <w:spacing w:before="0" w:after="0" w:line="360"/>
              <w:ind w:right="0" w:left="720" w:hanging="36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Ensinar tarefas escolares aos filhos (quando a mãe não sabe ler é a filha mais velha que assume essa tarefa).</w:t>
            </w:r>
          </w:p>
        </w:tc>
      </w:tr>
    </w:tbl>
    <w:p>
      <w:pPr>
        <w:spacing w:before="0" w:after="20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Fonte: Cartilha Relações de Gênero no meio rural.</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 quadro acima mostra a definição de papéis entre homens e mulheres. E essa definição de papéis no espaço privado, acaba por direcionar também a participação da mulher mesmo no espaço público. Assim sendo, no mundo do trabalho há aquelas categorias que são “tipicamente ou mais apropriadas” ao feminino, como a educação e a saúde por exemplo.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MST esta organização não foge muito a regra. Na educação ainda prevalece uma maior presença feminina – embora, segundo depoimentos, essa diferença está diminuindo, e há hoje um equilíbrio maior entre homens e mulheres na educação. No setor de produção as mulheres ainda são uma minoria, ainda que sua participação esteja aumentando gradualmente, como podemos perceber nos depoimentos de diversos militantes</w:t>
      </w:r>
    </w:p>
    <w:p>
      <w:pPr>
        <w:tabs>
          <w:tab w:val="left" w:pos="720" w:leader="none"/>
        </w:tabs>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agente vê um maior número de mulheres no setor de educação, que antes era maior e agora já não é mais, agente está conseguindo balancear os setores. Mas onde existe menos participação da mulher é no setor de produção. (Daluz, militante do MST)</w:t>
      </w:r>
    </w:p>
    <w:p>
      <w:pPr>
        <w:tabs>
          <w:tab w:val="left" w:pos="720" w:leader="none"/>
        </w:tabs>
        <w:spacing w:before="0" w:after="200" w:line="276"/>
        <w:ind w:right="0" w:left="4139" w:firstLine="0"/>
        <w:jc w:val="both"/>
        <w:rPr>
          <w:rFonts w:ascii="Times New Roman" w:hAnsi="Times New Roman" w:cs="Times New Roman" w:eastAsia="Times New Roman"/>
          <w:color w:val="auto"/>
          <w:spacing w:val="0"/>
          <w:position w:val="0"/>
          <w:sz w:val="21"/>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Lenilde Alencar, militante do setor de educação, a opção pelos setores/ formação no MST é</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exatamente como é na sociedade, por exemplo, nos cursos da área de educação a maioria é mulher. Agronomia a maioria é homem. Saúde já é bem dividido. E assim são os setores. O diferencial se dá no fato de que em todas essas situações se diz: vamos garantir a participação das mulheres! Mas é um processo.</w:t>
      </w:r>
    </w:p>
    <w:p>
      <w:pPr>
        <w:spacing w:before="0" w:after="120" w:line="240"/>
        <w:ind w:right="0" w:left="4140" w:firstLine="0"/>
        <w:jc w:val="both"/>
        <w:rPr>
          <w:rFonts w:ascii="Times New Roman" w:hAnsi="Times New Roman" w:cs="Times New Roman" w:eastAsia="Times New Roman"/>
          <w:color w:val="auto"/>
          <w:spacing w:val="0"/>
          <w:position w:val="0"/>
          <w:sz w:val="21"/>
          <w:shd w:fill="auto" w:val="clear"/>
        </w:rPr>
      </w:pP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a visita ao Centro de formação Padre Josimo foi possível verificar que a turma de Técnicos em Saúde Comunitária era formada por 47 alunos, dos quais 24 eram mulheres e 23 homens, num percentual de 49% de homens e 51% de mulheres. Já a turma “Amazônia Livre”, de Técnico Agropecuário, contava com 46 alunos, sendo que apenas 09 mulheres faziam parte da turma, perfazendo um percentual de apenas 19% de mulheres.</w:t>
      </w:r>
    </w:p>
    <w:p>
      <w:pPr>
        <w:tabs>
          <w:tab w:val="left" w:pos="720" w:leader="none"/>
        </w:tabs>
        <w:spacing w:before="0" w:after="200" w:line="360"/>
        <w:ind w:right="0" w:left="0" w:firstLine="720"/>
        <w:jc w:val="both"/>
        <w:rPr>
          <w:rFonts w:ascii="Times New Roman" w:hAnsi="Times New Roman" w:cs="Times New Roman" w:eastAsia="Times New Roman"/>
          <w:color w:val="auto"/>
          <w:spacing w:val="0"/>
          <w:position w:val="0"/>
          <w:sz w:val="22"/>
          <w:shd w:fill="auto" w:val="clear"/>
        </w:rPr>
      </w:pPr>
      <w:r>
        <w:object w:dxaOrig="4686" w:dyaOrig="3129">
          <v:rect xmlns:o="urn:schemas-microsoft-com:office:office" xmlns:v="urn:schemas-microsoft-com:vml" id="rectole0000000022" style="width:234.300000pt;height:156.450000pt" o:preferrelative="t" o:ole="">
            <o:lock v:ext="edit"/>
            <v:imagedata xmlns:r="http://schemas.openxmlformats.org/officeDocument/2006/relationships" r:id="docRId88" o:title=""/>
          </v:rect>
          <o:OLEObject xmlns:r="http://schemas.openxmlformats.org/officeDocument/2006/relationships" xmlns:o="urn:schemas-microsoft-com:office:office" Type="Embed" ProgID="StaticMetafile" DrawAspect="Content" ObjectID="0000000022" ShapeID="rectole0000000022" r:id="docRId87"/>
        </w:object>
      </w:r>
      <w:r>
        <w:object w:dxaOrig="4204" w:dyaOrig="3084">
          <v:rect xmlns:o="urn:schemas-microsoft-com:office:office" xmlns:v="urn:schemas-microsoft-com:vml" id="rectole0000000023" style="width:210.200000pt;height:154.200000pt" o:preferrelative="t" o:ole="">
            <o:lock v:ext="edit"/>
            <v:imagedata xmlns:r="http://schemas.openxmlformats.org/officeDocument/2006/relationships" r:id="docRId90" o:title=""/>
          </v:rect>
          <o:OLEObject xmlns:r="http://schemas.openxmlformats.org/officeDocument/2006/relationships" xmlns:o="urn:schemas-microsoft-com:office:office" Type="Embed" ProgID="StaticMetafile" DrawAspect="Content" ObjectID="0000000023" ShapeID="rectole0000000023" r:id="docRId89"/>
        </w:object>
      </w:r>
    </w:p>
    <w:p>
      <w:pPr>
        <w:tabs>
          <w:tab w:val="left" w:pos="720" w:leader="none"/>
        </w:tabs>
        <w:spacing w:before="0" w:after="200" w:line="36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                            </w:t>
      </w:r>
    </w:p>
    <w:p>
      <w:pPr>
        <w:tabs>
          <w:tab w:val="left" w:pos="720" w:leader="none"/>
        </w:tabs>
        <w:spacing w:before="0" w:after="20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spacing w:before="0" w:after="200" w:line="360"/>
        <w:ind w:right="0" w:left="0" w:firstLine="709"/>
        <w:jc w:val="left"/>
        <w:rPr>
          <w:rFonts w:ascii="Times New Roman" w:hAnsi="Times New Roman" w:cs="Times New Roman" w:eastAsia="Times New Roman"/>
          <w:color w:val="auto"/>
          <w:spacing w:val="0"/>
          <w:position w:val="0"/>
          <w:sz w:val="22"/>
          <w:shd w:fill="auto" w:val="clear"/>
        </w:rPr>
      </w:pPr>
    </w:p>
    <w:p>
      <w:pPr>
        <w:spacing w:before="0" w:after="200" w:line="360"/>
        <w:ind w:right="0" w:left="0" w:firstLine="709"/>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podemos perceber, por mais que o movimento tente romper com as relações sociais impostas pela atual sociedade – capitalista e patriarcalista – essas mudanças acontecem aos poucos, pois o arcabouço sócio-cultural que envolve seus militantes, após séculos de opressão e diversas formas de exploração feminina e do trabalhador, são ainda muito presentes na formação de sua base. E o conseguir romper com essas relações só será possível através de um trabalho cotidiano, em todos os espaços: na produção, na educação, na formação do ser sem terra.</w:t>
      </w:r>
    </w:p>
    <w:p>
      <w:pPr>
        <w:spacing w:before="0" w:after="120" w:line="360"/>
        <w:ind w:right="0" w:left="283"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Ciranda Infantil</w:t>
      </w:r>
    </w:p>
    <w:p>
      <w:pPr>
        <w:spacing w:before="0" w:after="0" w:line="360"/>
        <w:ind w:right="0" w:left="284"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Nesta instância do movimento, observou-se uma orientação que se articula no sentido de assegurar a participação de 50% das mulheres nos espaços do movimento , atuando como um importante instrumento incentivador para que estas mulheres sintam-se parte e responsáveis pelo processo de luta e organização. A Ciranda Infantil (CI) que se constitui enquanto</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espaço educativo, organizado com o objetivo de trabalhar as várias dimensões do ser criança Sem Terrinha como sujeito de direitos, com valores, imaginação fantasia e personalidade em formação, vinculando as vivências com a criatividade, as relações de gênero, a cooperação, a criticidade, a autonomia, o trabalho educativo, a saúde e a luta pela dignidade de concretizar a conquista, a reforma agrária, as mudanças sociais.(MST, 2004).</w:t>
      </w:r>
    </w:p>
    <w:p>
      <w:pPr>
        <w:spacing w:before="0" w:after="0" w:line="276"/>
        <w:ind w:right="0" w:left="4139" w:firstLine="0"/>
        <w:jc w:val="both"/>
        <w:rPr>
          <w:rFonts w:ascii="Times New Roman" w:hAnsi="Times New Roman" w:cs="Times New Roman" w:eastAsia="Times New Roman"/>
          <w:color w:val="auto"/>
          <w:spacing w:val="0"/>
          <w:position w:val="0"/>
          <w:sz w:val="21"/>
          <w:shd w:fill="auto" w:val="clear"/>
        </w:rPr>
      </w:pPr>
    </w:p>
    <w:p>
      <w:pPr>
        <w:spacing w:before="0" w:after="0" w:line="360"/>
        <w:ind w:right="0" w:left="284"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grande obstáculo que foi apontado pelas mulheres foi a guarda dos filhos pequenos. O fato de ser mãe acaba por dificultar a participação das mulheres nos mais diferentes espaços e atividades. É nesse sentido que as Cirandas Infantis passam a se constituir em espaços de construção de novas relações sociais.  O movimento passa a dividir com a família a responsabilidade pelo (a)s sem </w:t>
      </w:r>
      <w:r>
        <w:rPr>
          <w:rFonts w:ascii="Times New Roman" w:hAnsi="Times New Roman" w:cs="Times New Roman" w:eastAsia="Times New Roman"/>
          <w:i/>
          <w:color w:val="auto"/>
          <w:spacing w:val="0"/>
          <w:position w:val="0"/>
          <w:sz w:val="24"/>
          <w:shd w:fill="auto" w:val="clear"/>
        </w:rPr>
        <w:t xml:space="preserve">terrinha</w:t>
      </w:r>
      <w:r>
        <w:rPr>
          <w:rFonts w:ascii="Times New Roman" w:hAnsi="Times New Roman" w:cs="Times New Roman" w:eastAsia="Times New Roman"/>
          <w:color w:val="auto"/>
          <w:spacing w:val="0"/>
          <w:position w:val="0"/>
          <w:sz w:val="24"/>
          <w:shd w:fill="auto" w:val="clear"/>
        </w:rPr>
        <w:t xml:space="preserve"> e demarca por um lado, a necessidade da participação da mulher nos mais diferente espaço político.  Por outro, contribui para a noção de que homens e mulheres – são responsáveis pela criança sem terrinha. Nesse processo as mulheres constroem “novas formas de conceber a divisão sexual do trabalho”.</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 aí nessa discussão de gênero tem uma coisa importante que, eu acho que é uma das coisas importante que também foram discutidas juntamente com o setor de educação, é essa história da consolidação das cirandas infantis. É justamente essa discussão que o todo do movimento acaba encontrando que facilita a participação das mulheres, que faz com que verdadeiramente as mulheres participem e sejam protagonistas, porque mesmo os homens militantes do movimento, ainda têm a concepção de que as mulheres, para participar elas é que definem onde deixam as crianças. Então o movimento resolveu tomar para si essa tarefa de onde as mulheres possam deixar suas crianças e possam estar garantindo a sua participação, que são as cirandas infantis.(...) A Ciranda tem se constituído em um espaço importante tanto no que diz respeito pra questão das mulheres no MST, assim como importante pras as crianças do movimento sem terra, como os sem terrinha. Na ciranda infantil (...) as crianças aprendem a identidade, compreender o que é de fato ser um sem terrinha, e quais digamos, seria assim, (...) os direitos e os deveres da criança sem terrinha. (...) Além de proporcionar essa participação das mulheres no movimento ela também tem esse grande objetivo que é da formação dos sem terrinha do MST. (Inês Pinheiro).</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palavras de Salete Moreno,</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a importância da ciranda é garantir a participação de homens e mulheres nas ações da organização. Hoje, o Movimento deu um salto de qualidade, a importância da ciranda é pra garantir a participação da família, homens mulheres e crianças. Por que a Ciranda ela é organizada não só pra colocar a criança, mas também pra fazer a formação política da criança, trabalhar sua identidade, pra ela se perceber enquanto sujeito dessa construção social...</w:t>
      </w:r>
    </w:p>
    <w:p>
      <w:pPr>
        <w:spacing w:before="0" w:after="0" w:line="240"/>
        <w:ind w:right="0" w:left="414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palavras de uma militante: “ela é fundamental para garantir a participação da mulher, mas também para a formação dos sem terrinha enquanto sujeito fruto da luta e parte dela”. Quando entrevistados, ou respondendo a questionários, as Cirandas infantis são apontadas pelos e pelas militantes Sem Terra como esse elemento que, na prática, possibilita e/ou facilita a participação das mulheres nas ações do movimento.</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aspecto a ser ressaltado é a formação da criança sem </w:t>
      </w:r>
      <w:r>
        <w:rPr>
          <w:rFonts w:ascii="Times New Roman" w:hAnsi="Times New Roman" w:cs="Times New Roman" w:eastAsia="Times New Roman"/>
          <w:i/>
          <w:color w:val="auto"/>
          <w:spacing w:val="0"/>
          <w:position w:val="0"/>
          <w:sz w:val="24"/>
          <w:shd w:fill="auto" w:val="clear"/>
        </w:rPr>
        <w:t xml:space="preserve">terrinha</w:t>
      </w:r>
      <w:r>
        <w:rPr>
          <w:rFonts w:ascii="Times New Roman" w:hAnsi="Times New Roman" w:cs="Times New Roman" w:eastAsia="Times New Roman"/>
          <w:color w:val="auto"/>
          <w:spacing w:val="0"/>
          <w:position w:val="0"/>
          <w:sz w:val="24"/>
          <w:shd w:fill="auto" w:val="clear"/>
        </w:rPr>
        <w:t xml:space="preserve">, dentro da perspectiva dos homens e mulheres que o movimento almeja formar. Como mencionado anteriormente, entendemos que as relações de gênero são moldadas pela sociedade na qual o sujeito social está inserido, a partir de valores culturais estabelecidos, de modo que as relações que se forjam são frutos da visão de mundo dessa sociedade. Nessa perspectiva, sendo incutidas de novos valores sociais e culturais, na formação da criança sem terrinha é possível vislumbrar também a construção de novas relações sociais: a coletividade em detrimento da individualidade, a solidariedade substituindo a competitividade; e essa criança cresce percebendo que “modelos”  sociais não são naturais, mas construídos socialmente.</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360"/>
        <w:ind w:right="0" w:left="28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CONSIDERAÇOES FINAIS </w:t>
      </w:r>
    </w:p>
    <w:p>
      <w:pPr>
        <w:tabs>
          <w:tab w:val="left" w:pos="6135" w:leader="none"/>
        </w:tabs>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da pesquisa percebemos </w:t>
      </w:r>
      <w:r>
        <w:rPr>
          <w:rFonts w:ascii="Times New Roman" w:hAnsi="Times New Roman" w:cs="Times New Roman" w:eastAsia="Times New Roman"/>
          <w:b/>
          <w:color w:val="auto"/>
          <w:spacing w:val="0"/>
          <w:position w:val="0"/>
          <w:sz w:val="24"/>
          <w:shd w:fill="auto" w:val="clear"/>
        </w:rPr>
        <w:t xml:space="preserve">que o Movimento Sem Terra, partindo de uma reflexão e da luta das mulheres, compreende a importância destas na luta, mas principalmente a importância dessas mulheres se perceberem enquanto sujeitos do processo histórico, da construção social, da luta por uma nova sociedade</w:t>
      </w:r>
    </w:p>
    <w:p>
      <w:pPr>
        <w:tabs>
          <w:tab w:val="left" w:pos="6135" w:leader="none"/>
        </w:tabs>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Há muito o que avançar, mas já  existem conquistas importantes que precisam ser ampliadas como a Direção Nacional formada por 50% de mulheres, uma crescente participação das mulheres no setor de produção, a expressiva participação de mulheres em  congresso, além da própria criação do setor de gênero, um espaço orgânico na estrutura do MST para se debater as relações de gênero.</w:t>
      </w:r>
    </w:p>
    <w:p>
      <w:pPr>
        <w:tabs>
          <w:tab w:val="left" w:pos="6135" w:leader="none"/>
        </w:tabs>
        <w:spacing w:before="0" w:after="200" w:line="360"/>
        <w:ind w:right="0" w:left="0" w:firstLine="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A luta das mulheres levou o Movimento a aperfeiçoar os “mecanismos de participação das mulheres. O resultado disso foi garantir a participação de 50% de mulheres em todos os espaços e instâncias e a Ciranda Infantil, que é um espaço de formação da criança sem terra, mas também um espaço que possibilita às mães participarem das atividades do Movimento.</w:t>
      </w:r>
    </w:p>
    <w:p>
      <w:pPr>
        <w:spacing w:before="0" w:after="200" w:line="360"/>
        <w:ind w:right="0" w:left="0" w:firstLine="709"/>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Do mesmo modo pude perceber as limitações no que tange á construção dessa nova sociedade almejada pelo MST. Para os entrevistados, as limitações são muitas, dentro e fora do Movimento </w:t>
      </w:r>
      <w:r>
        <w:rPr>
          <w:rFonts w:ascii="Times New Roman" w:hAnsi="Times New Roman" w:cs="Times New Roman" w:eastAsia="Times New Roman"/>
          <w:color w:val="auto"/>
          <w:spacing w:val="0"/>
          <w:position w:val="0"/>
          <w:sz w:val="22"/>
          <w:shd w:fill="auto" w:val="clear"/>
        </w:rPr>
        <w:t xml:space="preserve">Além dos aspectos políticos, como os apontados pela entrevistada, há também as questões de estruturais relativa a sociedade patriarcalista que historicamente confinou a mulher no espaço privado, fora da vida política.</w:t>
      </w:r>
      <w:r>
        <w:rPr>
          <w:rFonts w:ascii="Times New Roman" w:hAnsi="Times New Roman" w:cs="Times New Roman" w:eastAsia="Times New Roman"/>
          <w:color w:val="auto"/>
          <w:spacing w:val="0"/>
          <w:position w:val="0"/>
          <w:sz w:val="24"/>
          <w:shd w:fill="auto" w:val="clear"/>
        </w:rPr>
        <w:t xml:space="preserve"> Na superação desses limites as mulheres do Movimento Sem Terra têm atuado em duas frentes: na luta por reforma agrária e na luta pela democratização das relações entre os gêneros.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AZAR, Zaira Sabry. </w:t>
      </w:r>
      <w:r>
        <w:rPr>
          <w:rFonts w:ascii="Times New Roman" w:hAnsi="Times New Roman" w:cs="Times New Roman" w:eastAsia="Times New Roman"/>
          <w:b/>
          <w:i/>
          <w:color w:val="auto"/>
          <w:spacing w:val="0"/>
          <w:position w:val="0"/>
          <w:sz w:val="24"/>
          <w:shd w:fill="auto" w:val="clear"/>
        </w:rPr>
        <w:t xml:space="preserve">A Organização da Produção da Vila Diamante na Luta pela Terra no Maranhão.</w:t>
      </w:r>
      <w:r>
        <w:rPr>
          <w:rFonts w:ascii="Times New Roman" w:hAnsi="Times New Roman" w:cs="Times New Roman" w:eastAsia="Times New Roman"/>
          <w:color w:val="auto"/>
          <w:spacing w:val="0"/>
          <w:position w:val="0"/>
          <w:sz w:val="24"/>
          <w:shd w:fill="auto" w:val="clear"/>
        </w:rPr>
        <w:t xml:space="preserve"> São Luís : Universidade Federal do Maranhão Dissertação de Mestrado em Políticas Públicas,2005.</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BARBOSA, Zulene Muniz. </w:t>
      </w:r>
      <w:r>
        <w:rPr>
          <w:rFonts w:ascii="Times New Roman" w:hAnsi="Times New Roman" w:cs="Times New Roman" w:eastAsia="Times New Roman"/>
          <w:b/>
          <w:color w:val="auto"/>
          <w:spacing w:val="0"/>
          <w:position w:val="0"/>
          <w:sz w:val="24"/>
          <w:shd w:fill="auto" w:val="clear"/>
        </w:rPr>
        <w:t xml:space="preserve">Maranhão, Brasil: luta de classe e reestruturação produtiva em uma nova rodada de transnacionalização do capitalismo</w:t>
      </w:r>
      <w:r>
        <w:rPr>
          <w:rFonts w:ascii="Times New Roman" w:hAnsi="Times New Roman" w:cs="Times New Roman" w:eastAsia="Times New Roman"/>
          <w:color w:val="auto"/>
          <w:spacing w:val="0"/>
          <w:position w:val="0"/>
          <w:sz w:val="24"/>
          <w:shd w:fill="auto" w:val="clear"/>
        </w:rPr>
        <w:t xml:space="preserve">. Tese (Doutorado em Ciências Sociais) - Pontifícia Universidade Católica de São Paulo. 2002.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BASSANEZI, Carla. Mulheres dos Anos Dourados. In </w:t>
      </w:r>
      <w:r>
        <w:rPr>
          <w:rFonts w:ascii="Times New Roman" w:hAnsi="Times New Roman" w:cs="Times New Roman" w:eastAsia="Times New Roman"/>
          <w:b/>
          <w:i/>
          <w:color w:val="auto"/>
          <w:spacing w:val="0"/>
          <w:position w:val="0"/>
          <w:sz w:val="24"/>
          <w:shd w:fill="auto" w:val="clear"/>
        </w:rPr>
        <w:t xml:space="preserve">História das Mulheres no Brasil</w:t>
      </w:r>
      <w:r>
        <w:rPr>
          <w:rFonts w:ascii="Times New Roman" w:hAnsi="Times New Roman" w:cs="Times New Roman" w:eastAsia="Times New Roman"/>
          <w:color w:val="auto"/>
          <w:spacing w:val="0"/>
          <w:position w:val="0"/>
          <w:sz w:val="24"/>
          <w:shd w:fill="auto" w:val="clear"/>
        </w:rPr>
        <w:t xml:space="preserve">. PRIORE, Mary Del (org.). P. 607-639. São Paulo: Contexto, 2000.</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BEAUVOIR, Simone de. </w:t>
      </w:r>
      <w:r>
        <w:rPr>
          <w:rFonts w:ascii="Times New Roman" w:hAnsi="Times New Roman" w:cs="Times New Roman" w:eastAsia="Times New Roman"/>
          <w:b/>
          <w:i/>
          <w:color w:val="auto"/>
          <w:spacing w:val="0"/>
          <w:position w:val="0"/>
          <w:sz w:val="24"/>
          <w:shd w:fill="auto" w:val="clear"/>
        </w:rPr>
        <w:t xml:space="preserve">O Segundo Sexo. </w:t>
      </w:r>
      <w:r>
        <w:rPr>
          <w:rFonts w:ascii="Times New Roman" w:hAnsi="Times New Roman" w:cs="Times New Roman" w:eastAsia="Times New Roman"/>
          <w:color w:val="auto"/>
          <w:spacing w:val="0"/>
          <w:position w:val="0"/>
          <w:sz w:val="24"/>
          <w:shd w:fill="auto" w:val="clear"/>
        </w:rPr>
        <w:t xml:space="preserve">MILLET, Sérgio. Tradução. Rio de Janeiro: 1980. Nova Fronteira.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CLADART, Roseli Salete. </w:t>
      </w:r>
      <w:r>
        <w:rPr>
          <w:rFonts w:ascii="Times New Roman" w:hAnsi="Times New Roman" w:cs="Times New Roman" w:eastAsia="Times New Roman"/>
          <w:b/>
          <w:i/>
          <w:color w:val="auto"/>
          <w:spacing w:val="0"/>
          <w:position w:val="0"/>
          <w:sz w:val="24"/>
          <w:shd w:fill="auto" w:val="clear"/>
        </w:rPr>
        <w:t xml:space="preserve">Pedagogia do Movimento Sem Terra</w:t>
      </w:r>
      <w:r>
        <w:rPr>
          <w:rFonts w:ascii="Times New Roman" w:hAnsi="Times New Roman" w:cs="Times New Roman" w:eastAsia="Times New Roman"/>
          <w:color w:val="auto"/>
          <w:spacing w:val="0"/>
          <w:position w:val="0"/>
          <w:sz w:val="24"/>
          <w:shd w:fill="auto" w:val="clear"/>
        </w:rPr>
        <w:t xml:space="preserve">. 2ª. Edição. Editora Vozes, Petrópolis, 2000.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FISCHER, Izaura Rufino. E GEHLEN, Vitória. </w:t>
      </w:r>
      <w:r>
        <w:rPr>
          <w:rFonts w:ascii="Times New Roman" w:hAnsi="Times New Roman" w:cs="Times New Roman" w:eastAsia="Times New Roman"/>
          <w:b/>
          <w:i/>
          <w:color w:val="auto"/>
          <w:spacing w:val="0"/>
          <w:position w:val="0"/>
          <w:sz w:val="24"/>
          <w:shd w:fill="auto" w:val="clear"/>
        </w:rPr>
        <w:t xml:space="preserve">Reforma Agrária: Chão Masculino, Pão Feminino.</w:t>
      </w:r>
      <w:r>
        <w:rPr>
          <w:rFonts w:ascii="Times New Roman" w:hAnsi="Times New Roman" w:cs="Times New Roman" w:eastAsia="Times New Roman"/>
          <w:color w:val="auto"/>
          <w:spacing w:val="0"/>
          <w:position w:val="0"/>
          <w:sz w:val="24"/>
          <w:shd w:fill="auto" w:val="clear"/>
        </w:rPr>
        <w:t xml:space="preserve"> Trabalhos para discussão, nº 130/2002. Fevereiro de 2002. </w:t>
      </w:r>
      <w:hyperlink xmlns:r="http://schemas.openxmlformats.org/officeDocument/2006/relationships" r:id="docRId91">
        <w:r>
          <w:rPr>
            <w:rFonts w:ascii="Times New Roman" w:hAnsi="Times New Roman" w:cs="Times New Roman" w:eastAsia="Times New Roman"/>
            <w:color w:val="0000FF"/>
            <w:spacing w:val="0"/>
            <w:position w:val="0"/>
            <w:sz w:val="24"/>
            <w:u w:val="single"/>
            <w:shd w:fill="auto" w:val="clear"/>
          </w:rPr>
          <w:t xml:space="preserve">www.fundaj.gov.br/tpd/130.html. último acesso em 28/01/2007</w:t>
        </w:r>
      </w:hyperlink>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GIULANI, Paola Cappellin. Os Movimentos de Trabalhadoras e a Sociedade Brasileira. In </w:t>
      </w:r>
      <w:r>
        <w:rPr>
          <w:rFonts w:ascii="Times New Roman" w:hAnsi="Times New Roman" w:cs="Times New Roman" w:eastAsia="Times New Roman"/>
          <w:b/>
          <w:i/>
          <w:color w:val="auto"/>
          <w:spacing w:val="0"/>
          <w:position w:val="0"/>
          <w:sz w:val="24"/>
          <w:shd w:fill="auto" w:val="clear"/>
        </w:rPr>
        <w:t xml:space="preserve">História das Mulheres no Brasil</w:t>
      </w:r>
      <w:r>
        <w:rPr>
          <w:rFonts w:ascii="Times New Roman" w:hAnsi="Times New Roman" w:cs="Times New Roman" w:eastAsia="Times New Roman"/>
          <w:color w:val="auto"/>
          <w:spacing w:val="0"/>
          <w:position w:val="0"/>
          <w:sz w:val="24"/>
          <w:shd w:fill="auto" w:val="clear"/>
        </w:rPr>
        <w:t xml:space="preserve">. PRIORE, Mary Del (org.). P. 640-668. São Paulo: Contexto, 2000.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GONÇALVES, Renata. </w:t>
      </w:r>
      <w:r>
        <w:rPr>
          <w:rFonts w:ascii="Times New Roman" w:hAnsi="Times New Roman" w:cs="Times New Roman" w:eastAsia="Times New Roman"/>
          <w:b/>
          <w:i/>
          <w:color w:val="auto"/>
          <w:spacing w:val="0"/>
          <w:position w:val="0"/>
          <w:sz w:val="24"/>
          <w:shd w:fill="auto" w:val="clear"/>
        </w:rPr>
        <w:t xml:space="preserve">Vamos acampar? A luta pela terra e a busca pelo assentamento de novas relações de gênero no MST do Pontal do Paranapanema</w:t>
      </w:r>
      <w:r>
        <w:rPr>
          <w:rFonts w:ascii="Times New Roman" w:hAnsi="Times New Roman" w:cs="Times New Roman" w:eastAsia="Times New Roman"/>
          <w:color w:val="auto"/>
          <w:spacing w:val="0"/>
          <w:position w:val="0"/>
          <w:sz w:val="24"/>
          <w:shd w:fill="auto" w:val="clear"/>
        </w:rPr>
        <w:t xml:space="preserve">. Campinas: 2005. Tese de doutorado em Sociologia, Unicamp.</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 </w:t>
      </w:r>
      <w:r>
        <w:rPr>
          <w:rFonts w:ascii="Times New Roman" w:hAnsi="Times New Roman" w:cs="Times New Roman" w:eastAsia="Times New Roman"/>
          <w:b/>
          <w:i/>
          <w:color w:val="auto"/>
          <w:spacing w:val="0"/>
          <w:position w:val="0"/>
          <w:sz w:val="24"/>
          <w:shd w:fill="auto" w:val="clear"/>
        </w:rPr>
        <w:t xml:space="preserve">Acampamentos: novas relações de gênero (con)fundidas na luta pela terra.</w:t>
      </w:r>
      <w:r>
        <w:rPr>
          <w:rFonts w:ascii="Times New Roman" w:hAnsi="Times New Roman" w:cs="Times New Roman" w:eastAsia="Times New Roman"/>
          <w:color w:val="auto"/>
          <w:spacing w:val="0"/>
          <w:position w:val="0"/>
          <w:sz w:val="24"/>
          <w:shd w:fill="auto" w:val="clear"/>
        </w:rPr>
        <w:t xml:space="preserve"> IN Lutas Sociais, nº 13/14. 1º semestre de 2005. NEILS. PUC/ São Paulo.</w:t>
      </w:r>
    </w:p>
    <w:p>
      <w:pPr>
        <w:spacing w:before="0" w:after="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KERGOAT, Danièle. Divisão sexual do trabalho e relações sociais de sexo. Tradução Miriam Nobre. In </w:t>
      </w:r>
      <w:r>
        <w:rPr>
          <w:rFonts w:ascii="Times New Roman" w:hAnsi="Times New Roman" w:cs="Times New Roman" w:eastAsia="Times New Roman"/>
          <w:b/>
          <w:i/>
          <w:color w:val="auto"/>
          <w:spacing w:val="0"/>
          <w:position w:val="0"/>
          <w:sz w:val="24"/>
          <w:shd w:fill="auto" w:val="clear"/>
        </w:rPr>
        <w:t xml:space="preserve">Cidadania Ativa Para as Mulheres: desafios para as Políticas Públicas</w:t>
      </w:r>
      <w:r>
        <w:rPr>
          <w:rFonts w:ascii="Times New Roman" w:hAnsi="Times New Roman" w:cs="Times New Roman" w:eastAsia="Times New Roman"/>
          <w:color w:val="auto"/>
          <w:spacing w:val="0"/>
          <w:position w:val="0"/>
          <w:sz w:val="24"/>
          <w:shd w:fill="auto" w:val="clear"/>
        </w:rPr>
        <w:t xml:space="preserve"> / Marli Emílio (org.), Marilane Teixeira (org.), Miriam Nobre (org.), Tatau Godinho (org.). - São Paulo: Coordenadoria Especial da Mulher, 2003. Disponível em </w:t>
      </w:r>
      <w:hyperlink xmlns:r="http://schemas.openxmlformats.org/officeDocument/2006/relationships" r:id="docRId92">
        <w:r>
          <w:rPr>
            <w:rFonts w:ascii="Times New Roman" w:hAnsi="Times New Roman" w:cs="Times New Roman" w:eastAsia="Times New Roman"/>
            <w:color w:val="0000FF"/>
            <w:spacing w:val="0"/>
            <w:position w:val="0"/>
            <w:sz w:val="24"/>
            <w:u w:val="single"/>
            <w:shd w:fill="auto" w:val="clear"/>
          </w:rPr>
          <w:t xml:space="preserve">http://www.sof.org.br/arquivos/pdf/cidadania_ativa.pdf</w:t>
        </w:r>
      </w:hyperlink>
      <w:r>
        <w:rPr>
          <w:rFonts w:ascii="Times New Roman" w:hAnsi="Times New Roman" w:cs="Times New Roman" w:eastAsia="Times New Roman"/>
          <w:color w:val="auto"/>
          <w:spacing w:val="0"/>
          <w:position w:val="0"/>
          <w:sz w:val="24"/>
          <w:shd w:fill="auto" w:val="clear"/>
        </w:rPr>
        <w:t xml:space="preserve"> (último acesso em 28/09/2010)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KON, Anita. </w:t>
      </w:r>
      <w:r>
        <w:rPr>
          <w:rFonts w:ascii="Times New Roman" w:hAnsi="Times New Roman" w:cs="Times New Roman" w:eastAsia="Times New Roman"/>
          <w:b/>
          <w:i/>
          <w:color w:val="auto"/>
          <w:spacing w:val="0"/>
          <w:position w:val="0"/>
          <w:sz w:val="24"/>
          <w:shd w:fill="auto" w:val="clear"/>
        </w:rPr>
        <w:t xml:space="preserve">Considerações Teóricas Sobre a Divisão Sexual do Trabalho na Família: repercussões sobre o mercado de trabalho</w:t>
      </w:r>
      <w:r>
        <w:rPr>
          <w:rFonts w:ascii="Times New Roman" w:hAnsi="Times New Roman" w:cs="Times New Roman" w:eastAsia="Times New Roman"/>
          <w:color w:val="auto"/>
          <w:spacing w:val="0"/>
          <w:position w:val="0"/>
          <w:sz w:val="24"/>
          <w:shd w:fill="auto" w:val="clear"/>
        </w:rPr>
        <w:t xml:space="preserve">. Belo Horizonte/MG:2005. Disponível em </w:t>
      </w:r>
      <w:hyperlink xmlns:r="http://schemas.openxmlformats.org/officeDocument/2006/relationships" r:id="docRId93">
        <w:r>
          <w:rPr>
            <w:rFonts w:ascii="Times New Roman" w:hAnsi="Times New Roman" w:cs="Times New Roman" w:eastAsia="Times New Roman"/>
            <w:color w:val="0000FF"/>
            <w:spacing w:val="0"/>
            <w:position w:val="0"/>
            <w:sz w:val="24"/>
            <w:u w:val="single"/>
            <w:shd w:fill="auto" w:val="clear"/>
          </w:rPr>
          <w:t xml:space="preserve">http://www.abep.nepo.unicamp.br/docs/anais/outros/FamPolPublicas/AnitaKon.pdf</w:t>
        </w:r>
      </w:hyperlink>
      <w:r>
        <w:rPr>
          <w:rFonts w:ascii="Times New Roman" w:hAnsi="Times New Roman" w:cs="Times New Roman" w:eastAsia="Times New Roman"/>
          <w:color w:val="auto"/>
          <w:spacing w:val="0"/>
          <w:position w:val="0"/>
          <w:sz w:val="24"/>
          <w:shd w:fill="auto" w:val="clear"/>
        </w:rPr>
        <w:t xml:space="preserve"> (último acesso em 28/09/2010)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MACEDO, José Rivair. </w:t>
      </w:r>
      <w:r>
        <w:rPr>
          <w:rFonts w:ascii="Times New Roman" w:hAnsi="Times New Roman" w:cs="Times New Roman" w:eastAsia="Times New Roman"/>
          <w:b/>
          <w:i/>
          <w:color w:val="auto"/>
          <w:spacing w:val="0"/>
          <w:position w:val="0"/>
          <w:sz w:val="24"/>
          <w:shd w:fill="auto" w:val="clear"/>
        </w:rPr>
        <w:t xml:space="preserve">A Mulher na Idade Média</w:t>
      </w:r>
      <w:r>
        <w:rPr>
          <w:rFonts w:ascii="Times New Roman" w:hAnsi="Times New Roman" w:cs="Times New Roman" w:eastAsia="Times New Roman"/>
          <w:color w:val="auto"/>
          <w:spacing w:val="0"/>
          <w:position w:val="0"/>
          <w:sz w:val="24"/>
          <w:shd w:fill="auto" w:val="clear"/>
        </w:rPr>
        <w:t xml:space="preserve">. 5</w:t>
      </w:r>
      <w:r>
        <w:rPr>
          <w:rFonts w:ascii="Times New Roman" w:hAnsi="Times New Roman" w:cs="Times New Roman" w:eastAsia="Times New Roman"/>
          <w:color w:val="auto"/>
          <w:spacing w:val="0"/>
          <w:position w:val="0"/>
          <w:sz w:val="24"/>
          <w:shd w:fill="auto" w:val="clear"/>
          <w:vertAlign w:val="superscript"/>
        </w:rPr>
        <w:t xml:space="preserve">a</w:t>
      </w:r>
      <w:r>
        <w:rPr>
          <w:rFonts w:ascii="Times New Roman" w:hAnsi="Times New Roman" w:cs="Times New Roman" w:eastAsia="Times New Roman"/>
          <w:color w:val="auto"/>
          <w:spacing w:val="0"/>
          <w:position w:val="0"/>
          <w:sz w:val="24"/>
          <w:shd w:fill="auto" w:val="clear"/>
        </w:rPr>
        <w:t xml:space="preserve">. Edição. Contexto, 2002.</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MORISSWA, Mitsue. </w:t>
      </w:r>
      <w:r>
        <w:rPr>
          <w:rFonts w:ascii="Times New Roman" w:hAnsi="Times New Roman" w:cs="Times New Roman" w:eastAsia="Times New Roman"/>
          <w:b/>
          <w:i/>
          <w:color w:val="auto"/>
          <w:spacing w:val="0"/>
          <w:position w:val="0"/>
          <w:sz w:val="24"/>
          <w:shd w:fill="auto" w:val="clear"/>
        </w:rPr>
        <w:t xml:space="preserve">A História da Luta pela Terra e o MST</w:t>
      </w:r>
      <w:r>
        <w:rPr>
          <w:rFonts w:ascii="Times New Roman" w:hAnsi="Times New Roman" w:cs="Times New Roman" w:eastAsia="Times New Roman"/>
          <w:color w:val="auto"/>
          <w:spacing w:val="0"/>
          <w:position w:val="0"/>
          <w:sz w:val="24"/>
          <w:shd w:fill="auto" w:val="clear"/>
        </w:rPr>
        <w:t xml:space="preserve">. São Paulo, Expressão Popular, 2001.</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MST. </w:t>
      </w:r>
      <w:r>
        <w:rPr>
          <w:rFonts w:ascii="Times New Roman" w:hAnsi="Times New Roman" w:cs="Times New Roman" w:eastAsia="Times New Roman"/>
          <w:b/>
          <w:i/>
          <w:color w:val="auto"/>
          <w:spacing w:val="0"/>
          <w:position w:val="0"/>
          <w:sz w:val="24"/>
          <w:shd w:fill="auto" w:val="clear"/>
        </w:rPr>
        <w:t xml:space="preserve">Caderno de Educação n. º 08. Princípios da Educação no MST</w:t>
      </w:r>
      <w:r>
        <w:rPr>
          <w:rFonts w:ascii="Times New Roman" w:hAnsi="Times New Roman" w:cs="Times New Roman" w:eastAsia="Times New Roman"/>
          <w:color w:val="auto"/>
          <w:spacing w:val="0"/>
          <w:position w:val="0"/>
          <w:sz w:val="24"/>
          <w:shd w:fill="auto" w:val="clear"/>
        </w:rPr>
        <w:t xml:space="preserve">. 1999</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w:t>
      </w:r>
      <w:r>
        <w:rPr>
          <w:rFonts w:ascii="Times New Roman" w:hAnsi="Times New Roman" w:cs="Times New Roman" w:eastAsia="Times New Roman"/>
          <w:b/>
          <w:i/>
          <w:color w:val="auto"/>
          <w:spacing w:val="0"/>
          <w:position w:val="0"/>
          <w:sz w:val="24"/>
          <w:shd w:fill="auto" w:val="clear"/>
        </w:rPr>
        <w:t xml:space="preserve">Boletim da Educação n.º 09. Educação no MST, Balanço 20 anos</w:t>
      </w:r>
      <w:r>
        <w:rPr>
          <w:rFonts w:ascii="Times New Roman" w:hAnsi="Times New Roman" w:cs="Times New Roman" w:eastAsia="Times New Roman"/>
          <w:color w:val="auto"/>
          <w:spacing w:val="0"/>
          <w:position w:val="0"/>
          <w:sz w:val="24"/>
          <w:shd w:fill="auto" w:val="clear"/>
        </w:rPr>
        <w:t xml:space="preserve">. 2004.</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w:t>
      </w:r>
      <w:r>
        <w:rPr>
          <w:rFonts w:ascii="Times New Roman" w:hAnsi="Times New Roman" w:cs="Times New Roman" w:eastAsia="Times New Roman"/>
          <w:b/>
          <w:i/>
          <w:color w:val="auto"/>
          <w:spacing w:val="0"/>
          <w:position w:val="0"/>
          <w:sz w:val="24"/>
          <w:shd w:fill="auto" w:val="clear"/>
        </w:rPr>
        <w:t xml:space="preserve">Caderno de Educação n. º 12. Educação Infantil: Movimento da Vida, Dança do Aprender</w:t>
      </w:r>
      <w:r>
        <w:rPr>
          <w:rFonts w:ascii="Times New Roman" w:hAnsi="Times New Roman" w:cs="Times New Roman" w:eastAsia="Times New Roman"/>
          <w:color w:val="auto"/>
          <w:spacing w:val="0"/>
          <w:position w:val="0"/>
          <w:sz w:val="24"/>
          <w:shd w:fill="auto" w:val="clear"/>
        </w:rPr>
        <w:t xml:space="preserve">. 2004.</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w:t>
      </w:r>
      <w:r>
        <w:rPr>
          <w:rFonts w:ascii="Times New Roman" w:hAnsi="Times New Roman" w:cs="Times New Roman" w:eastAsia="Times New Roman"/>
          <w:b/>
          <w:i/>
          <w:color w:val="auto"/>
          <w:spacing w:val="0"/>
          <w:position w:val="0"/>
          <w:sz w:val="24"/>
          <w:shd w:fill="auto" w:val="clear"/>
        </w:rPr>
        <w:t xml:space="preserve">Dossiê MST Escola – Documentos e Estudos 1990-2000</w:t>
      </w:r>
      <w:r>
        <w:rPr>
          <w:rFonts w:ascii="Times New Roman" w:hAnsi="Times New Roman" w:cs="Times New Roman" w:eastAsia="Times New Roman"/>
          <w:color w:val="auto"/>
          <w:spacing w:val="0"/>
          <w:position w:val="0"/>
          <w:sz w:val="24"/>
          <w:shd w:fill="auto" w:val="clear"/>
        </w:rPr>
        <w:t xml:space="preserve">. 1ª. Edição. 2005.</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MA. </w:t>
      </w:r>
      <w:r>
        <w:rPr>
          <w:rFonts w:ascii="Times New Roman" w:hAnsi="Times New Roman" w:cs="Times New Roman" w:eastAsia="Times New Roman"/>
          <w:b/>
          <w:i/>
          <w:color w:val="auto"/>
          <w:spacing w:val="0"/>
          <w:position w:val="0"/>
          <w:sz w:val="24"/>
          <w:shd w:fill="auto" w:val="clear"/>
        </w:rPr>
        <w:t xml:space="preserve">Cartilhas de Formação de Núcleos de Família nº</w:t>
      </w:r>
      <w:r>
        <w:rPr>
          <w:rFonts w:ascii="Times New Roman" w:hAnsi="Times New Roman" w:cs="Times New Roman" w:eastAsia="Times New Roman"/>
          <w:b/>
          <w:i/>
          <w:color w:val="auto"/>
          <w:spacing w:val="0"/>
          <w:position w:val="0"/>
          <w:sz w:val="24"/>
          <w:shd w:fill="auto" w:val="clear"/>
          <w:vertAlign w:val="superscript"/>
        </w:rPr>
        <w:t xml:space="preserve">s</w:t>
      </w:r>
      <w:r>
        <w:rPr>
          <w:rFonts w:ascii="Times New Roman" w:hAnsi="Times New Roman" w:cs="Times New Roman" w:eastAsia="Times New Roman"/>
          <w:b/>
          <w:i/>
          <w:color w:val="auto"/>
          <w:spacing w:val="0"/>
          <w:position w:val="0"/>
          <w:sz w:val="24"/>
          <w:shd w:fill="auto" w:val="clear"/>
        </w:rPr>
        <w:t xml:space="preserve"> 1,2,3</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Coletivo Nacional de Mulheres. </w:t>
      </w:r>
      <w:r>
        <w:rPr>
          <w:rFonts w:ascii="Times New Roman" w:hAnsi="Times New Roman" w:cs="Times New Roman" w:eastAsia="Times New Roman"/>
          <w:b/>
          <w:i/>
          <w:color w:val="auto"/>
          <w:spacing w:val="0"/>
          <w:position w:val="0"/>
          <w:sz w:val="24"/>
          <w:shd w:fill="auto" w:val="clear"/>
        </w:rPr>
        <w:t xml:space="preserve">Compreender e Construir Novas Relações de Gênero</w:t>
      </w: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0"/>
          <w:position w:val="0"/>
          <w:sz w:val="24"/>
          <w:shd w:fill="auto" w:val="clear"/>
          <w:vertAlign w:val="superscript"/>
        </w:rPr>
        <w:t xml:space="preserve">a</w:t>
      </w:r>
      <w:r>
        <w:rPr>
          <w:rFonts w:ascii="Times New Roman" w:hAnsi="Times New Roman" w:cs="Times New Roman" w:eastAsia="Times New Roman"/>
          <w:color w:val="auto"/>
          <w:spacing w:val="0"/>
          <w:position w:val="0"/>
          <w:sz w:val="24"/>
          <w:shd w:fill="auto" w:val="clear"/>
        </w:rPr>
        <w:t xml:space="preserve"> Edição. São Paulo, Novembro de 1998.</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Coletivo Nacional de Mulheres. </w:t>
      </w:r>
      <w:r>
        <w:rPr>
          <w:rFonts w:ascii="Times New Roman" w:hAnsi="Times New Roman" w:cs="Times New Roman" w:eastAsia="Times New Roman"/>
          <w:b/>
          <w:i/>
          <w:color w:val="auto"/>
          <w:spacing w:val="0"/>
          <w:position w:val="0"/>
          <w:sz w:val="24"/>
          <w:shd w:fill="auto" w:val="clear"/>
        </w:rPr>
        <w:t xml:space="preserve">Mulher Sem Terra</w:t>
      </w:r>
      <w:r>
        <w:rPr>
          <w:rFonts w:ascii="Times New Roman" w:hAnsi="Times New Roman" w:cs="Times New Roman" w:eastAsia="Times New Roman"/>
          <w:color w:val="auto"/>
          <w:spacing w:val="0"/>
          <w:position w:val="0"/>
          <w:sz w:val="24"/>
          <w:shd w:fill="auto" w:val="clear"/>
        </w:rPr>
        <w:t xml:space="preserve">. São Paulo, Fevereiro/2000.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Setor Nacional de Gênero. </w:t>
      </w:r>
      <w:r>
        <w:rPr>
          <w:rFonts w:ascii="Times New Roman" w:hAnsi="Times New Roman" w:cs="Times New Roman" w:eastAsia="Times New Roman"/>
          <w:b/>
          <w:i/>
          <w:color w:val="auto"/>
          <w:spacing w:val="0"/>
          <w:position w:val="0"/>
          <w:sz w:val="24"/>
          <w:shd w:fill="auto" w:val="clear"/>
        </w:rPr>
        <w:t xml:space="preserve">Construindo Novas Relações de Gênero</w:t>
      </w:r>
      <w:r>
        <w:rPr>
          <w:rFonts w:ascii="Times New Roman" w:hAnsi="Times New Roman" w:cs="Times New Roman" w:eastAsia="Times New Roman"/>
          <w:color w:val="auto"/>
          <w:spacing w:val="0"/>
          <w:position w:val="0"/>
          <w:sz w:val="24"/>
          <w:shd w:fill="auto" w:val="clear"/>
        </w:rPr>
        <w:t xml:space="preserve">. Julho/2003</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Setor Nacional de Gênero. </w:t>
      </w:r>
      <w:r>
        <w:rPr>
          <w:rFonts w:ascii="Times New Roman" w:hAnsi="Times New Roman" w:cs="Times New Roman" w:eastAsia="Times New Roman"/>
          <w:b/>
          <w:i/>
          <w:color w:val="auto"/>
          <w:spacing w:val="0"/>
          <w:position w:val="0"/>
          <w:sz w:val="24"/>
          <w:shd w:fill="auto" w:val="clear"/>
        </w:rPr>
        <w:t xml:space="preserve">Mulheres Sem Terra, Lutando e Semeando Novas Relações de Gênero</w:t>
      </w:r>
      <w:r>
        <w:rPr>
          <w:rFonts w:ascii="Times New Roman" w:hAnsi="Times New Roman" w:cs="Times New Roman" w:eastAsia="Times New Roman"/>
          <w:color w:val="auto"/>
          <w:spacing w:val="0"/>
          <w:position w:val="0"/>
          <w:sz w:val="24"/>
          <w:shd w:fill="auto" w:val="clear"/>
        </w:rPr>
        <w:t xml:space="preserve">. 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OLINTO, Maria Teresa Anselmo. Reflexões sobre o uso do conceito de gênero e/ou sexo na epidemiologia: um exemplo nos modelos hierarquizados de análise. In </w:t>
      </w:r>
      <w:r>
        <w:rPr>
          <w:rFonts w:ascii="Times New Roman" w:hAnsi="Times New Roman" w:cs="Times New Roman" w:eastAsia="Times New Roman"/>
          <w:b/>
          <w:color w:val="auto"/>
          <w:spacing w:val="0"/>
          <w:position w:val="0"/>
          <w:sz w:val="24"/>
          <w:shd w:fill="auto" w:val="clear"/>
        </w:rPr>
        <w:t xml:space="preserve">Revista Brasileira de Epidemiologia</w:t>
      </w:r>
      <w:r>
        <w:rPr>
          <w:rFonts w:ascii="Times New Roman" w:hAnsi="Times New Roman" w:cs="Times New Roman" w:eastAsia="Times New Roman"/>
          <w:color w:val="auto"/>
          <w:spacing w:val="0"/>
          <w:position w:val="0"/>
          <w:sz w:val="24"/>
          <w:shd w:fill="auto" w:val="clear"/>
        </w:rPr>
        <w:t xml:space="preserve">. Volume 1, nº 02. São Paulo: Agosto/1998. Disponível em </w:t>
      </w:r>
      <w:hyperlink xmlns:r="http://schemas.openxmlformats.org/officeDocument/2006/relationships" r:id="docRId94">
        <w:r>
          <w:rPr>
            <w:rFonts w:ascii="Times New Roman" w:hAnsi="Times New Roman" w:cs="Times New Roman" w:eastAsia="Times New Roman"/>
            <w:color w:val="0000FF"/>
            <w:spacing w:val="0"/>
            <w:position w:val="0"/>
            <w:sz w:val="24"/>
            <w:u w:val="single"/>
            <w:shd w:fill="auto" w:val="clear"/>
          </w:rPr>
          <w:t xml:space="preserve">http://www.scielosp.org/scielo.php?pid=S1415-790X1998000200006</w:t>
        </w:r>
        <w:r>
          <w:rPr>
            <w:rFonts w:ascii="Times New Roman" w:hAnsi="Times New Roman" w:cs="Times New Roman" w:eastAsia="Times New Roman"/>
            <w:vanish/>
            <w:color w:val="0000FF"/>
            <w:spacing w:val="0"/>
            <w:position w:val="0"/>
            <w:sz w:val="24"/>
            <w:u w:val="single"/>
            <w:shd w:fill="auto" w:val="clear"/>
          </w:rPr>
          <w:t xml:space="preserve">HYPERLINK "http://www.scielosp.org/scielo.php?pid=S1415-790X1998000200006&amp;script=sci_arttext"</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"http://www.scielosp.org/scielo.php?pid=S1415-790X1998000200006&amp;script=sci_arttext"</w:t>
        </w:r>
        <w:r>
          <w:rPr>
            <w:rFonts w:ascii="Times New Roman" w:hAnsi="Times New Roman" w:cs="Times New Roman" w:eastAsia="Times New Roman"/>
            <w:color w:val="0000FF"/>
            <w:spacing w:val="0"/>
            <w:position w:val="0"/>
            <w:sz w:val="24"/>
            <w:u w:val="single"/>
            <w:shd w:fill="auto" w:val="clear"/>
          </w:rPr>
          <w:t xml:space="preserve">script=sci_arttext</w:t>
        </w:r>
      </w:hyperlink>
      <w:r>
        <w:rPr>
          <w:rFonts w:ascii="Times New Roman" w:hAnsi="Times New Roman" w:cs="Times New Roman" w:eastAsia="Times New Roman"/>
          <w:color w:val="auto"/>
          <w:spacing w:val="0"/>
          <w:position w:val="0"/>
          <w:sz w:val="24"/>
          <w:shd w:fill="auto" w:val="clear"/>
        </w:rPr>
        <w:t xml:space="preserve"> (último acesso em 28/09/2010)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RAGO, Maragreth. Trabalho feminino e Sexualidade. In </w:t>
      </w:r>
      <w:r>
        <w:rPr>
          <w:rFonts w:ascii="Times New Roman" w:hAnsi="Times New Roman" w:cs="Times New Roman" w:eastAsia="Times New Roman"/>
          <w:b/>
          <w:i/>
          <w:color w:val="auto"/>
          <w:spacing w:val="0"/>
          <w:position w:val="0"/>
          <w:sz w:val="24"/>
          <w:shd w:fill="auto" w:val="clear"/>
        </w:rPr>
        <w:t xml:space="preserve">História das Mulheres no Brasil</w:t>
      </w:r>
      <w:r>
        <w:rPr>
          <w:rFonts w:ascii="Times New Roman" w:hAnsi="Times New Roman" w:cs="Times New Roman" w:eastAsia="Times New Roman"/>
          <w:color w:val="auto"/>
          <w:spacing w:val="0"/>
          <w:position w:val="0"/>
          <w:sz w:val="24"/>
          <w:shd w:fill="auto" w:val="clear"/>
        </w:rPr>
        <w:t xml:space="preserve">. PRIORE, Mary Del (org.). P. 578-606. São Paulo: Contexto, 2000.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Gênero: uma categoria útil para a análise histórica. In: </w:t>
      </w:r>
      <w:r>
        <w:rPr>
          <w:rFonts w:ascii="Times New Roman" w:hAnsi="Times New Roman" w:cs="Times New Roman" w:eastAsia="Times New Roman"/>
          <w:b/>
          <w:color w:val="auto"/>
          <w:spacing w:val="0"/>
          <w:position w:val="0"/>
          <w:sz w:val="24"/>
          <w:shd w:fill="auto" w:val="clear"/>
        </w:rPr>
        <w:t xml:space="preserve">Educação &amp; Realidade</w:t>
      </w:r>
      <w:r>
        <w:rPr>
          <w:rFonts w:ascii="Times New Roman" w:hAnsi="Times New Roman" w:cs="Times New Roman" w:eastAsia="Times New Roman"/>
          <w:color w:val="auto"/>
          <w:spacing w:val="0"/>
          <w:position w:val="0"/>
          <w:sz w:val="24"/>
          <w:shd w:fill="auto" w:val="clear"/>
        </w:rPr>
        <w:t xml:space="preserve">, Porto Alegre, v. 20, n. 2, 1995, p. 71-99. Disponível em </w:t>
      </w:r>
      <w:hyperlink xmlns:r="http://schemas.openxmlformats.org/officeDocument/2006/relationships" r:id="docRId95">
        <w:r>
          <w:rPr>
            <w:rFonts w:ascii="Times New Roman" w:hAnsi="Times New Roman" w:cs="Times New Roman" w:eastAsia="Times New Roman"/>
            <w:color w:val="0000FF"/>
            <w:spacing w:val="0"/>
            <w:position w:val="0"/>
            <w:sz w:val="24"/>
            <w:u w:val="single"/>
            <w:shd w:fill="auto" w:val="clear"/>
          </w:rPr>
          <w:t xml:space="preserve">http://sistema.clam.org.br/biblioteca/files/Genero%20-%20Joan%20Scott[1].pdf</w:t>
        </w:r>
      </w:hyperlink>
      <w:r>
        <w:rPr>
          <w:rFonts w:ascii="Times New Roman" w:hAnsi="Times New Roman" w:cs="Times New Roman" w:eastAsia="Times New Roman"/>
          <w:color w:val="auto"/>
          <w:spacing w:val="0"/>
          <w:position w:val="0"/>
          <w:sz w:val="24"/>
          <w:shd w:fill="auto" w:val="clear"/>
        </w:rPr>
        <w:t xml:space="preserve"> (último acesso em 28/09/2010).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ENTREVISTAS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ECIEUDE – Assentamento Vila Diamante – Igarapé do Meio: 16/07/2007. Concedida a Desni Lopes Almeida.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EDVAN - São Luís:11/07/2007. Concedida a Desni Lopes Almeida.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INÊS PINHEIRO - São Luís:11/07/2007. Concedida a Desni Lopes Almeida.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LOURIVAL - Assentamento Vila Diamante – Igarapé do Meio: 16/07/2007. Concedida a Desni Lopes Almeida.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DA LUZ – Assentamento Vila Diamante – Igarapé do Meio: 16/07/2007. Concedida a Desni Lopes Almeida.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NOÉ – Assentamento Vila Diamante – Igarapé do Meio: 16/07/2007. Concedida a Desni Lopes Almeida.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SALETE MORENO – Assentamento Vila Diamante – Igarapé do Meio: 16/07/2007. Concedida a Desni Lopes Almeida.</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“PELO SEXO, A MULHER LIGA-SE À ETERNIDADE DA ESPÉCIE”: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AS PRODUÇÕES ACADÊMICAS DOS MÉDICOS BAIANOS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Caroline Santos Silva – UFBA/CAPES</w:t>
      </w: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Orientadora: Profª. Drª. Gabriela dos Reis Sampaio</w:t>
      </w:r>
    </w:p>
    <w:p>
      <w:pPr>
        <w:spacing w:before="0" w:after="0" w:line="360"/>
        <w:ind w:right="0" w:left="0" w:firstLine="0"/>
        <w:jc w:val="righ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INTRODUÇÃO</w:t>
      </w:r>
    </w:p>
    <w:p>
      <w:pPr>
        <w:spacing w:before="0" w:after="0" w:line="36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artigo reflete os primeiros resultados da pesquisa de mestrado, que tem como objeto o processo de legitimação da Obstetrícia e Ginecologia na Faculdade de Medicina da Bahia em fins do século XIX. Ao iniciar uma análise acerca das reformas do ensino médico no Brasil imperial, tendo em vista a criação das cadeiras de Ginecologia e Obstetrícia na Bahia, percebi a importância das produções cientificas no período. Para este artigo em especial, destaco o exercício de pesquisa dos médicos baianos na elaboração de teses que têm como temática o estudo do corpo feminino tomando-o como campo de debates sociais e biológicos.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criação da cadeira de Clínica Obstétrica e Ginecológica se dá no bojo das reformas ocorridas em fins do século XIX, a partir da lei de 30 de outubro de 1882. A cadeira recém criada foi assumida por Climério de Oliveira em 1885 através de concurso.  Apesar das reformas que reorganizaram o ensino beneficiando a especialidade, Climério de Oliveira, ao tomar posse da cadeira, encontrou as mesmas dificuldades de anos atrás; a falta de estrutura adequada nas enfermarias, incluindo a escassez de aparelhamentos necessários, se tornou um empecilho ao bom andamento das lições. Nesta medida, a própria precariedade da enfermaria da Santa Casa de Misericórdia afastava tanto mulheres grávidas quanto as que precisavam de assistência por conta de doenças ginecológicas. E entre a maioria das parturientes, certamente prevalecia a vontade de parir em casa aos cuidados de uma comadre.</w:t>
      </w:r>
    </w:p>
    <w:p>
      <w:pPr>
        <w:spacing w:before="0" w:after="0" w:line="36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Logo, o mapeamento das teses reflete parte do processo de consolidação da especialidade aqui tratada, demonstrando de que maneira os estudantes contornaram as dificuldades referentes ao ensino médico prático ainda incipiente. Por outro lado, oferece também uma percepção dos principais interesses médicos com relação ao corpo feminino. Ana Paula Vosne ressalta que o processo de legitimação da Ginecologia e Obstetrícia estava intrinsecamente ligado à idéia de diferenciação dos corpos masculino e feminino, principalmente no que toca a distribuição de papéis sociais. Os paradigmas estabelecidos por esses médicos reafirmavam a condição de inferioridade feminina justificada por sua constituição biológica.</w:t>
      </w:r>
    </w:p>
    <w:p>
      <w:pPr>
        <w:spacing w:before="0" w:after="0" w:line="36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entre nossos objetivos está perceber como a criação da cadeira de Ginecologia e Obstetrícia influenciou a produção desses textos, o que envolve tanto um aumento de interesse pela especialidade, quanto à escolha dos principais temas tratados nestes trabalhos.</w:t>
      </w:r>
    </w:p>
    <w:p>
      <w:pPr>
        <w:spacing w:before="0" w:after="0" w:line="36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objetivo deste artigo está relacionado com o entendimento da inserção das mulheres dentro da faculdade de medicina, tendo em vista as teses elaboradas pelas doutorandas. Neste sentido, essa discussão problematiza a relação entre doutoras e pacientes, principalmente no que concerne aos discursos dessas médicas acerca do trato com o corpo feminino. Sendo assim, é importante perceber se houve, ou não, uma diferença entre a produção dos doutores e doutoras, levando em consideração todo o aparato ideológico envolvido na produção da Ciência Médica do século XIX.</w:t>
      </w:r>
    </w:p>
    <w:p>
      <w:pPr>
        <w:spacing w:before="0" w:after="0" w:line="360"/>
        <w:ind w:right="0" w:left="72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Mapeamento das teses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Em comemoração aos 196 anos do ensino médico na Bahia, foi publicado em 2004 um número especial da Gazeta Médica da Bahia, onde constava um Catálogo de teses médicas defendidas entre os anos de 1840 a 1928, totalizando um número de 2.502 teses. A partir deste documento é possível empreender uma análise que tem por base o período de reformas no ensino médico iniciadas no século XIX. Assim, podemos acompanhar o processo de mudanças ocorridos na cadeira de Obstetrícia e Ginecologia a partir de textos produzidos pelos alunos da Faculdade Medicina da Bahia.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Levando em consideração os títulos fizemos um levantamento das produções ligadas à Obstetrícia e Ginecologia, embora não exista uma especialidade propriamente dita até então. Em verdade, a seleção esteve ligada aos textos que tinham a mulher como tema, sendo consideramos também as questões comportamentais, como o casamento, prostituição, infanticídio, aborto entre outros. Ao total foram contabilizadas 355 teses, distribuídas a partir do gráfico abaixo: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7841" w:dyaOrig="4504">
          <v:rect xmlns:o="urn:schemas-microsoft-com:office:office" xmlns:v="urn:schemas-microsoft-com:vml" id="rectole0000000024" style="width:392.050000pt;height:225.2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24" ShapeID="rectole0000000024" r:id="docRId96"/>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A primeira análise do gráfico está ligada à percepção de como as produções médicas acerca da saúde da mulher se desenvolveram ao longo do processo de reformas do ensino médico. O que se vê é um gradativo aumento do número de trabalhos relacionados ao corpo feminino, sendo que a década de 80, momento de criação da cadeira de Ginecologia e Obstetrícia, registra um número considerável de trabalhos. Esse aumento pode justificar-se por certo progresso no ensino dessas especialidades, como já foi colocado anteriormente.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outro lado, o fim do século XIX no Brasil fora marcado por intensas mudanças políticas, econômicas e culturais. No campo das ciências destacou-se a emergência da medicina experimental baseada na Teoria dos germes de Pasteur. Assim, na década de 80 acirraram-se os debates acerca da produção de um conhecimento de caráter cientifico. Nesses embates, muitos médicos brasileiros criticaram a euforia de certos colegas frente às descobertas estrangeiras. Tal preocupação estava principalmente relacionada à legitimação de uma medicina de caráter nacional.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verdade, não havia uma descrença com relação aos novos paradigmas científicos emergentes, e sim certa cautela, já que esse momento marcava a elaboração de um projeto que legitimasse o ensino médico no Brasil, o que levava à valorização do que então fora produzido em terras brasileiras.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processo de apropriação e institucionalização do arsenal técnico e teórico das disciplinas e dos modelos institucionais que revolucionaram a medicina em fins do século XIX dependeu, em larga medida, dos consensos e dissensos entre os próprios médicos em torno dos fundamentos epistemológicos de seu próprio saber, o que se expressou pelo debate em torno da noção de medicina experimental.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Além do positivismo, começava a se desenhar nos trabalhos médicos as concepções oriundas do evolucionismo social, fundamentas por Herbert Spencer. Concepções estas que se fizeram presente nas considerações dos esculápios sobre o papel civilizador da medicina. Por isso, neste período também é considerável o número de produções médicas que versaram sobre as diferentes instituições sociais, entre elas a Igreja, a escola, a indústria, e por fim, a família. Nesta última destaca-se a importante função da maternidade, ligadas à legitimação dos papeis sexuais, que se refletiam também na divisão entre a esfera do privado e do público. Contudo, a prática cotidiana, principalmente, quando analisamos especificamente certos contextos, mostra que nem sempre homens e mulheres se comportavam de acordo com os projetos médicos.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Afim de um estudo mais pormenorizado das teses, elaboramos ainda uma tabela onde indicamos os principais temas nelas tratados.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Separamos as teses pelas principais temáticas, lembrando que, ao tratar de corpo feminino, as questões iam além do simples estudo do funcionamento do aparelho reprodutor, abrangendo problemáticas de caráter comportamental. Esses temas foram mais constantes durante o século XX. Além das cadeiras de Ginecologia e Obstetrícia, a cadeira de Higiene, bem como a de medicina legal, também trataram do comportamento feminino. O fato é que na maioria dos trabalhos defendidos, a mulher aparece como um ser subjugado por seu aparelho reprodutor, o que indica que a legitimação de uma Ciência da mulher estaria ligada a uma pretensa disciplinarização desse corpo, na garantia da manutenção do exercício da maternidade.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Pelo sexo, a mulher liga-se à eternidade da espécie: o aparelho genital feminino não é propriedade individual, é propriedade da raça e a mulher é dele depositaria. A obstetrícia prepara a mulher na compreensão deste grande papel que implica estrutura física e compleição moral e apela para os responsáveis, legisladores e condutores de opinião no dever de evitar, com a obra de proteção integral do sexo, o esquecimento dos atributos e das obrigações femininas.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Segundo o discurso de Fernando Magalhães, o parteiro teria também uma função social de orientar as mulheres nessa árdua tarefa que constituiria a maternidade, ressaltando que o corpo feminino era tido como um lugar de investimento público, sobretudo político. Portanto, por serem tidas como inferiores, tendo suas capacidades mentais dominadas pela emoção e não pela razão, a mulher deveria ser tutelada, pelo pai, pelo marido, e, por conseguinte, pelo médico.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 que se refere à medicina da mulher, essa relação de poder se instaura na assimetria existente entre uma escrita prolífica e um corpo silencioso, tal qual aparece nas imagens científicas. De acordo com a ideologia de gênero, a mulher, sendo mais fraca e menos provida de razão, não podia se representar (tanto política quanto cientificamente), necessitando, portanto, de uma voz autorizada para fazê-lo.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ideal de “civilização” pregado pelos médicos levou-os à elaboração de projetos de “medicalização” da sociedade, incluindo o controle sobre uma educação feminina. Contudo, como já discutimos acima, a própria legitimação e profissionalização da medicina no Brasil império fora predominantemente conflituosa, não havendo por parte da população confiança suficiente para acreditar nos preceitos higienistas, sendo assim, o acesso aos corpos femininos também fora algo progressivo, demorado e extremamente conflituoso.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qualquer maneira, é nítido o interesse dos esculápios pelo sexo feminino e suas especificidades, o que se confirma nas teses por nós mapeadas.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tbl>
      <w:tblPr/>
      <w:tblGrid>
        <w:gridCol w:w="6276"/>
        <w:gridCol w:w="1516"/>
      </w:tblGrid>
      <w:tr>
        <w:trPr>
          <w:trHeight w:val="315" w:hRule="auto"/>
          <w:jc w:val="center"/>
        </w:trPr>
        <w:tc>
          <w:tcPr>
            <w:tcW w:w="7792" w:type="dxa"/>
            <w:gridSpan w:val="2"/>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Relação de teses (Obstetrícia e Ginecologia) 1850-1919</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Assuntos</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Nº de teses</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1.Gravidez</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 Parto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 Puerpério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 Recém-nascido/ Feto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 Eclampsia</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 Cesariana</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 Fórceps</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 Placenta</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 Distorcia materna</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 Conformação da Bacia</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 Aleitamento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 Da esterilidade da mulher</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 Corpo amarelo em obstetrícia</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 Afecções uterinas</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 Ovário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16.Cancro no seio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 Menstruação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 Masturbação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 Técnicas utilizadas em operações</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 Puberdade</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 Histeria</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 Educação Sexual</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23.Casamento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 Celibato feminino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 O Espartilho e a mulher</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 Femina social</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 Defloramento/ estupro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 Prostituição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29. Aborto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 Infanticídio</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 Sífilis e a mulher</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 Profilaxia do trabalho da mulher</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15" w:hRule="auto"/>
          <w:jc w:val="center"/>
        </w:trPr>
        <w:tc>
          <w:tcPr>
            <w:tcW w:w="6276"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TOTAL</w:t>
            </w:r>
          </w:p>
        </w:tc>
        <w:tc>
          <w:tcPr>
            <w:tcW w:w="151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355</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MENSURAÇÃO DO CORPO FEMININO: A DEFINIÇÃO DOS PAPÉIS SOCIAIS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Na tabela apresentada acima, os trabalhos relativos à maternidade, ou melhor, ligados ao campo da Obstetrícia, totalizam 61% das temáticas. Já os trabalhos no ramo da Ginecologia constituem 19%, o que inclui afecções uterinas, ovarianas, dos seios, puberdade, masturbação, menstruação e histeria. É importante destacar que o campo de trabalhos obstétricos e ginecológicos, durante o século XIX e grande parte do XX, abrangia um amplo leque de temáticas, que embora diversificados, reafirmavam a idéia do “útero” como centro de gravitação do universo feminino.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aparecem teses que tratam do aborto, do infanticídio, da prostituição, do defloramento e estupro. Por outro lado, trata-se também de casamento, de puberdade, educação sexual, e higiene. Tal distribuição enquadra esses trabalhos em um modelo pedagógico que delimita o que deve e o que não deve ser feito, o que é ser mulher e quais normas ela deve seguir para não cair em degeneração. Para tanto, destaca-se o papel preponderante do bom funcionamento do útero e dos ovários neste processo.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Os textos produzidos por médicos, descrevendo suas experiências de cura e propondo estratégias de tratamento, deixam entrever uma prática ginecológica punitiva das mulheres por suas próprias enfermidades, principalmente venéreas, de modo que o processo de cura deveria ter um caráter regenerador e punitivo. Nesses textos, as enfermidades femininas são vistas, por um lado, como sinônimo de fragilidade das mulheres, o que reforçava o já socialmente aceito, e, por outro, eram identificadas com o fracasso no exercício de suas funções de mãe e esposa. Assim, apesar de propalar toda uma neutralidade em relação ao corpo da paciente-mulher, esse discurso científico parecia sugerir um poder superior do médico-homem.</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idéia de mensuração e mapeamento do corpo feminino aparece de diferentes maneiras nas teses médicas, destaco em especial, a preocupação ligada aos “períodos de transição” (infância, puberdade e menopausa). Assim, há uma produção considerável sobre puberdade, onde meninas transformam-se em mulheres, já que passam à idade reprodutiva. Neste período, os médicos indicavam grande atenção, pois o consideravam como um momento de grande instabilidade física e psicológica.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Chegado o momento fisiológico, declarada a menstruação, que compreende o período mais longo, mais brilhante, mais tormentoso da existência da mulher, ela entra a experimentar as tristes conseqüências da lei biológica, imanente, inerente à sua organização.</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Considerada decisivo na vida das mulheres, a puberdade deveria vir acompanhada de uma série de cuidados. Para tanto, os esculápios alertavam para as modificações que se processavam no corpo feminino, destacando principalmente o despertar para as paixões. Por isso, insistiam na importância de uma educação moral embasada principalmente em valores ligados ao exercício da maternidade.  Neste viés, alguns médicos frisavam o caráter desestabilizador da menstruação, caracterizando-a como um estado patológico, que prejudicava as funções nervosas da mulher, causando-lhes sérios transtornos, incluindo a histeria. Ao tratar da menstruação em mulheres alienadas o Dr. Hildebrando José Batista afirma que: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Todos os autores que tem escrito sobre alienação mental, são de acordo em que as mulheres alienadas apresentam frequentemente perturbações da menstruação, e que na iminência, e durante o curso de suas regras, mesmo quando estas são normais, elas experimentam um aumento mais ou menos forte dos sintomas que caracterizam a moléstia.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Logo, a tese do Doutor Batista reforça a idéia de que os ovários estavam diretamente ligados ao cérebro feminino, portanto as ditas perturbações ovarianas, segundo a ótica desse médico, também eram responsáveis pelo agravamento dos distúrbios de ordem psicológica, ficando a mulher completamente desestabilizada, a ponto, até mesmo, de cometer um crime. Essas idéias, ligadas às concepções da medicina legal, também fazem referência às conseqüências da gravidez e da menopausa sobre o sistema nervoso. Para esses médicos, esses momentos também eram cruciais já que representavam uma serie de mudanças na constituição fisiológica do corpo feminino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do que foi discutido acima, percebe-se que grande parte das preocupações médicas estava ligada à manutenção da função procriadora. Nesta medida, localizamos teses médicas que versavam sobre certas práticas femininas que colocavam em risco o exercício da maternidade. Para exemplificar tal argumento selecionamos um trecho da tese </w:t>
      </w:r>
      <w:r>
        <w:rPr>
          <w:rFonts w:ascii="Times New Roman" w:hAnsi="Times New Roman" w:cs="Times New Roman" w:eastAsia="Times New Roman"/>
          <w:i/>
          <w:color w:val="auto"/>
          <w:spacing w:val="0"/>
          <w:position w:val="0"/>
          <w:sz w:val="24"/>
          <w:shd w:fill="auto" w:val="clear"/>
        </w:rPr>
        <w:t xml:space="preserve">O espartilho e a mulher</w:t>
      </w:r>
      <w:r>
        <w:rPr>
          <w:rFonts w:ascii="Times New Roman" w:hAnsi="Times New Roman" w:cs="Times New Roman" w:eastAsia="Times New Roman"/>
          <w:color w:val="auto"/>
          <w:spacing w:val="0"/>
          <w:position w:val="0"/>
          <w:sz w:val="24"/>
          <w:shd w:fill="auto" w:val="clear"/>
        </w:rPr>
        <w:t xml:space="preserve"> publicada em 1903: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Impedindo o precioso dom da maternidade, favorecendo o aborto, originando soma considerável de perniciosos sofrimentos, produzindo monstros, degenerando raças, despopularisando cidades, o espartilho se nos afigura impiedoso inimigo da integridade da Pátria... E não é só anti-patriótico... </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Deformando o esqueleto e os órgãos, criando serias alterações funcionais, dificultando a nutrição, tornando as mais das vezes a mulher pálida, clorótica, leucorreica, doentia, afastando-a dos irrepreensíveis corpos da antiguidade, privando-nos de admirar uma </w:t>
      </w:r>
      <w:r>
        <w:rPr>
          <w:rFonts w:ascii="Times New Roman" w:hAnsi="Times New Roman" w:cs="Times New Roman" w:eastAsia="Times New Roman"/>
          <w:i/>
          <w:color w:val="auto"/>
          <w:spacing w:val="0"/>
          <w:position w:val="0"/>
          <w:sz w:val="20"/>
          <w:shd w:fill="auto" w:val="clear"/>
        </w:rPr>
        <w:t xml:space="preserve">Venus de Milo</w:t>
      </w:r>
      <w:r>
        <w:rPr>
          <w:rFonts w:ascii="Times New Roman" w:hAnsi="Times New Roman" w:cs="Times New Roman" w:eastAsia="Times New Roman"/>
          <w:color w:val="auto"/>
          <w:spacing w:val="0"/>
          <w:position w:val="0"/>
          <w:sz w:val="20"/>
          <w:shd w:fill="auto" w:val="clear"/>
        </w:rPr>
        <w:t xml:space="preserve"> “maravilha de beleza física” ou uma </w:t>
      </w:r>
      <w:r>
        <w:rPr>
          <w:rFonts w:ascii="Times New Roman" w:hAnsi="Times New Roman" w:cs="Times New Roman" w:eastAsia="Times New Roman"/>
          <w:i/>
          <w:color w:val="auto"/>
          <w:spacing w:val="0"/>
          <w:position w:val="0"/>
          <w:sz w:val="20"/>
          <w:shd w:fill="auto" w:val="clear"/>
        </w:rPr>
        <w:t xml:space="preserve">Phryné</w:t>
      </w:r>
      <w:r>
        <w:rPr>
          <w:rFonts w:ascii="Times New Roman" w:hAnsi="Times New Roman" w:cs="Times New Roman" w:eastAsia="Times New Roman"/>
          <w:color w:val="auto"/>
          <w:spacing w:val="0"/>
          <w:position w:val="0"/>
          <w:sz w:val="20"/>
          <w:shd w:fill="auto" w:val="clear"/>
        </w:rPr>
        <w:t xml:space="preserve">, cuja exuberância de formas e correção de linhas, tiveram o poder extraordinário de derrocar esperada condenação à morte, é também, anti-estético e anti-higiênico...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impiedoso inimigo da pátria, o espartilho foi tido como um empecilho ao desenvolvimento de uma gestação saudável, além de causar inúmeras afecções e deformidades, poderia ocasionar o aborto. Para reafirmar o caráter pedagógico de seu discurso, o Dr. Sabino Pinho confronta modelos de “mulheres” ressaltando os corpos da Antiguidade Clássica, conquistados a partir de um processo de educação próprio do período, o que não implicava a utilização de artifícios para que as mesmas esboçassem corpos belos e saudáveis. Portanto, a grande preocupação do Doutor era alertar sobre a manutenção de ideais higienizadores priorizando a constituição de mães dedicadas e zelosas.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No mais, as teses também apresentam um leque razoável de preocupações com os progressos científicos na área da Ginecologia e Obstetrícia, principalmente no que concerne à utilização de novas técnicas, então em voga na Europa e na América do Norte. Destaca-se a utilização do fórceps, a difusão da operação cesariana, a ovariotomia como solução inicial para a cura de tumores no ovário, além de importantes descobertas ligadas a intensificação da prática de cirurgias ginecológicas e obstétricas, como a utilização da anestesia e a revolução ocasionada pela anti-sepsia.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a prática da assepsia inaugurada através do método listeriano, foi possível diminuir os riscos de infecção entre outras complicações nas diferentes operações, principalmente as mais complexas. É preciso dizer que além de modificar os hábitos dos médicos frente aos pacientes, foi necessária uma verdadeira reorganização do espaço hospitalar. Em terras brasileiras essa mudança foi iniciada em meados do século XIX, embora ainda fossem debatidas as teorias dos germes. Segundo, Ephigenia Veiga a utilização de métodos anti-sépticos em Obstetrícia auxiliou na diminuição de certas infecções ocasionadas no pós-parto, a exemplo das febres puerperais, o grande fantasma das maternidades.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Em sua tese, Dr.ª Ephigenia também trata de alguns casos ocorridos na Santa Casa de Misericórdia atestando os benefícios da prática da assepsia, notando que a maioria das parturientes se recuperara sem grandes percalços.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070"/>
        </w:numPr>
        <w:tabs>
          <w:tab w:val="left" w:pos="720" w:leader="none"/>
        </w:tabs>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“É QUE A MULHER FOI FEITA PARA AMAR: DESTINOU-A DEUS PARA MÉDICA DA ALMA, E NÃO PARA MÉDICA DO CORPO.”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Até então discutimos os valores que envolveram a produção científica dos médicos na Faculdade de Medicina na Bahia, tendo como pano de fundo as reformas do ensino médico em fins do século XIX. Nesta medida, como processo decorrente dessas reformas, torna-se necessário um debate acerca da inserção das mulheres na Faculdade de Medicina da Bahia, levando-se em consideração a existência de uma diferença entre os discursos difundidos pelos doutores e pelas doutoras.</w:t>
      </w:r>
    </w:p>
    <w:p>
      <w:pPr>
        <w:spacing w:before="0" w:after="0" w:line="360"/>
        <w:ind w:right="0" w:left="0" w:firstLine="360"/>
        <w:jc w:val="both"/>
        <w:rPr>
          <w:rFonts w:ascii="Times New Roman" w:hAnsi="Times New Roman" w:cs="Times New Roman" w:eastAsia="Times New Roman"/>
          <w:color w:val="231F2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1879, as reformas Leôncio de Carvalho permitiram que as mulheres freqüentassem cursos do ensino superior no Brasil.</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Segundo Elisabeth Rago</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i/>
          <w:color w:val="231F20"/>
          <w:spacing w:val="0"/>
          <w:position w:val="0"/>
          <w:sz w:val="24"/>
          <w:shd w:fill="auto" w:val="clear"/>
        </w:rPr>
        <w:t xml:space="preserve">é de interesse para uma história social das mulheres lembrar que a luta pela participação feminina no ensino superior representou um dos passos mais importantes rumo à emancipação</w:t>
      </w:r>
      <w:r>
        <w:rPr>
          <w:rFonts w:ascii="Times New Roman" w:hAnsi="Times New Roman" w:cs="Times New Roman" w:eastAsia="Times New Roman"/>
          <w:color w:val="231F20"/>
          <w:spacing w:val="0"/>
          <w:position w:val="0"/>
          <w:sz w:val="19"/>
          <w:shd w:fill="auto" w:val="clear"/>
        </w:rPr>
        <w:t xml:space="preserve">. </w:t>
      </w:r>
      <w:r>
        <w:rPr>
          <w:rFonts w:ascii="Times New Roman" w:hAnsi="Times New Roman" w:cs="Times New Roman" w:eastAsia="Times New Roman"/>
          <w:color w:val="231F20"/>
          <w:spacing w:val="0"/>
          <w:position w:val="0"/>
          <w:sz w:val="24"/>
          <w:shd w:fill="auto" w:val="clear"/>
        </w:rPr>
        <w:t xml:space="preserve">Assim, a inserção de mulheres no campo da medicina reflete certo ganho de autonomia, contudo foram inúmeras as contradições que envolveram a ação dessas mulheres médicas durante o século XIX. </w:t>
      </w:r>
    </w:p>
    <w:p>
      <w:pPr>
        <w:spacing w:before="0" w:after="0" w:line="360"/>
        <w:ind w:right="0" w:left="0" w:firstLine="708"/>
        <w:jc w:val="both"/>
        <w:rPr>
          <w:rFonts w:ascii="Times New Roman" w:hAnsi="Times New Roman" w:cs="Times New Roman" w:eastAsia="Times New Roman"/>
          <w:color w:val="231F20"/>
          <w:spacing w:val="0"/>
          <w:position w:val="0"/>
          <w:sz w:val="24"/>
          <w:shd w:fill="auto" w:val="clear"/>
        </w:rPr>
      </w:pPr>
      <w:r>
        <w:rPr>
          <w:rFonts w:ascii="Times New Roman" w:hAnsi="Times New Roman" w:cs="Times New Roman" w:eastAsia="Times New Roman"/>
          <w:color w:val="231F20"/>
          <w:spacing w:val="0"/>
          <w:position w:val="0"/>
          <w:sz w:val="24"/>
          <w:shd w:fill="auto" w:val="clear"/>
        </w:rPr>
        <w:t xml:space="preserve">A principal contradição é que não parecia haver lugar para a mulher em um campo de atuação tão misógino como a Medicina do século XIX. Mas ainda assim, passaram da condição de objeto de estudo para a de estudantes de medicina, transição importante já que abriu a possibilidade para as mudanças de certos paradigmas que viam a mulher como um ser irracional e incapaz de exercer outras funções senão a maternidade.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Desde 1879 até 1894, temporalidade deste trabalho, foram localizadas no catálogo da Faculdade de Medicina da Bahia 6 teses elaboradas por médicas.</w:t>
      </w:r>
    </w:p>
    <w:p>
      <w:pPr>
        <w:spacing w:before="0" w:after="0" w:line="360"/>
        <w:ind w:right="0" w:left="0" w:firstLine="0"/>
        <w:jc w:val="both"/>
        <w:rPr>
          <w:rFonts w:ascii="Times New Roman" w:hAnsi="Times New Roman" w:cs="Times New Roman" w:eastAsia="Times New Roman"/>
          <w:color w:val="FF0000"/>
          <w:spacing w:val="0"/>
          <w:position w:val="0"/>
          <w:sz w:val="24"/>
          <w:shd w:fill="auto" w:val="clear"/>
        </w:rPr>
      </w:pPr>
    </w:p>
    <w:tbl>
      <w:tblPr/>
      <w:tblGrid>
        <w:gridCol w:w="736"/>
        <w:gridCol w:w="2906"/>
        <w:gridCol w:w="5304"/>
      </w:tblGrid>
      <w:tr>
        <w:trPr>
          <w:trHeight w:val="1" w:hRule="atLeast"/>
          <w:jc w:val="center"/>
        </w:trPr>
        <w:tc>
          <w:tcPr>
            <w:tcW w:w="73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1887</w:t>
            </w:r>
          </w:p>
        </w:tc>
        <w:tc>
          <w:tcPr>
            <w:tcW w:w="29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Rita Lobato Velho Lopes</w:t>
            </w:r>
          </w:p>
        </w:tc>
        <w:tc>
          <w:tcPr>
            <w:tcW w:w="530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Paralelos entre os métodos preconizados na operação cesariana</w:t>
            </w:r>
          </w:p>
          <w:p>
            <w:pPr>
              <w:spacing w:before="0" w:after="0" w:line="240"/>
              <w:ind w:right="0" w:left="0" w:firstLine="0"/>
              <w:jc w:val="both"/>
              <w:rPr>
                <w:color w:val="auto"/>
                <w:spacing w:val="0"/>
                <w:position w:val="0"/>
                <w:shd w:fill="auto" w:val="clear"/>
              </w:rPr>
            </w:pPr>
          </w:p>
        </w:tc>
      </w:tr>
      <w:tr>
        <w:trPr>
          <w:trHeight w:val="550" w:hRule="auto"/>
          <w:jc w:val="center"/>
        </w:trPr>
        <w:tc>
          <w:tcPr>
            <w:tcW w:w="736" w:type="dxa"/>
            <w:vMerge w:val="restart"/>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1890</w:t>
            </w:r>
          </w:p>
        </w:tc>
        <w:tc>
          <w:tcPr>
            <w:tcW w:w="29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Anna Machado Marinho Falcão</w:t>
            </w:r>
          </w:p>
        </w:tc>
        <w:tc>
          <w:tcPr>
            <w:tcW w:w="530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ovariotomia e suas indicações.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color w:val="auto"/>
                <w:spacing w:val="0"/>
                <w:position w:val="0"/>
                <w:shd w:fill="auto" w:val="clear"/>
              </w:rPr>
            </w:pPr>
          </w:p>
        </w:tc>
      </w:tr>
      <w:tr>
        <w:trPr>
          <w:trHeight w:val="1" w:hRule="atLeast"/>
          <w:jc w:val="center"/>
        </w:trPr>
        <w:tc>
          <w:tcPr>
            <w:tcW w:w="736"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Ephigenia Veiga</w:t>
            </w:r>
          </w:p>
          <w:p>
            <w:pPr>
              <w:spacing w:before="0" w:after="0" w:line="240"/>
              <w:ind w:right="0" w:left="0" w:firstLine="0"/>
              <w:jc w:val="both"/>
              <w:rPr>
                <w:color w:val="auto"/>
                <w:spacing w:val="0"/>
                <w:position w:val="0"/>
                <w:shd w:fill="auto" w:val="clear"/>
              </w:rPr>
            </w:pPr>
          </w:p>
        </w:tc>
        <w:tc>
          <w:tcPr>
            <w:tcW w:w="530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Os methodos antisepticos em Obstetrícia</w:t>
            </w:r>
          </w:p>
        </w:tc>
      </w:tr>
      <w:tr>
        <w:trPr>
          <w:trHeight w:val="1" w:hRule="atLeast"/>
          <w:jc w:val="center"/>
        </w:trPr>
        <w:tc>
          <w:tcPr>
            <w:tcW w:w="736"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9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Amélia Pedrosa Benebaim</w:t>
            </w:r>
          </w:p>
        </w:tc>
        <w:tc>
          <w:tcPr>
            <w:tcW w:w="530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Anomalias do cordão umbilical: sua influencia sobre a gravidez e o parto.</w:t>
            </w:r>
          </w:p>
          <w:p>
            <w:pPr>
              <w:spacing w:before="0" w:after="0" w:line="240"/>
              <w:ind w:right="0" w:left="0" w:firstLine="0"/>
              <w:jc w:val="both"/>
              <w:rPr>
                <w:color w:val="auto"/>
                <w:spacing w:val="0"/>
                <w:position w:val="0"/>
                <w:shd w:fill="auto" w:val="clear"/>
              </w:rPr>
            </w:pPr>
          </w:p>
        </w:tc>
      </w:tr>
      <w:tr>
        <w:trPr>
          <w:trHeight w:val="1" w:hRule="atLeast"/>
          <w:jc w:val="center"/>
        </w:trPr>
        <w:tc>
          <w:tcPr>
            <w:tcW w:w="73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1892</w:t>
            </w:r>
          </w:p>
        </w:tc>
        <w:tc>
          <w:tcPr>
            <w:tcW w:w="29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Glafira Corina de Araújo</w:t>
            </w:r>
          </w:p>
          <w:p>
            <w:pPr>
              <w:spacing w:before="0" w:after="0" w:line="240"/>
              <w:ind w:right="0" w:left="0" w:firstLine="0"/>
              <w:jc w:val="both"/>
              <w:rPr>
                <w:color w:val="auto"/>
                <w:spacing w:val="0"/>
                <w:position w:val="0"/>
                <w:shd w:fill="auto" w:val="clear"/>
              </w:rPr>
            </w:pPr>
          </w:p>
        </w:tc>
        <w:tc>
          <w:tcPr>
            <w:tcW w:w="530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Hemorrhagias puerperaes</w:t>
            </w:r>
          </w:p>
        </w:tc>
      </w:tr>
      <w:tr>
        <w:trPr>
          <w:trHeight w:val="1" w:hRule="atLeast"/>
          <w:jc w:val="center"/>
        </w:trPr>
        <w:tc>
          <w:tcPr>
            <w:tcW w:w="73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1893</w:t>
            </w:r>
          </w:p>
        </w:tc>
        <w:tc>
          <w:tcPr>
            <w:tcW w:w="29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Francisca Barreto Praguer</w:t>
            </w:r>
          </w:p>
        </w:tc>
        <w:tc>
          <w:tcPr>
            <w:tcW w:w="530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Breves noções sobre a raspagem uterina</w:t>
            </w:r>
          </w:p>
        </w:tc>
      </w:tr>
    </w:tbl>
    <w:p>
      <w:pPr>
        <w:spacing w:before="0" w:after="0" w:line="36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enumeração das teses defendidas pelas mulheres na Faculdade de Medicina da Bahia revela que as temáticas desses trabalhos estavam diretamente ligadas tanto à maternidade, quanto ao aparelho reprodutor feminino. É como se essas profissionais fossem quase que obrigatoriamente “impelidas” a cuidar de outras mulheres. Entretanto há, implicitamente, uma questão de caráter feminista destacada por algumas médicas a exemplo de Francisca Praguer. </w:t>
      </w:r>
      <w:r>
        <w:rPr>
          <w:rFonts w:ascii="Times New Roman" w:hAnsi="Times New Roman" w:cs="Times New Roman" w:eastAsia="Times New Roman"/>
          <w:i/>
          <w:color w:val="auto"/>
          <w:spacing w:val="0"/>
          <w:position w:val="0"/>
          <w:sz w:val="24"/>
          <w:shd w:fill="auto" w:val="clear"/>
        </w:rPr>
        <w:t xml:space="preserve">É possível arriscar que a médica baiana acreditasse que, sendo mulher, seria capaz de oferecer um atendimento mais adequado às pacientes, podendo fazer perguntas mais detalhadas e diretas e dar conselhos sobre saúde e higiene às suas pacientes</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FF"/>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A análise inicial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 teses de Rita Lobato, Ephigenia Veiga e Francisca Praguer demonstra que estas não diferem das teses apresentadas pelos homens. Contudo, de certa forma há um caráter “militante”: embora nas entrelinhas, lê-se a preocupação com a saúde da mulher e com o desenvolvimento de técnicas que melhorem a qualidade de vida das mesmas. Assim, Ephigênia Veiga ao tratar do desenvolvimento dos métodos anti-sépticos atesta a redução da ocorrência de febres puerperais, entre outros processos de infecção pós-parto. Por outro lado Francisca Praguer ao dissertar sobre a raspagem uterina demonstra em diversos pontos de sua tese, preocupações com o cuidado do corpo feminino, tecendo críticas a respeito de certas concepções defendidas por alguns médicos.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Objeções as mais numerosas e absurdas foram feitas, com o fim de desacreditar o método da raspagem; os acidentes da metrite eram contemplados com indiferença e perguntavam, se uma mulher não podia viver durante longos anos, quando mesmo tivesse hemorragias uterinas e leucorrea? Outros iam mais longe, e diziam que </w:t>
      </w:r>
      <w:r>
        <w:rPr>
          <w:rFonts w:ascii="Times New Roman" w:hAnsi="Times New Roman" w:cs="Times New Roman" w:eastAsia="Times New Roman"/>
          <w:i/>
          <w:color w:val="auto"/>
          <w:spacing w:val="0"/>
          <w:position w:val="0"/>
          <w:sz w:val="20"/>
          <w:shd w:fill="auto" w:val="clear"/>
        </w:rPr>
        <w:t xml:space="preserve">as dores pelvianas eram uma dádiva concedida pela natureza ao sexo feminino;</w:t>
      </w:r>
      <w:r>
        <w:rPr>
          <w:rFonts w:ascii="Times New Roman" w:hAnsi="Times New Roman" w:cs="Times New Roman" w:eastAsia="Times New Roman"/>
          <w:color w:val="auto"/>
          <w:spacing w:val="0"/>
          <w:position w:val="0"/>
          <w:sz w:val="20"/>
          <w:shd w:fill="auto" w:val="clear"/>
        </w:rPr>
        <w:t xml:space="preserve"> ora, não se comenta o absurdo, a iniqüidade e o egoísmo destas idéias...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defender a utilização da raspagem uterina em detrimento das cauterizações em casos de metrites, Francisca argumenta que a primeira técnica ocasionava poucos acidentes, sendo também uma operação menos arriscada e dolorosa. Além de descrever o procedimento e seus benefícios, a doutora Praguer também defende a prática de métodos anti-sépticos de forma a evitar complicações pós-operatórias, se preocupando também com a discussão acerca da anestesia e sua utilização em certos casos. Outra preocupação de Francisca Praguer foi destacada ao fim de sua tese quando descreve um caso ocorrido na Santa Casa de Misericórdia, nas aulas práticas da Faculdade.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 parda, com 22 anos de idade, costureira, casada, natural deste Estado, deu entrada no hospital, no dia 16 de outubro do corrente ano, indo ocupar o leito n.24 da enfermaria Santa Izabel, serviço clínico do ilustrado mestre Dr. Climério de Oliveira.</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Os antecedentes hereditários são negativos. Casou-se aos 15 anos com um indivíduo que sofrera de moléstias venéreas, entre as quais uma blenorragia que reaparecia periodicamente até o ano passado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caso foi diagnosticado com a verificação da existência de tubérculos sifilíticos situados nos grandes lábios. Ao longo da descrição do evento clínico, a médica detalha todos os procedimentos utilizados para o diagnóstico e cura da paciente. Contudo, o que mais chama atenção é que certamente a escolha deste evento não foi de forma aleatória, pois além de contemplar a utilização da raspagem uterina, traz à tona outra discussão, seja essa a questão das doenças venéreas e sua transmissão. A escolha deste caso reflete a trajetória de Francisca Praguer e sua atuação feminista no campo de saúde da mulher.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Francisca Barreto Praguer considerava-se uma “feminista por herança e por convicção”, já que sua mãe Francisca Rosa Barreto Praguer, nos primeiros anos do século XIX, publicava artigos sobre direitos da mulher na cidade de Cachoeira sob o pseudônimo de “A cachoeirana”. Portanto, há de se convir que o terreno familiar da Doutora Francisca fora bastante fértil e propicio à realização de seus anseios.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trajetória da médica perpassa por uma intensa luta feminista, onde a mesma publica em diferentes periódicos suas idéias acerca dos direitos políticos da mulher, enfatizando também as questões referentes aos valores morais e educação sexual. Francisca Praguer foi a primeira mulher a compor a redação da Gazeta Médica da Bahia, também fez parte da Federação Baiana pelo Progresso feminino, sendo presidente da União Universitária Feminina, entidade que tinha como função defender o acesso feminino ao ensino Superior. </w:t>
      </w:r>
    </w:p>
    <w:p>
      <w:pPr>
        <w:spacing w:before="0" w:after="0" w:line="360"/>
        <w:ind w:right="0" w:left="0" w:firstLine="708"/>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1892, Francisca já era interna da enfermaria de partos do Hospital Santa Isabel, sendo que após a defesa de sua tese em 1893,  </w:t>
      </w:r>
      <w:r>
        <w:rPr>
          <w:rFonts w:ascii="Times New Roman" w:hAnsi="Times New Roman" w:cs="Times New Roman" w:eastAsia="Times New Roman"/>
          <w:i/>
          <w:color w:val="auto"/>
          <w:spacing w:val="0"/>
          <w:position w:val="0"/>
          <w:sz w:val="24"/>
          <w:shd w:fill="auto" w:val="clear"/>
        </w:rPr>
        <w:t xml:space="preserve">foi nomeada parteira-assistente da maternidade pelo professor Climério de Oliveira.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Maternidade da Faculdade de Medicina da Bahia, Francisca defrontou-se com a dura realidade da extrema pobreza feminina e suas conseqüências para a saúde da mulher. Ela teve um contato intimo com as anônimas das camadas desprivilegiadas, trabalhadoras ou desempregadas, muitas delas portadoras de doenças sexualmente transmissíveis, especialmente sífilis. Ao que parece, essa experiência de contato com a pobreza e a miséria material provocou uma reação e um impulso para que ela lutasse pela saúde da mulher de diferentes condições sociais, pela proteção do corpo feminino, por uma gravidez sob cuidados médicos (pré-natal), pela moral sexual, contra o adultério e contra o descaso do governo em relação às condições de trabalho de gestantes.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escolha de Francisca pelo caso clínico que aparece ao fim de sua tese justifica-se pela preocupação que a médica tinha em especial pela transmissão de doenças venéreas. A médica defendia a idéia de profilaxia matrimonial, sendo a educação sexual para ambos os sexos um ponto essencial na prevenção contra as doenças venéreas. Segundo Rago, a doutora Praguer destacava o papel do homem como agente transmissor de doenças, já que os mesmos se entregavam aos desejos fora do casamento, infectando suas mulheres com doenças diversas. Neste contexto, entram em pauta as discussões de caráter higienistas, idéias que certamente fizeram parte dos discursos propagados pela médica.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atuação de Francisca Praguer suscita uma questão também interessante que é o debate acerca de um modo feminino de se fazer Ciência. Ou ainda, o debate acerca da relação entre “feminilidade” e Ciência.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Parte da bibliografia sobre as primeiras médicas indicam que muitas das mulheres abandonaram as vaidades e modismo, vestindo-se sobriamente para obter o respeito dos colegas homens, a exemplo de Rita Lobato. Essa sobriedade, e certo isolamento a que muitas se expunham, era uma maneira de se preservar enquanto mulher honrada, evitando um embate direto em um ambiente altamente conservador e masculino.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Entretanto, é preciso ter em vista todo o processo de consolidação das idéias sobre “feminilidade”, “masculinidade” e Ciência que,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desenvolveram-se, historicamente, informados e respondendo à necessidade econômica de ter as mulheres servindo como administradoras dos afazeres domésticos e os homens trabalhando fora de casa, e pelo desejo político de ter apenas homens proprietários votando em democracias participativas. As características generizadas – comportamentos, interesses ou valores tipicamente masculinos ou femininos – não são inatas, nem tampouco arbitrárias. Elas são formadas por circunstâncias históricas. Elas também podem mudar com as circunstâncias históricas.</w:t>
      </w:r>
    </w:p>
    <w:p>
      <w:pPr>
        <w:spacing w:before="0" w:after="0" w:line="360"/>
        <w:ind w:right="0" w:left="0" w:firstLine="0"/>
        <w:jc w:val="both"/>
        <w:rPr>
          <w:rFonts w:ascii="Times New Roman" w:hAnsi="Times New Roman" w:cs="Times New Roman" w:eastAsia="Times New Roman"/>
          <w:color w:val="0000FF"/>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FF"/>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Logo, é preciso “desnaturalizar” as diferenças, retirando o seu caráter determinante sobre os papeis sexuais, que em verdade, foram forjados de acordo às necessidades de cada contexto histórico. Nesse viés, as mulheres médicas exerceram a medicina de maneira tão científica quanto os homens, adequando-se às normas de comportamentos.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importância de se perceber como as mulheres fizeram Ciência, não é de supervalorizar os procedimentos utilizados pelas médicas, mas sim demonstrar que as mulheres poderiam ocupar espaços que predominante eram considerados masculinos. Contudo, é preciso ter em vista que não houve uma ruptura dessas mulheres com relação aos paradigmas científicos do século XIX, o que inclui a valorização da maternidade enquanto importante papel feminino. Nesse viés foram inúmeras as contradições vivenciadas por essas “cientistas”, que também dividiram seu tempo no cuidado com o lar, com filhos e marido.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outro lado, é preciso pensar que a conquista destes espaços ainda estava restrito às mulheres de elite, e que consequentemente, se estabelecia entre doutoras e pacientes certo conflito de classe. No entanto, nem sempre essa relação era conflituosa, já que algumas mulheres médicas, a exemplo de Francisca Praguer que se preocupou com a situação de mulheres afetadas por doenças sexualmente transmissíveis. Para ajudar suas pacientes, Francisca militou durante grande parte de sua vida pela defesa de uma educação sexual para ambos os sexos, além da implementação de uma profilaxia matrimonial, de maneira a proteger as mulheres das irresponsabilidades de seus companheiros.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Mas de fato ainda havia uma distância entre paciente e médica. Ambas eram mulheres, no entanto as damas de branco revestiram-se do poder concedido pela ciência médica do século XIX munindo-se das mesmas concepções científicas adotadas pelos homens médicos. Nesta medida, as pacientes desnudadas em sua condição social e racial continuaram a ser mensuradas tanto por doutores quanto por doutoras.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CONCLUSÃO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através de uma análise de gênero, é importante entender de que maneira os discursos científicos, em especial as teses, procuraram reforçar as idéias de complementaridade sexual, reproduzidos ao longo dos séculos, consolidando papéis masculinos e femininos.</w:t>
      </w:r>
    </w:p>
    <w:p>
      <w:pPr>
        <w:spacing w:before="0" w:after="0" w:line="360"/>
        <w:ind w:right="0" w:left="0" w:firstLine="36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mulher há de sempre ser mulher. Criou-se para esposa e mãe; há de acompanhar as leis dos seres criados. O progresso caminha, arranca os estorvos, desbrava e aplana o terreno; não inverte com isso as leis da natureza, não as transfigura, nem anula. Transforma aperfeiçoando, descobrindo, civilizando, e não baralhando os alicerces postos pelas mãos inspiradas do mestre. Aproveitar os princípios e esclarecê-los, não é destruí-los. O caos não é uma palavra vã. Não foi fácil tirar o mundo dele. Não serão também as aspirações insensatas que o poderão reduzir ao primeiro estado.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idéia de complementaridade entre os sexos, datada do século XVIII, a partir do Iluminismo, reflete o reconhecimento da diferença em detrimento da concepção da mulher como um “macho imperfeito”, não obstante todo o processo de diferenciação pautado em argumentos biológicos consolida a função natural da maternidade, colocando a mulher como portadora de um dever moral para com a sociedade de ser mãe e curadora do lar. Ao homem caberia a produção da Ciência, enquanto </w:t>
      </w:r>
      <w:r>
        <w:rPr>
          <w:rFonts w:ascii="Times New Roman" w:hAnsi="Times New Roman" w:cs="Times New Roman" w:eastAsia="Times New Roman"/>
          <w:i/>
          <w:color w:val="auto"/>
          <w:spacing w:val="0"/>
          <w:position w:val="0"/>
          <w:sz w:val="24"/>
          <w:shd w:fill="auto" w:val="clear"/>
        </w:rPr>
        <w:t xml:space="preserve">as mulheres tornaram-se mães recém-habilitadas dentro do lar</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Por conseguinte, o que percebemos no discurso médico do século XIX é a persistência da idéia de maternidade como inerente ao mundo feminino. Nesta medida, a medicina tenta impor aos sujeitos uma política pedagógica de disciplinarização dos corpos, na tentativa de legitimação de um projeto social que envolvia instituições como a família higienizada, que se adequava muito mais à realidade da elite brasileira. Por outro lado, as mulheres negras e pobres foram classificadas como degeneradas por não se enquadrarem, por questões raciais e sociais, ao projeto moralizador de médicos e juristas.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FONTES</w:t>
      </w: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TESES MÉDICAS</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BATISTA, Hildebrando José. </w:t>
      </w:r>
      <w:r>
        <w:rPr>
          <w:rFonts w:ascii="Times New Roman" w:hAnsi="Times New Roman" w:cs="Times New Roman" w:eastAsia="Times New Roman"/>
          <w:b/>
          <w:color w:val="auto"/>
          <w:spacing w:val="0"/>
          <w:position w:val="0"/>
          <w:sz w:val="24"/>
          <w:shd w:fill="auto" w:val="clear"/>
        </w:rPr>
        <w:t xml:space="preserve">A mulher e a medicina Legal</w:t>
      </w:r>
      <w:r>
        <w:rPr>
          <w:rFonts w:ascii="Times New Roman" w:hAnsi="Times New Roman" w:cs="Times New Roman" w:eastAsia="Times New Roman"/>
          <w:color w:val="auto"/>
          <w:spacing w:val="0"/>
          <w:position w:val="0"/>
          <w:sz w:val="24"/>
          <w:shd w:fill="auto" w:val="clear"/>
        </w:rPr>
        <w:t xml:space="preserve">. Bahia: Oficinas dos dois mundos, 1909</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LOPES, Rita Lobato Velho. </w:t>
      </w:r>
      <w:r>
        <w:rPr>
          <w:rFonts w:ascii="Times New Roman" w:hAnsi="Times New Roman" w:cs="Times New Roman" w:eastAsia="Times New Roman"/>
          <w:b/>
          <w:color w:val="auto"/>
          <w:spacing w:val="0"/>
          <w:position w:val="0"/>
          <w:sz w:val="24"/>
          <w:shd w:fill="auto" w:val="clear"/>
        </w:rPr>
        <w:t xml:space="preserve">Paralelo entre os métodos preconizados na operação cesariana.</w:t>
      </w:r>
      <w:r>
        <w:rPr>
          <w:rFonts w:ascii="Times New Roman" w:hAnsi="Times New Roman" w:cs="Times New Roman" w:eastAsia="Times New Roman"/>
          <w:color w:val="auto"/>
          <w:spacing w:val="0"/>
          <w:position w:val="0"/>
          <w:sz w:val="24"/>
          <w:shd w:fill="auto" w:val="clear"/>
        </w:rPr>
        <w:t xml:space="preserve"> Bahia: Imprensa popular, 1887.</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PEDREIRA, Felippe Machado. </w:t>
      </w:r>
      <w:r>
        <w:rPr>
          <w:rFonts w:ascii="Times New Roman" w:hAnsi="Times New Roman" w:cs="Times New Roman" w:eastAsia="Times New Roman"/>
          <w:b/>
          <w:color w:val="auto"/>
          <w:spacing w:val="0"/>
          <w:position w:val="0"/>
          <w:sz w:val="24"/>
          <w:shd w:fill="auto" w:val="clear"/>
        </w:rPr>
        <w:t xml:space="preserve">Melhoramentos introduzidos na construção dos Hospitais.</w:t>
      </w:r>
      <w:r>
        <w:rPr>
          <w:rFonts w:ascii="Times New Roman" w:hAnsi="Times New Roman" w:cs="Times New Roman" w:eastAsia="Times New Roman"/>
          <w:color w:val="auto"/>
          <w:spacing w:val="0"/>
          <w:position w:val="0"/>
          <w:sz w:val="24"/>
          <w:shd w:fill="auto" w:val="clear"/>
        </w:rPr>
        <w:t xml:space="preserve"> Bahia: Imprensa Popular, 1887</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PINHO, Sabino. </w:t>
      </w:r>
      <w:r>
        <w:rPr>
          <w:rFonts w:ascii="Times New Roman" w:hAnsi="Times New Roman" w:cs="Times New Roman" w:eastAsia="Times New Roman"/>
          <w:b/>
          <w:color w:val="auto"/>
          <w:spacing w:val="0"/>
          <w:position w:val="0"/>
          <w:sz w:val="24"/>
          <w:shd w:fill="auto" w:val="clear"/>
        </w:rPr>
        <w:t xml:space="preserve">O Espartilho e a mulher</w:t>
      </w:r>
      <w:r>
        <w:rPr>
          <w:rFonts w:ascii="Times New Roman" w:hAnsi="Times New Roman" w:cs="Times New Roman" w:eastAsia="Times New Roman"/>
          <w:color w:val="auto"/>
          <w:spacing w:val="0"/>
          <w:position w:val="0"/>
          <w:sz w:val="24"/>
          <w:shd w:fill="auto" w:val="clear"/>
        </w:rPr>
        <w:t xml:space="preserve">. Bahia: Litho-typographia Almeida, 1903.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PRAGUER, Francisca B., </w:t>
      </w:r>
      <w:r>
        <w:rPr>
          <w:rFonts w:ascii="Times New Roman" w:hAnsi="Times New Roman" w:cs="Times New Roman" w:eastAsia="Times New Roman"/>
          <w:b/>
          <w:color w:val="auto"/>
          <w:spacing w:val="0"/>
          <w:position w:val="0"/>
          <w:sz w:val="24"/>
          <w:shd w:fill="auto" w:val="clear"/>
        </w:rPr>
        <w:t xml:space="preserve">Breves noções sobre raspagem uterina. </w:t>
      </w:r>
      <w:r>
        <w:rPr>
          <w:rFonts w:ascii="Times New Roman" w:hAnsi="Times New Roman" w:cs="Times New Roman" w:eastAsia="Times New Roman"/>
          <w:color w:val="auto"/>
          <w:spacing w:val="0"/>
          <w:position w:val="0"/>
          <w:sz w:val="24"/>
          <w:shd w:fill="auto" w:val="clear"/>
        </w:rPr>
        <w:t xml:space="preserve">Tese apresentada à faculdade de Medicina e de Farmácia da Bahia. Bahia: Typografia e encardenação do Diário da Bahia, 1893</w:t>
      </w: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VEIGA, Ephigenia. </w:t>
      </w:r>
      <w:r>
        <w:rPr>
          <w:rFonts w:ascii="Times New Roman" w:hAnsi="Times New Roman" w:cs="Times New Roman" w:eastAsia="Times New Roman"/>
          <w:b/>
          <w:color w:val="auto"/>
          <w:spacing w:val="0"/>
          <w:position w:val="0"/>
          <w:sz w:val="24"/>
          <w:shd w:fill="auto" w:val="clear"/>
        </w:rPr>
        <w:t xml:space="preserve">Os métodos antisepticos em Obstetrícia. </w:t>
      </w:r>
      <w:r>
        <w:rPr>
          <w:rFonts w:ascii="Times New Roman" w:hAnsi="Times New Roman" w:cs="Times New Roman" w:eastAsia="Times New Roman"/>
          <w:color w:val="auto"/>
          <w:spacing w:val="0"/>
          <w:position w:val="0"/>
          <w:sz w:val="24"/>
          <w:shd w:fill="auto" w:val="clear"/>
        </w:rPr>
        <w:t xml:space="preserve">Bahia: Impressão popular, 1890</w:t>
      </w: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REFERÊNCIAS BIBLIOGRÁFICAS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AMARAL, Marivaldo Cruz do. </w:t>
      </w:r>
      <w:r>
        <w:rPr>
          <w:rFonts w:ascii="Times New Roman" w:hAnsi="Times New Roman" w:cs="Times New Roman" w:eastAsia="Times New Roman"/>
          <w:b/>
          <w:color w:val="auto"/>
          <w:spacing w:val="0"/>
          <w:position w:val="0"/>
          <w:sz w:val="24"/>
          <w:shd w:fill="auto" w:val="clear"/>
        </w:rPr>
        <w:t xml:space="preserve">“Da Comadre para o Doutor”</w:t>
      </w:r>
      <w:r>
        <w:rPr>
          <w:rFonts w:ascii="Times New Roman" w:hAnsi="Times New Roman" w:cs="Times New Roman" w:eastAsia="Times New Roman"/>
          <w:color w:val="auto"/>
          <w:spacing w:val="0"/>
          <w:position w:val="0"/>
          <w:sz w:val="24"/>
          <w:shd w:fill="auto" w:val="clear"/>
        </w:rPr>
        <w:t xml:space="preserve">. A Maternidade Climério de Oliveira e a nova medicina da mulher na Bahia republicana (1910-1927). Dissertação (Mestrado em História Social) UFBA, Salvador, 2005.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BARRETO, Maria Renilda Nery. </w:t>
      </w:r>
      <w:r>
        <w:rPr>
          <w:rFonts w:ascii="Times New Roman" w:hAnsi="Times New Roman" w:cs="Times New Roman" w:eastAsia="Times New Roman"/>
          <w:b/>
          <w:color w:val="auto"/>
          <w:spacing w:val="0"/>
          <w:position w:val="0"/>
          <w:sz w:val="24"/>
          <w:shd w:fill="auto" w:val="clear"/>
        </w:rPr>
        <w:t xml:space="preserve">Nascer na Bahia do século XIX</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Salvador (1832-1889). Dissertação (Mestrado em História Social), UFBA, Salvador, 2000.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Assistência ao nascimento na Bahia oitocentista. </w:t>
      </w:r>
      <w:r>
        <w:rPr>
          <w:rFonts w:ascii="Times New Roman" w:hAnsi="Times New Roman" w:cs="Times New Roman" w:eastAsia="Times New Roman"/>
          <w:b/>
          <w:color w:val="auto"/>
          <w:spacing w:val="0"/>
          <w:position w:val="0"/>
          <w:sz w:val="24"/>
          <w:shd w:fill="auto" w:val="clear"/>
        </w:rPr>
        <w:t xml:space="preserve">História, Ciências, saúde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Manguinhos</w:t>
      </w:r>
      <w:r>
        <w:rPr>
          <w:rFonts w:ascii="Times New Roman" w:hAnsi="Times New Roman" w:cs="Times New Roman" w:eastAsia="Times New Roman"/>
          <w:color w:val="auto"/>
          <w:spacing w:val="0"/>
          <w:position w:val="0"/>
          <w:sz w:val="24"/>
          <w:shd w:fill="auto" w:val="clear"/>
        </w:rPr>
        <w:t xml:space="preserve">, Rio de Janeiro, v. 15, n.4, out-dez. 2008, p. 901-925.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w:t>
      </w:r>
      <w:r>
        <w:rPr>
          <w:rFonts w:ascii="Times New Roman" w:hAnsi="Times New Roman" w:cs="Times New Roman" w:eastAsia="Times New Roman"/>
          <w:b/>
          <w:color w:val="auto"/>
          <w:spacing w:val="0"/>
          <w:position w:val="0"/>
          <w:sz w:val="24"/>
          <w:shd w:fill="auto" w:val="clear"/>
        </w:rPr>
        <w:t xml:space="preserve">A medicina Luso-Brasileira</w:t>
      </w:r>
      <w:r>
        <w:rPr>
          <w:rFonts w:ascii="Times New Roman" w:hAnsi="Times New Roman" w:cs="Times New Roman" w:eastAsia="Times New Roman"/>
          <w:color w:val="auto"/>
          <w:spacing w:val="0"/>
          <w:position w:val="0"/>
          <w:sz w:val="24"/>
          <w:shd w:fill="auto" w:val="clear"/>
        </w:rPr>
        <w:t xml:space="preserve">: instituições, médicos e populações enfermas em Salvador e Lisboa (1808-1851). Tese de doutorado. FIOCRUZ. 2005.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CARRETA, Jorge Augusto. </w:t>
      </w:r>
      <w:r>
        <w:rPr>
          <w:rFonts w:ascii="Times New Roman" w:hAnsi="Times New Roman" w:cs="Times New Roman" w:eastAsia="Times New Roman"/>
          <w:b/>
          <w:color w:val="auto"/>
          <w:spacing w:val="0"/>
          <w:position w:val="0"/>
          <w:sz w:val="24"/>
          <w:shd w:fill="auto" w:val="clear"/>
        </w:rPr>
        <w:t xml:space="preserve">“O micróbio é o inimigo”:</w:t>
      </w:r>
      <w:r>
        <w:rPr>
          <w:rFonts w:ascii="Times New Roman" w:hAnsi="Times New Roman" w:cs="Times New Roman" w:eastAsia="Times New Roman"/>
          <w:color w:val="auto"/>
          <w:spacing w:val="0"/>
          <w:position w:val="0"/>
          <w:sz w:val="24"/>
          <w:shd w:fill="auto" w:val="clear"/>
        </w:rPr>
        <w:t xml:space="preserve"> Debates sobre a microbiologia no Brasil (1885-1904). Tese (Doutorado em Política Científica e tecnológica), UNICAMP, 2006.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CHALHOUB, S (Org.). </w:t>
      </w:r>
      <w:r>
        <w:rPr>
          <w:rFonts w:ascii="Times New Roman" w:hAnsi="Times New Roman" w:cs="Times New Roman" w:eastAsia="Times New Roman"/>
          <w:b/>
          <w:color w:val="auto"/>
          <w:spacing w:val="0"/>
          <w:position w:val="0"/>
          <w:sz w:val="24"/>
          <w:shd w:fill="auto" w:val="clear"/>
        </w:rPr>
        <w:t xml:space="preserve">Artes e ofícios de curar no Brasil</w:t>
      </w:r>
      <w:r>
        <w:rPr>
          <w:rFonts w:ascii="Times New Roman" w:hAnsi="Times New Roman" w:cs="Times New Roman" w:eastAsia="Times New Roman"/>
          <w:color w:val="auto"/>
          <w:spacing w:val="0"/>
          <w:position w:val="0"/>
          <w:sz w:val="24"/>
          <w:shd w:fill="auto" w:val="clear"/>
        </w:rPr>
        <w:t xml:space="preserve">. SP: UNICAMP, 2003.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 </w:t>
      </w:r>
      <w:r>
        <w:rPr>
          <w:rFonts w:ascii="Times New Roman" w:hAnsi="Times New Roman" w:cs="Times New Roman" w:eastAsia="Times New Roman"/>
          <w:b/>
          <w:color w:val="auto"/>
          <w:spacing w:val="0"/>
          <w:position w:val="0"/>
          <w:sz w:val="24"/>
          <w:shd w:fill="auto" w:val="clear"/>
        </w:rPr>
        <w:t xml:space="preserve">Cidade Febril</w:t>
      </w:r>
      <w:r>
        <w:rPr>
          <w:rFonts w:ascii="Times New Roman" w:hAnsi="Times New Roman" w:cs="Times New Roman" w:eastAsia="Times New Roman"/>
          <w:color w:val="auto"/>
          <w:spacing w:val="0"/>
          <w:position w:val="0"/>
          <w:sz w:val="24"/>
          <w:shd w:fill="auto" w:val="clear"/>
        </w:rPr>
        <w:t xml:space="preserve">: cortiços e epidemias na Corte imperial. UNICAMP, 1994.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COSTA, José de Souza. Histórico da Ginecologia na Faculdade de Medicina da Bahia. </w:t>
      </w:r>
      <w:r>
        <w:rPr>
          <w:rFonts w:ascii="Times New Roman" w:hAnsi="Times New Roman" w:cs="Times New Roman" w:eastAsia="Times New Roman"/>
          <w:b/>
          <w:color w:val="auto"/>
          <w:spacing w:val="0"/>
          <w:position w:val="0"/>
          <w:sz w:val="24"/>
          <w:shd w:fill="auto" w:val="clear"/>
        </w:rPr>
        <w:t xml:space="preserve">Gazeta médica da Bahia</w:t>
      </w:r>
      <w:r>
        <w:rPr>
          <w:rFonts w:ascii="Times New Roman" w:hAnsi="Times New Roman" w:cs="Times New Roman" w:eastAsia="Times New Roman"/>
          <w:color w:val="auto"/>
          <w:spacing w:val="0"/>
          <w:position w:val="0"/>
          <w:sz w:val="24"/>
          <w:shd w:fill="auto" w:val="clear"/>
        </w:rPr>
        <w:t xml:space="preserve">. 2 (Jul-Dez); Salvador, 2007.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COSTA, Paulo Segundo da. </w:t>
      </w:r>
      <w:r>
        <w:rPr>
          <w:rFonts w:ascii="Times New Roman" w:hAnsi="Times New Roman" w:cs="Times New Roman" w:eastAsia="Times New Roman"/>
          <w:b/>
          <w:color w:val="auto"/>
          <w:spacing w:val="0"/>
          <w:position w:val="0"/>
          <w:sz w:val="24"/>
          <w:shd w:fill="auto" w:val="clear"/>
        </w:rPr>
        <w:t xml:space="preserve">Hospital de caridade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da Santa Casa de Misericórdia da Bahia </w:t>
      </w:r>
      <w:r>
        <w:rPr>
          <w:rFonts w:ascii="Times New Roman" w:hAnsi="Times New Roman" w:cs="Times New Roman" w:eastAsia="Times New Roman"/>
          <w:color w:val="auto"/>
          <w:spacing w:val="0"/>
          <w:position w:val="0"/>
          <w:sz w:val="24"/>
          <w:shd w:fill="auto" w:val="clear"/>
        </w:rPr>
        <w:t xml:space="preserve">(São Cristóvão/ Santa Izabel). Salvador: Editora contexto &amp; arte, 2000.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DAVID, Onildo Reis. </w:t>
      </w:r>
      <w:r>
        <w:rPr>
          <w:rFonts w:ascii="Times New Roman" w:hAnsi="Times New Roman" w:cs="Times New Roman" w:eastAsia="Times New Roman"/>
          <w:b/>
          <w:color w:val="auto"/>
          <w:spacing w:val="0"/>
          <w:position w:val="0"/>
          <w:sz w:val="24"/>
          <w:shd w:fill="auto" w:val="clear"/>
        </w:rPr>
        <w:t xml:space="preserve">O Inimigo Invisível</w:t>
      </w:r>
      <w:r>
        <w:rPr>
          <w:rFonts w:ascii="Times New Roman" w:hAnsi="Times New Roman" w:cs="Times New Roman" w:eastAsia="Times New Roman"/>
          <w:color w:val="auto"/>
          <w:spacing w:val="0"/>
          <w:position w:val="0"/>
          <w:sz w:val="24"/>
          <w:shd w:fill="auto" w:val="clear"/>
        </w:rPr>
        <w:t xml:space="preserve">: epidemia do cólera na Bahia em l855-56. UFBA: Dissertação (Mestrado em História Social) UFBA, Salvador, 1994.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EDLER, Flavio Coelho. </w:t>
      </w:r>
      <w:r>
        <w:rPr>
          <w:rFonts w:ascii="Times New Roman" w:hAnsi="Times New Roman" w:cs="Times New Roman" w:eastAsia="Times New Roman"/>
          <w:b/>
          <w:color w:val="auto"/>
          <w:spacing w:val="0"/>
          <w:position w:val="0"/>
          <w:sz w:val="24"/>
          <w:shd w:fill="auto" w:val="clear"/>
        </w:rPr>
        <w:t xml:space="preserve">As reformas do ensino médico e a profissionalização da medicina na Corte do Rio de Janeiro 1854-1884</w:t>
      </w:r>
      <w:r>
        <w:rPr>
          <w:rFonts w:ascii="Times New Roman" w:hAnsi="Times New Roman" w:cs="Times New Roman" w:eastAsia="Times New Roman"/>
          <w:color w:val="auto"/>
          <w:spacing w:val="0"/>
          <w:position w:val="0"/>
          <w:sz w:val="24"/>
          <w:shd w:fill="auto" w:val="clear"/>
        </w:rPr>
        <w:t xml:space="preserve">. (Dissertação de Mestrado) – São Paulo: Faculdade de Filosofia, Ciências e Letras – Universidade de São Paulo. 1992.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O debate em torno da medicina experimental no segundo reinado. </w:t>
      </w:r>
      <w:r>
        <w:rPr>
          <w:rFonts w:ascii="Times New Roman" w:hAnsi="Times New Roman" w:cs="Times New Roman" w:eastAsia="Times New Roman"/>
          <w:b/>
          <w:color w:val="auto"/>
          <w:spacing w:val="0"/>
          <w:position w:val="0"/>
          <w:sz w:val="24"/>
          <w:shd w:fill="auto" w:val="clear"/>
        </w:rPr>
        <w:t xml:space="preserve">História, Ciências, Saúde- Manguinhos</w:t>
      </w:r>
      <w:r>
        <w:rPr>
          <w:rFonts w:ascii="Times New Roman" w:hAnsi="Times New Roman" w:cs="Times New Roman" w:eastAsia="Times New Roman"/>
          <w:color w:val="auto"/>
          <w:spacing w:val="0"/>
          <w:position w:val="0"/>
          <w:sz w:val="24"/>
          <w:shd w:fill="auto" w:val="clear"/>
        </w:rPr>
        <w:t xml:space="preserve">, III (2): 284-299, Jul.-Oct. 1996.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A reforma médica no Brasil e nos Estados Unidos: Uma comparação entre duas retóricas. História, </w:t>
      </w:r>
      <w:r>
        <w:rPr>
          <w:rFonts w:ascii="Times New Roman" w:hAnsi="Times New Roman" w:cs="Times New Roman" w:eastAsia="Times New Roman"/>
          <w:b/>
          <w:color w:val="auto"/>
          <w:spacing w:val="0"/>
          <w:position w:val="0"/>
          <w:sz w:val="24"/>
          <w:shd w:fill="auto" w:val="clear"/>
        </w:rPr>
        <w:t xml:space="preserve">Ciências, Saúde- Manguinhos</w:t>
      </w:r>
      <w:r>
        <w:rPr>
          <w:rFonts w:ascii="Times New Roman" w:hAnsi="Times New Roman" w:cs="Times New Roman" w:eastAsia="Times New Roman"/>
          <w:color w:val="auto"/>
          <w:spacing w:val="0"/>
          <w:position w:val="0"/>
          <w:sz w:val="24"/>
          <w:shd w:fill="auto" w:val="clear"/>
        </w:rPr>
        <w:t xml:space="preserve">, v.11(3): 569-85, set-dez. 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FERREIRA, L. O. ‘Os periódicos médicos e a invenção de uma agenda sanitária para o Brasil (1827-1843)’. </w:t>
      </w:r>
      <w:r>
        <w:rPr>
          <w:rFonts w:ascii="Times New Roman" w:hAnsi="Times New Roman" w:cs="Times New Roman" w:eastAsia="Times New Roman"/>
          <w:b/>
          <w:color w:val="auto"/>
          <w:spacing w:val="0"/>
          <w:position w:val="0"/>
          <w:sz w:val="24"/>
          <w:shd w:fill="auto" w:val="clear"/>
        </w:rPr>
        <w:t xml:space="preserve">História, Ciências, Saúde – Manguinhos</w:t>
      </w:r>
      <w:r>
        <w:rPr>
          <w:rFonts w:ascii="Times New Roman" w:hAnsi="Times New Roman" w:cs="Times New Roman" w:eastAsia="Times New Roman"/>
          <w:color w:val="auto"/>
          <w:spacing w:val="0"/>
          <w:position w:val="0"/>
          <w:sz w:val="24"/>
          <w:shd w:fill="auto" w:val="clear"/>
        </w:rPr>
        <w:t xml:space="preserve">. VI (2): 331-51, jul.-out. 1999.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Medicina impopular: Ciência médica e medicina popular nas páginas dos periódicos científicos (1830-1840) In: CHALHOUB, Sidney (Org.). </w:t>
      </w:r>
      <w:r>
        <w:rPr>
          <w:rFonts w:ascii="Times New Roman" w:hAnsi="Times New Roman" w:cs="Times New Roman" w:eastAsia="Times New Roman"/>
          <w:b/>
          <w:color w:val="auto"/>
          <w:spacing w:val="0"/>
          <w:position w:val="0"/>
          <w:sz w:val="24"/>
          <w:shd w:fill="auto" w:val="clear"/>
        </w:rPr>
        <w:t xml:space="preserve">Artes e ofícios de curar no Brasil</w:t>
      </w:r>
      <w:r>
        <w:rPr>
          <w:rFonts w:ascii="Times New Roman" w:hAnsi="Times New Roman" w:cs="Times New Roman" w:eastAsia="Times New Roman"/>
          <w:color w:val="auto"/>
          <w:spacing w:val="0"/>
          <w:position w:val="0"/>
          <w:sz w:val="24"/>
          <w:shd w:fill="auto" w:val="clear"/>
        </w:rPr>
        <w:t xml:space="preserve">. São Paulo: Unicamp, 2003, pp. 101-122.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FOUCAULT, Michel. </w:t>
      </w:r>
      <w:r>
        <w:rPr>
          <w:rFonts w:ascii="Times New Roman" w:hAnsi="Times New Roman" w:cs="Times New Roman" w:eastAsia="Times New Roman"/>
          <w:b/>
          <w:color w:val="auto"/>
          <w:spacing w:val="0"/>
          <w:position w:val="0"/>
          <w:sz w:val="24"/>
          <w:shd w:fill="auto" w:val="clear"/>
        </w:rPr>
        <w:t xml:space="preserve">O nascimento da clínica</w:t>
      </w:r>
      <w:r>
        <w:rPr>
          <w:rFonts w:ascii="Times New Roman" w:hAnsi="Times New Roman" w:cs="Times New Roman" w:eastAsia="Times New Roman"/>
          <w:color w:val="auto"/>
          <w:spacing w:val="0"/>
          <w:position w:val="0"/>
          <w:sz w:val="24"/>
          <w:shd w:fill="auto" w:val="clear"/>
        </w:rPr>
        <w:t xml:space="preserve">. Rio de Janeiro: Forense Universitária, 2008.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LEITE, Márcia Maria da Silva Barreiros. </w:t>
      </w:r>
      <w:r>
        <w:rPr>
          <w:rFonts w:ascii="Times New Roman" w:hAnsi="Times New Roman" w:cs="Times New Roman" w:eastAsia="Times New Roman"/>
          <w:b/>
          <w:color w:val="auto"/>
          <w:spacing w:val="0"/>
          <w:position w:val="0"/>
          <w:sz w:val="24"/>
          <w:shd w:fill="auto" w:val="clear"/>
        </w:rPr>
        <w:t xml:space="preserve">Entre a tinta e o papel</w:t>
      </w:r>
      <w:r>
        <w:rPr>
          <w:rFonts w:ascii="Times New Roman" w:hAnsi="Times New Roman" w:cs="Times New Roman" w:eastAsia="Times New Roman"/>
          <w:color w:val="auto"/>
          <w:spacing w:val="0"/>
          <w:position w:val="0"/>
          <w:sz w:val="24"/>
          <w:shd w:fill="auto" w:val="clear"/>
        </w:rPr>
        <w:t xml:space="preserve">: memórias de leituras e escritas femininas na Bahia (1870-1920). Salvador: Editora Quarteto, 2005.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LUCA, Leonora de. e LUCA, João Bosco Assis de. Maria Rennotte, pedagoga e médica: subsídios para um estudo histórico-biográfico e médico-social. </w:t>
      </w:r>
      <w:r>
        <w:rPr>
          <w:rFonts w:ascii="Times New Roman" w:hAnsi="Times New Roman" w:cs="Times New Roman" w:eastAsia="Times New Roman"/>
          <w:b/>
          <w:color w:val="auto"/>
          <w:spacing w:val="0"/>
          <w:position w:val="0"/>
          <w:sz w:val="24"/>
          <w:shd w:fill="auto" w:val="clear"/>
        </w:rPr>
        <w:t xml:space="preserve">História, Ciência, Saúde – Manguinhos</w:t>
      </w:r>
      <w:r>
        <w:rPr>
          <w:rFonts w:ascii="Times New Roman" w:hAnsi="Times New Roman" w:cs="Times New Roman" w:eastAsia="Times New Roman"/>
          <w:color w:val="auto"/>
          <w:spacing w:val="0"/>
          <w:position w:val="0"/>
          <w:sz w:val="24"/>
          <w:shd w:fill="auto" w:val="clear"/>
        </w:rPr>
        <w:t xml:space="preserve">, Rio de Janeiro, v.10 (2), maio-ago.2008, p.703-25.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MACHADO, Roberto. </w:t>
      </w:r>
      <w:r>
        <w:rPr>
          <w:rFonts w:ascii="Times New Roman" w:hAnsi="Times New Roman" w:cs="Times New Roman" w:eastAsia="Times New Roman"/>
          <w:b/>
          <w:color w:val="auto"/>
          <w:spacing w:val="0"/>
          <w:position w:val="0"/>
          <w:sz w:val="24"/>
          <w:shd w:fill="auto" w:val="clear"/>
        </w:rPr>
        <w:t xml:space="preserve">Danação da Norma</w:t>
      </w:r>
      <w:r>
        <w:rPr>
          <w:rFonts w:ascii="Times New Roman" w:hAnsi="Times New Roman" w:cs="Times New Roman" w:eastAsia="Times New Roman"/>
          <w:color w:val="auto"/>
          <w:spacing w:val="0"/>
          <w:position w:val="0"/>
          <w:sz w:val="24"/>
          <w:shd w:fill="auto" w:val="clear"/>
        </w:rPr>
        <w:t xml:space="preserve">: Medicina social e constituição da psiquiatria no Brasil. Rio de Janeiro, Graal, 1978.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MARTINS, Ana Paula Vosne. </w:t>
      </w:r>
      <w:r>
        <w:rPr>
          <w:rFonts w:ascii="Times New Roman" w:hAnsi="Times New Roman" w:cs="Times New Roman" w:eastAsia="Times New Roman"/>
          <w:b/>
          <w:color w:val="auto"/>
          <w:spacing w:val="0"/>
          <w:position w:val="0"/>
          <w:sz w:val="24"/>
          <w:shd w:fill="auto" w:val="clear"/>
        </w:rPr>
        <w:t xml:space="preserve">Visões do feminino: </w:t>
      </w:r>
      <w:r>
        <w:rPr>
          <w:rFonts w:ascii="Times New Roman" w:hAnsi="Times New Roman" w:cs="Times New Roman" w:eastAsia="Times New Roman"/>
          <w:color w:val="auto"/>
          <w:spacing w:val="0"/>
          <w:position w:val="0"/>
          <w:sz w:val="24"/>
          <w:shd w:fill="auto" w:val="clear"/>
        </w:rPr>
        <w:t xml:space="preserve">a medicina da mulher nos séculos XIX e XX. Rio de Janeiro: Editora FIOCRUZ. 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MATOS, Maria Izilda Santos de &amp; SOIHET, Rachel (Orgs.). </w:t>
      </w:r>
      <w:r>
        <w:rPr>
          <w:rFonts w:ascii="Times New Roman" w:hAnsi="Times New Roman" w:cs="Times New Roman" w:eastAsia="Times New Roman"/>
          <w:b/>
          <w:color w:val="auto"/>
          <w:spacing w:val="0"/>
          <w:position w:val="0"/>
          <w:sz w:val="24"/>
          <w:shd w:fill="auto" w:val="clear"/>
        </w:rPr>
        <w:t xml:space="preserve">O corpo feminino em debate</w:t>
      </w:r>
      <w:r>
        <w:rPr>
          <w:rFonts w:ascii="Times New Roman" w:hAnsi="Times New Roman" w:cs="Times New Roman" w:eastAsia="Times New Roman"/>
          <w:color w:val="auto"/>
          <w:spacing w:val="0"/>
          <w:position w:val="0"/>
          <w:sz w:val="24"/>
          <w:shd w:fill="auto" w:val="clear"/>
        </w:rPr>
        <w:t xml:space="preserve">. São Paulo: UNESP, 2003.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MOTT, Maria Lúcia de Barros. Madame Durocher, modista e parteira. </w:t>
      </w:r>
      <w:r>
        <w:rPr>
          <w:rFonts w:ascii="Times New Roman" w:hAnsi="Times New Roman" w:cs="Times New Roman" w:eastAsia="Times New Roman"/>
          <w:b/>
          <w:color w:val="auto"/>
          <w:spacing w:val="0"/>
          <w:position w:val="0"/>
          <w:sz w:val="24"/>
          <w:shd w:fill="auto" w:val="clear"/>
        </w:rPr>
        <w:t xml:space="preserve">Estudos Feministas</w:t>
      </w:r>
      <w:r>
        <w:rPr>
          <w:rFonts w:ascii="Times New Roman" w:hAnsi="Times New Roman" w:cs="Times New Roman" w:eastAsia="Times New Roman"/>
          <w:color w:val="auto"/>
          <w:spacing w:val="0"/>
          <w:position w:val="0"/>
          <w:sz w:val="24"/>
          <w:shd w:fill="auto" w:val="clear"/>
        </w:rPr>
        <w:t xml:space="preserve">, Rio de Janeiro, vol. 2, n° 3, 1° semestre 1994, pp. 101-116.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OLIVEIRA, Eduardo de Sá. </w:t>
      </w:r>
      <w:r>
        <w:rPr>
          <w:rFonts w:ascii="Times New Roman" w:hAnsi="Times New Roman" w:cs="Times New Roman" w:eastAsia="Times New Roman"/>
          <w:b/>
          <w:color w:val="auto"/>
          <w:spacing w:val="0"/>
          <w:position w:val="0"/>
          <w:sz w:val="24"/>
          <w:shd w:fill="auto" w:val="clear"/>
        </w:rPr>
        <w:t xml:space="preserve">Memória histórica da Faculdade de Medicina da Bahia</w:t>
      </w:r>
      <w:r>
        <w:rPr>
          <w:rFonts w:ascii="Times New Roman" w:hAnsi="Times New Roman" w:cs="Times New Roman" w:eastAsia="Times New Roman"/>
          <w:color w:val="auto"/>
          <w:spacing w:val="0"/>
          <w:position w:val="0"/>
          <w:sz w:val="24"/>
          <w:shd w:fill="auto" w:val="clear"/>
        </w:rPr>
        <w:t xml:space="preserve">, concernente ao ano de 1942. Salvador: EDUFBA, 1992.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PIMENTA, Tânia Salgado. O </w:t>
      </w:r>
      <w:r>
        <w:rPr>
          <w:rFonts w:ascii="Times New Roman" w:hAnsi="Times New Roman" w:cs="Times New Roman" w:eastAsia="Times New Roman"/>
          <w:b/>
          <w:color w:val="auto"/>
          <w:spacing w:val="0"/>
          <w:position w:val="0"/>
          <w:sz w:val="24"/>
          <w:shd w:fill="auto" w:val="clear"/>
        </w:rPr>
        <w:t xml:space="preserve">exercício das artes de curar no Rio de Janeiro (1828-1855)</w:t>
      </w:r>
      <w:r>
        <w:rPr>
          <w:rFonts w:ascii="Times New Roman" w:hAnsi="Times New Roman" w:cs="Times New Roman" w:eastAsia="Times New Roman"/>
          <w:color w:val="auto"/>
          <w:spacing w:val="0"/>
          <w:position w:val="0"/>
          <w:sz w:val="24"/>
          <w:shd w:fill="auto" w:val="clear"/>
        </w:rPr>
        <w:t xml:space="preserve">. Tese de doutorado: UNICAMP, 2003.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RAGO, Elisabeth Juliska. </w:t>
      </w:r>
      <w:r>
        <w:rPr>
          <w:rFonts w:ascii="Times New Roman" w:hAnsi="Times New Roman" w:cs="Times New Roman" w:eastAsia="Times New Roman"/>
          <w:b/>
          <w:color w:val="auto"/>
          <w:spacing w:val="0"/>
          <w:position w:val="0"/>
          <w:sz w:val="24"/>
          <w:shd w:fill="auto" w:val="clear"/>
        </w:rPr>
        <w:t xml:space="preserve">Outras falas</w:t>
      </w:r>
      <w:r>
        <w:rPr>
          <w:rFonts w:ascii="Times New Roman" w:hAnsi="Times New Roman" w:cs="Times New Roman" w:eastAsia="Times New Roman"/>
          <w:color w:val="auto"/>
          <w:spacing w:val="0"/>
          <w:position w:val="0"/>
          <w:sz w:val="24"/>
          <w:shd w:fill="auto" w:val="clear"/>
        </w:rPr>
        <w:t xml:space="preserve">: feminismo e medicina na Bahia (1836-1931). SP: FAPESP, 2007.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 Francisca Praguer Fróes: medicina, gênero e poder nas trajetórias de uma médica baiana (1872-1931). </w:t>
      </w:r>
      <w:r>
        <w:rPr>
          <w:rFonts w:ascii="Times New Roman" w:hAnsi="Times New Roman" w:cs="Times New Roman" w:eastAsia="Times New Roman"/>
          <w:b/>
          <w:color w:val="auto"/>
          <w:spacing w:val="0"/>
          <w:position w:val="0"/>
          <w:sz w:val="24"/>
          <w:shd w:fill="auto" w:val="clear"/>
        </w:rPr>
        <w:t xml:space="preserve">Ciências &amp; saúde coletiva</w:t>
      </w:r>
      <w:r>
        <w:rPr>
          <w:rFonts w:ascii="Times New Roman" w:hAnsi="Times New Roman" w:cs="Times New Roman" w:eastAsia="Times New Roman"/>
          <w:color w:val="auto"/>
          <w:spacing w:val="0"/>
          <w:position w:val="0"/>
          <w:sz w:val="24"/>
          <w:shd w:fill="auto" w:val="clear"/>
        </w:rPr>
        <w:t xml:space="preserve">. Maio- junho, 2008, vol.13, n.3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RIOS, Venétia Durando Braga. </w:t>
      </w:r>
      <w:r>
        <w:rPr>
          <w:rFonts w:ascii="Times New Roman" w:hAnsi="Times New Roman" w:cs="Times New Roman" w:eastAsia="Times New Roman"/>
          <w:b/>
          <w:color w:val="auto"/>
          <w:spacing w:val="0"/>
          <w:position w:val="0"/>
          <w:sz w:val="24"/>
          <w:shd w:fill="auto" w:val="clear"/>
        </w:rPr>
        <w:t xml:space="preserve">Entre a vida e a Morte</w:t>
      </w:r>
      <w:r>
        <w:rPr>
          <w:rFonts w:ascii="Times New Roman" w:hAnsi="Times New Roman" w:cs="Times New Roman" w:eastAsia="Times New Roman"/>
          <w:color w:val="auto"/>
          <w:spacing w:val="0"/>
          <w:position w:val="0"/>
          <w:sz w:val="24"/>
          <w:shd w:fill="auto" w:val="clear"/>
        </w:rPr>
        <w:t xml:space="preserve">: médicos, Medicina e medicalização na cidade de Salvador (1860-1880). Dissertação (Mestrado em História Social). UFBA, Salvador, 2001.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ROHDEN, Fabíola. </w:t>
      </w:r>
      <w:r>
        <w:rPr>
          <w:rFonts w:ascii="Times New Roman" w:hAnsi="Times New Roman" w:cs="Times New Roman" w:eastAsia="Times New Roman"/>
          <w:b/>
          <w:color w:val="auto"/>
          <w:spacing w:val="0"/>
          <w:position w:val="0"/>
          <w:sz w:val="24"/>
          <w:shd w:fill="auto" w:val="clear"/>
        </w:rPr>
        <w:t xml:space="preserve">Uma Ciência da Diferença: </w:t>
      </w:r>
      <w:r>
        <w:rPr>
          <w:rFonts w:ascii="Times New Roman" w:hAnsi="Times New Roman" w:cs="Times New Roman" w:eastAsia="Times New Roman"/>
          <w:color w:val="auto"/>
          <w:spacing w:val="0"/>
          <w:position w:val="0"/>
          <w:sz w:val="24"/>
          <w:shd w:fill="auto" w:val="clear"/>
        </w:rPr>
        <w:t xml:space="preserve">sexo e gênero na medicina da mulher.Rio de Janeiro: Editora FIOCRUZ, 2001.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SAMPAIO, Gabriela dos Reis. </w:t>
      </w:r>
      <w:r>
        <w:rPr>
          <w:rFonts w:ascii="Times New Roman" w:hAnsi="Times New Roman" w:cs="Times New Roman" w:eastAsia="Times New Roman"/>
          <w:b/>
          <w:color w:val="auto"/>
          <w:spacing w:val="0"/>
          <w:position w:val="0"/>
          <w:sz w:val="24"/>
          <w:shd w:fill="auto" w:val="clear"/>
        </w:rPr>
        <w:t xml:space="preserve">Nas trincheiras da cura</w:t>
      </w:r>
      <w:r>
        <w:rPr>
          <w:rFonts w:ascii="Times New Roman" w:hAnsi="Times New Roman" w:cs="Times New Roman" w:eastAsia="Times New Roman"/>
          <w:color w:val="auto"/>
          <w:spacing w:val="0"/>
          <w:position w:val="0"/>
          <w:sz w:val="24"/>
          <w:shd w:fill="auto" w:val="clear"/>
        </w:rPr>
        <w:t xml:space="preserve">: As diferenças medicinas no Rio de Janeiro. Campinas: Editora da Unicamp, 2002.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FILHO, Lycurgo. </w:t>
      </w:r>
      <w:r>
        <w:rPr>
          <w:rFonts w:ascii="Times New Roman" w:hAnsi="Times New Roman" w:cs="Times New Roman" w:eastAsia="Times New Roman"/>
          <w:b/>
          <w:color w:val="auto"/>
          <w:spacing w:val="0"/>
          <w:position w:val="0"/>
          <w:sz w:val="24"/>
          <w:shd w:fill="auto" w:val="clear"/>
        </w:rPr>
        <w:t xml:space="preserve">História geral da medicina brasileira</w:t>
      </w:r>
      <w:r>
        <w:rPr>
          <w:rFonts w:ascii="Times New Roman" w:hAnsi="Times New Roman" w:cs="Times New Roman" w:eastAsia="Times New Roman"/>
          <w:color w:val="auto"/>
          <w:spacing w:val="0"/>
          <w:position w:val="0"/>
          <w:sz w:val="24"/>
          <w:shd w:fill="auto" w:val="clear"/>
        </w:rPr>
        <w:t xml:space="preserve">. V. 2. São Paulo: HUCITEC, 1991.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SCHIEBINGER, Londa. </w:t>
      </w:r>
      <w:r>
        <w:rPr>
          <w:rFonts w:ascii="Times New Roman" w:hAnsi="Times New Roman" w:cs="Times New Roman" w:eastAsia="Times New Roman"/>
          <w:b/>
          <w:color w:val="auto"/>
          <w:spacing w:val="0"/>
          <w:position w:val="0"/>
          <w:sz w:val="24"/>
          <w:shd w:fill="auto" w:val="clear"/>
        </w:rPr>
        <w:t xml:space="preserve">O Feminismo mudou a Ciência? </w:t>
      </w:r>
      <w:r>
        <w:rPr>
          <w:rFonts w:ascii="Times New Roman" w:hAnsi="Times New Roman" w:cs="Times New Roman" w:eastAsia="Times New Roman"/>
          <w:color w:val="auto"/>
          <w:spacing w:val="0"/>
          <w:position w:val="0"/>
          <w:sz w:val="24"/>
          <w:shd w:fill="auto" w:val="clear"/>
        </w:rPr>
        <w:t xml:space="preserve">SP: EDUSC, 2001.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 Mais mulheres na ciência: questões de conhecimento. Apresentação de Maria Margaret Lopes. </w:t>
      </w:r>
      <w:r>
        <w:rPr>
          <w:rFonts w:ascii="Times New Roman" w:hAnsi="Times New Roman" w:cs="Times New Roman" w:eastAsia="Times New Roman"/>
          <w:b/>
          <w:color w:val="auto"/>
          <w:spacing w:val="0"/>
          <w:position w:val="0"/>
          <w:sz w:val="24"/>
          <w:shd w:fill="auto" w:val="clear"/>
        </w:rPr>
        <w:t xml:space="preserve">História, Ciência, Saúde – Manguinhos</w:t>
      </w:r>
      <w:r>
        <w:rPr>
          <w:rFonts w:ascii="Times New Roman" w:hAnsi="Times New Roman" w:cs="Times New Roman" w:eastAsia="Times New Roman"/>
          <w:color w:val="auto"/>
          <w:spacing w:val="0"/>
          <w:position w:val="0"/>
          <w:sz w:val="24"/>
          <w:shd w:fill="auto" w:val="clear"/>
        </w:rPr>
        <w:t xml:space="preserve">, Rio de Janeiro, v.15, supl., jun. 2008, p.269-281.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Alberto. </w:t>
      </w:r>
      <w:r>
        <w:rPr>
          <w:rFonts w:ascii="Times New Roman" w:hAnsi="Times New Roman" w:cs="Times New Roman" w:eastAsia="Times New Roman"/>
          <w:b/>
          <w:color w:val="auto"/>
          <w:spacing w:val="0"/>
          <w:position w:val="0"/>
          <w:sz w:val="24"/>
          <w:shd w:fill="auto" w:val="clear"/>
        </w:rPr>
        <w:t xml:space="preserve">A primeira médica do Brasil</w:t>
      </w:r>
      <w:r>
        <w:rPr>
          <w:rFonts w:ascii="Times New Roman" w:hAnsi="Times New Roman" w:cs="Times New Roman" w:eastAsia="Times New Roman"/>
          <w:color w:val="auto"/>
          <w:spacing w:val="0"/>
          <w:position w:val="0"/>
          <w:sz w:val="24"/>
          <w:shd w:fill="auto" w:val="clear"/>
        </w:rPr>
        <w:t xml:space="preserve">. RJ: Irmãos Pongetti, 1954.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VANIN, Iole Macedo.  </w:t>
      </w:r>
      <w:r>
        <w:rPr>
          <w:rFonts w:ascii="Times New Roman" w:hAnsi="Times New Roman" w:cs="Times New Roman" w:eastAsia="Times New Roman"/>
          <w:b/>
          <w:color w:val="auto"/>
          <w:spacing w:val="0"/>
          <w:position w:val="0"/>
          <w:sz w:val="24"/>
          <w:shd w:fill="auto" w:val="clear"/>
        </w:rPr>
        <w:t xml:space="preserve">As damas de branco na biomedicina baiana, 1879-1949</w:t>
      </w:r>
      <w:r>
        <w:rPr>
          <w:rFonts w:ascii="Times New Roman" w:hAnsi="Times New Roman" w:cs="Times New Roman" w:eastAsia="Times New Roman"/>
          <w:color w:val="auto"/>
          <w:spacing w:val="0"/>
          <w:position w:val="0"/>
          <w:sz w:val="24"/>
          <w:shd w:fill="auto" w:val="clear"/>
        </w:rPr>
        <w:t xml:space="preserve">: médicas, farmacêuticas e odontólogas. Tese (Doutorado em História Social), UFBA, Salvador, 2008.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52" w:after="0" w:line="240"/>
        <w:ind w:right="0" w:left="10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TÍTULO: </w:t>
      </w:r>
      <w:r>
        <w:rPr>
          <w:rFonts w:ascii="Times New Roman" w:hAnsi="Times New Roman" w:cs="Times New Roman" w:eastAsia="Times New Roman"/>
          <w:b/>
          <w:color w:val="auto"/>
          <w:spacing w:val="0"/>
          <w:position w:val="0"/>
          <w:sz w:val="24"/>
          <w:shd w:fill="auto" w:val="clear"/>
        </w:rPr>
        <w:t xml:space="preserve">Feminino e masculino: gênero e sexualidade na atenção primária à saúde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480"/>
        <w:ind w:right="99"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 </w:t>
      </w:r>
      <w:r>
        <w:rPr>
          <w:rFonts w:ascii="Times New Roman" w:hAnsi="Times New Roman" w:cs="Times New Roman" w:eastAsia="Times New Roman"/>
          <w:b/>
          <w:color w:val="auto"/>
          <w:spacing w:val="0"/>
          <w:position w:val="0"/>
          <w:sz w:val="24"/>
          <w:shd w:fill="auto" w:val="clear"/>
        </w:rPr>
        <w:t xml:space="preserve">Thiago Félix Pinheiro, </w:t>
      </w:r>
      <w:r>
        <w:rPr>
          <w:rFonts w:ascii="Times New Roman" w:hAnsi="Times New Roman" w:cs="Times New Roman" w:eastAsia="Times New Roman"/>
          <w:color w:val="auto"/>
          <w:spacing w:val="0"/>
          <w:position w:val="0"/>
          <w:sz w:val="24"/>
          <w:shd w:fill="auto" w:val="clear"/>
        </w:rPr>
        <w:t xml:space="preserve">psicólogo, aluno de mestrado do Programa de pós- graduação em Medicina Preventiva da Faculdade de Medicina da Universidade de São Paulo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0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ORIENTADORA: </w:t>
      </w:r>
      <w:r>
        <w:rPr>
          <w:rFonts w:ascii="Times New Roman" w:hAnsi="Times New Roman" w:cs="Times New Roman" w:eastAsia="Times New Roman"/>
          <w:b/>
          <w:color w:val="auto"/>
          <w:spacing w:val="0"/>
          <w:position w:val="0"/>
          <w:sz w:val="24"/>
          <w:shd w:fill="auto" w:val="clear"/>
        </w:rPr>
        <w:t xml:space="preserve">Profa. Dra. Márcia Thereza Couto</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70" w:after="0" w:line="240"/>
        <w:ind w:right="12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Sexualidade feminina e sexualidade masculina na saúde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96" w:after="0" w:line="480"/>
        <w:ind w:right="12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representações de gênero e sexualidade, por se tratarem de construções socioculturais, em vez de se apresentarem de forma universal e constante, inscrevem-se de forma particular nos contextos específicos. Ao mesmo tempo, tornam-se sistema de referência para as relações sociais, a estruturação dos diversos cenários e as normas que os delineiam. Este artigo discute como tais representações se apresentam, de modo particular, nos serviços da Atenção Primária à Saúde e como acabam por conformar a assistência a mulheres e homens em tais espaços, sobretudo nas atividades relativas à sexualidade.</w:t>
      </w:r>
    </w:p>
    <w:p>
      <w:pPr>
        <w:spacing w:before="10" w:after="0" w:line="480"/>
        <w:ind w:right="11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discutir a sexualidade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mulheres e homens, é especialmente útil adotar como referência a perspectiva de gênero em seu aspecto relacional. Como lembrou  Scott (1990), esse aspecto traz para o vocabulário de análise a reciprocidade dos termos que definem mulheres e homens. Nesse sentido as construções acerca da(s) feminilidade(s) se remetem às ou se articulam com as construções acerca da(s) masculinidade(s) e a compreensão daquelas ou destas pode ser alcançada em estudos separados.</w:t>
      </w: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sexualidade destaca-se como um campo em que a dimensão relacional é indiscutível, embora, no campo da saúde, tenha seguido caminhos diferentes para mulheres e homens, a ponto de fazer sentido nesse campo falar em uma sexualidade feminina e uma sexualidade masculina.</w:t>
      </w: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sexualidade feminina entra em cena ainda no século XVII, com o desenvolvimento da medicina e da conseguinte medicalização do social, que pode ser entendido como o processo de expansão progressiva do campo de intervenção da biomedicina por meio da redefinição de experiências e comportamentos humanos  como se fossem problemas médicos (Tesser, 2006). Os estudos científicos sobre o corpo feminino, que culminaram no desenvolvimento da ginecologia, subsidiaram a diferenciação biológica entre os sexos, de modo a ultrapassar o modelo vigente desde os gregos, que concebia a existência de um sexo biológico único, com duas possíveis formas de manifestação: mulheres e homens (Laqueur, 2001; Rohden, 2001).</w:t>
      </w:r>
    </w:p>
    <w:p>
      <w:pPr>
        <w:spacing w:before="10" w:after="0" w:line="480"/>
        <w:ind w:right="11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diferenciação do sexo feminino em relação ao masculino marca um debruçar- se sobre a sexualidade feminina, tomada como alvo prioritário da medicalização. Por  um lado, isso pode ser entendido no sentido da produção da tecnologia médica voltada para o corpo feminino, que possibilitou significativas mudanças nas condições de saúde e sobrevivência da população em geral e, em especial,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mulheres e crianças, solucionando problemas cruciais da reprodução social (Vieira, 2002). Por outro lado, a medicalização representa a manutenção do controle sobre as mulheres, por meio de construções teóricas acerca do feminino em consonância com a imagem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fragilidade moral, por meio da caracterização de um corpo instável, que precisaria ser regulado; de uma beleza vinculada à função natural </w:t>
      </w:r>
      <w:r>
        <w:rPr>
          <w:rFonts w:ascii="Times New Roman" w:hAnsi="Times New Roman" w:cs="Times New Roman" w:eastAsia="Times New Roman"/>
          <w:color w:val="auto"/>
          <w:spacing w:val="-3"/>
          <w:position w:val="0"/>
          <w:sz w:val="24"/>
          <w:shd w:fill="auto" w:val="clear"/>
        </w:rPr>
        <w:t xml:space="preserve">da </w:t>
      </w:r>
      <w:r>
        <w:rPr>
          <w:rFonts w:ascii="Times New Roman" w:hAnsi="Times New Roman" w:cs="Times New Roman" w:eastAsia="Times New Roman"/>
          <w:color w:val="auto"/>
          <w:spacing w:val="0"/>
          <w:position w:val="0"/>
          <w:sz w:val="24"/>
          <w:shd w:fill="auto" w:val="clear"/>
        </w:rPr>
        <w:t xml:space="preserve">procriação; de uma existência cuja condição normal era descrita em termos de patologias; e da frigidez como indicativo de que o prazer sexual não era necessário (Rohden,</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2001).</w:t>
      </w:r>
    </w:p>
    <w:p>
      <w:pPr>
        <w:spacing w:before="10" w:after="0" w:line="480"/>
        <w:ind w:right="11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poder exercido pela classe médica sobre as mulheres </w:t>
      </w:r>
      <w:r>
        <w:rPr>
          <w:rFonts w:ascii="Times New Roman" w:hAnsi="Times New Roman" w:cs="Times New Roman" w:eastAsia="Times New Roman"/>
          <w:color w:val="auto"/>
          <w:spacing w:val="2"/>
          <w:position w:val="0"/>
          <w:sz w:val="24"/>
          <w:shd w:fill="auto" w:val="clear"/>
        </w:rPr>
        <w:t xml:space="preserve">foi, </w:t>
      </w:r>
      <w:r>
        <w:rPr>
          <w:rFonts w:ascii="Times New Roman" w:hAnsi="Times New Roman" w:cs="Times New Roman" w:eastAsia="Times New Roman"/>
          <w:color w:val="auto"/>
          <w:spacing w:val="0"/>
          <w:position w:val="0"/>
          <w:sz w:val="24"/>
          <w:shd w:fill="auto" w:val="clear"/>
        </w:rPr>
        <w:t xml:space="preserve">já no século XIX, alvo de críticas e denúncia, como parte da reação de algumas delas, organizadas em movimentos feministas, ao domínio social a que eram historicamente submetidas. Nessa direção, explicações que sustentavam assimetrias sociais entre mulheres e homens  foram questionadas e confrontadas. Entretanto, é a partir da segunda metade do século XX e, (apenas)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modo mais expressivo, na década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1980, </w:t>
      </w:r>
    </w:p>
    <w:p>
      <w:pPr>
        <w:spacing w:before="10" w:after="0" w:line="480"/>
        <w:ind w:right="118"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a inserção crescente de</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feministas</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espaço</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acadêmico</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europeu</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estadunidense,</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reflexão</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crítica teórica se projeta como argumento forte e capaz de desconstruir a „naturalização‟ das assimetrias e desigualdades entre os sexos.</w:t>
      </w:r>
    </w:p>
    <w:p>
      <w:pPr>
        <w:spacing w:before="10" w:after="0" w:line="480"/>
        <w:ind w:right="119"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intuito de superar o determinismo anatomofisiológico dos sexos e chamar a atenção para as construções sociais a respeito deles, no cerne das quais se estruturavam relações de poder, desenvolve-se, como fruto da reação feminista, a perspectiva de gênero que, nesse primeiro momento (décadas de 1970 e 1980), se traduz como estudos sobre as mulheres.</w:t>
      </w: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e, mais especificamente, no âmbito da saúde, o referencial crítico e emancipatório do feminismo assumiu, como prioridade, a necessidade de oferecer às mulheres uma atenção à saúde condizente com suas necessidades e particularidades. Marca esse contexto o Programa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Atenção Integral à Saúde da Mulher (PAISM) em 1984. Nos primeiros anos do PAISM, embora a estratégia tenha demarcando um espaço para assistência à saúde da mulher, o foco foi voltado para a atenção à saúde  reprodutiva. A saúde sexual não alcançou o mesmo desenvolvimento (Schraiber, 2008). Em 2004, a atenção à saúde </w:t>
      </w:r>
      <w:r>
        <w:rPr>
          <w:rFonts w:ascii="Times New Roman" w:hAnsi="Times New Roman" w:cs="Times New Roman" w:eastAsia="Times New Roman"/>
          <w:color w:val="auto"/>
          <w:spacing w:val="-3"/>
          <w:position w:val="0"/>
          <w:sz w:val="24"/>
          <w:shd w:fill="auto" w:val="clear"/>
        </w:rPr>
        <w:t xml:space="preserve">da </w:t>
      </w:r>
      <w:r>
        <w:rPr>
          <w:rFonts w:ascii="Times New Roman" w:hAnsi="Times New Roman" w:cs="Times New Roman" w:eastAsia="Times New Roman"/>
          <w:color w:val="auto"/>
          <w:spacing w:val="0"/>
          <w:position w:val="0"/>
          <w:sz w:val="24"/>
          <w:shd w:fill="auto" w:val="clear"/>
        </w:rPr>
        <w:t xml:space="preserve">mulher englobou os pressupostos da promoção </w:t>
      </w:r>
      <w:r>
        <w:rPr>
          <w:rFonts w:ascii="Times New Roman" w:hAnsi="Times New Roman" w:cs="Times New Roman" w:eastAsia="Times New Roman"/>
          <w:color w:val="auto"/>
          <w:spacing w:val="-3"/>
          <w:position w:val="0"/>
          <w:sz w:val="24"/>
          <w:shd w:fill="auto" w:val="clear"/>
        </w:rPr>
        <w:t xml:space="preserve">da </w:t>
      </w:r>
      <w:r>
        <w:rPr>
          <w:rFonts w:ascii="Times New Roman" w:hAnsi="Times New Roman" w:cs="Times New Roman" w:eastAsia="Times New Roman"/>
          <w:color w:val="auto"/>
          <w:spacing w:val="0"/>
          <w:position w:val="0"/>
          <w:sz w:val="24"/>
          <w:shd w:fill="auto" w:val="clear"/>
        </w:rPr>
        <w:t xml:space="preserve">saúde, com a formulação da Política Nacional de Atenção Integral à Saúde da Mulher (PNAISM) (Freitas et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al.,2009).</w:t>
      </w: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sexualidade masculina, por seu turno, esteve imersa em silêncio até a década de 1980, o que ilustra a observação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que os homens, mesmo tendo ocupado desde há muito o foco dos estudos em saúde (Kimmel, 1992), apenas tardiamente foram tratados a partir da perspectiva de gênero, isto é, considerados a partir da construção social das masculinidades.</w:t>
      </w: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homens foram inseridos nas discussões na área da saúde sexual, mediante a epidemia da aids, em razão da necessidade de sua participação na prevenção dessa Infecção  Sexualmente  Transmissível  (IST)  que  se  apresentava  como  diferente   das outras, que eram tratadas e curadas de forma satisfatória – exceto quando associadas à pobreza e à miséria. Essa inserção foi discutida de forma mais explícita na IV Conferência Internacional sobre a População e Desenvolvimento (Cairo, 1994) e na IV Conferência Mundial sobre a Mulher (Beijing, 1995), promovidas pela ONU e profundamente influenciadas pelas organizações de mulheres e pelo movimento feminista. Nessas reuniões, foi reconhecida a necessidade de promover uma maior participação dos homens nas decisões acerca da saúde sexual e reprodutiva, de modo a compartilhar com eles a responsabilidade de questões como planejamento familiar, contracepção e prevenção de IST/AIDS (Portella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2004).</w:t>
      </w:r>
    </w:p>
    <w:p>
      <w:pPr>
        <w:spacing w:before="10" w:after="0" w:line="480"/>
        <w:ind w:right="11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inserção dos homens nas discussões reprodutivas, nem sempre conectadas  com a sexualidade, começa a ser efetivadas de forma instrumental, em que o homem ocupa não o lugar de sujeitos que se reproduzem e podem regular sua fecundidade, mas o papel daquele que apóia ou dificulta as decisões de suas parceiras (Figueroa-Perea, 1998).</w:t>
      </w:r>
    </w:p>
    <w:p>
      <w:pPr>
        <w:spacing w:before="10" w:after="0" w:line="472"/>
        <w:ind w:right="127" w:left="100" w:firstLine="708"/>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No final da década de 1990, entra em cena a „disfunção sexual‟ masculina, a partir da comercialização do Viagra</w:t>
      </w:r>
      <w:r>
        <w:rPr>
          <w:rFonts w:ascii="Times New Roman" w:hAnsi="Times New Roman" w:cs="Times New Roman" w:eastAsia="Times New Roman"/>
          <w:color w:val="auto"/>
          <w:spacing w:val="0"/>
          <w:position w:val="11"/>
          <w:sz w:val="16"/>
          <w:shd w:fill="auto" w:val="clear"/>
        </w:rPr>
        <w:t xml:space="preserve">®</w:t>
      </w:r>
      <w:r>
        <w:rPr>
          <w:rFonts w:ascii="Times New Roman" w:hAnsi="Times New Roman" w:cs="Times New Roman" w:eastAsia="Times New Roman"/>
          <w:color w:val="auto"/>
          <w:spacing w:val="0"/>
          <w:position w:val="11"/>
          <w:sz w:val="24"/>
          <w:shd w:fill="auto" w:val="clear"/>
        </w:rPr>
        <w:t xml:space="preserve">. Com esse advento, as interpretações místicas da impotência sexual e a abordagem psicopatológica desse problema deram lugar à explicação puramente orgânica e à exclusividade do tratamento medicamentoso. A sexualidade, nessa transição, passou a ser pensada em perspectiva mecânica,  dissociada</w:t>
      </w:r>
    </w:p>
    <w:p>
      <w:pPr>
        <w:spacing w:before="19" w:after="0" w:line="480"/>
        <w:ind w:right="116"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parceria e emancipada do declínio inerente ao envelhecimento (Sohn, 2008). Nesse processo, ganhou força a medicalização da sexualidade masculina, expressa, como lembra Aquino (2005), na grande produção de pesquisas e publicações (incentivadas pela indústria farmacêutica) a respeito de tal disfunção, assim como da ejaculação precoce e da reposição hormonal para o tratamento da </w:t>
      </w:r>
      <w:r>
        <w:rPr>
          <w:rFonts w:ascii="Times New Roman" w:hAnsi="Times New Roman" w:cs="Times New Roman" w:eastAsia="Times New Roman"/>
          <w:i/>
          <w:color w:val="auto"/>
          <w:spacing w:val="0"/>
          <w:position w:val="0"/>
          <w:sz w:val="24"/>
          <w:shd w:fill="auto" w:val="clear"/>
        </w:rPr>
        <w:t xml:space="preserve">andropausa </w:t>
      </w:r>
      <w:r>
        <w:rPr>
          <w:rFonts w:ascii="Times New Roman" w:hAnsi="Times New Roman" w:cs="Times New Roman" w:eastAsia="Times New Roman"/>
          <w:color w:val="auto"/>
          <w:spacing w:val="0"/>
          <w:position w:val="0"/>
          <w:sz w:val="24"/>
          <w:shd w:fill="auto" w:val="clear"/>
        </w:rPr>
        <w:t xml:space="preserve">ou </w:t>
      </w:r>
      <w:r>
        <w:rPr>
          <w:rFonts w:ascii="Times New Roman" w:hAnsi="Times New Roman" w:cs="Times New Roman" w:eastAsia="Times New Roman"/>
          <w:i/>
          <w:color w:val="auto"/>
          <w:spacing w:val="0"/>
          <w:position w:val="0"/>
          <w:sz w:val="24"/>
          <w:shd w:fill="auto" w:val="clear"/>
        </w:rPr>
        <w:t xml:space="preserve">climatério masculino</w:t>
      </w:r>
      <w:r>
        <w:rPr>
          <w:rFonts w:ascii="Times New Roman" w:hAnsi="Times New Roman" w:cs="Times New Roman" w:eastAsia="Times New Roman"/>
          <w:color w:val="auto"/>
          <w:spacing w:val="0"/>
          <w:position w:val="0"/>
          <w:sz w:val="24"/>
          <w:shd w:fill="auto" w:val="clear"/>
        </w:rPr>
        <w:t xml:space="preserve">.</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69" w:after="0" w:line="480"/>
        <w:ind w:right="119" w:left="28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ínterim e a partir da visibilidade alcançada pelos estudos sobre as masculinidades, foi reconhecida em âmbito governamental a necessidade de sistematização de uma assistência aos homens, que levou à criação, (apenas) em 2009, da Política de Atenção Integral à Saúde do Homem. De acordo com Carrara et al., (2009), a política foi estruturada tendo como foco a sexualidade masculina, compreendida (ou reduzida), nos termos da medicalização, à discussão da disfunção erétil.</w:t>
      </w:r>
    </w:p>
    <w:p>
      <w:pPr>
        <w:spacing w:before="10" w:after="0" w:line="480"/>
        <w:ind w:right="114" w:left="28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contexto da Atenção Primária à Saúde – cuja importância é demarcada por se tratar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estratégia para reorientação do modelo assistencial, configurando-se  como porta de entrada da rede pública de saúde (Paim, 2006) –, ficam nítidas diferenças significativas na assistência prestada a mulheres e homens. Os serviços ainda resguardam um direcionamento </w:t>
      </w:r>
      <w:r>
        <w:rPr>
          <w:rFonts w:ascii="Times New Roman" w:hAnsi="Times New Roman" w:cs="Times New Roman" w:eastAsia="Times New Roman"/>
          <w:color w:val="auto"/>
          <w:spacing w:val="-3"/>
          <w:position w:val="0"/>
          <w:sz w:val="24"/>
          <w:shd w:fill="auto" w:val="clear"/>
        </w:rPr>
        <w:t xml:space="preserve">da </w:t>
      </w:r>
      <w:r>
        <w:rPr>
          <w:rFonts w:ascii="Times New Roman" w:hAnsi="Times New Roman" w:cs="Times New Roman" w:eastAsia="Times New Roman"/>
          <w:color w:val="auto"/>
          <w:spacing w:val="0"/>
          <w:position w:val="0"/>
          <w:sz w:val="24"/>
          <w:shd w:fill="auto" w:val="clear"/>
        </w:rPr>
        <w:t xml:space="preserve">atenção a mulheres e crianças, como herança de sua origem como assistência materno-infantil. Nesse sentido, não só a maior parte do público é feminina, como as mulheres demonstram mais propriedade no acesso a esse espaço (Couto et al., 2010). Mesmo com o incremento do número de pessoas idosas (mulheres e homens), resultante da recente criação de programas voltados para doenças crônicas, os homens, sobretudo os adultos</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continuam sendo minoria nos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serviços.</w:t>
      </w:r>
    </w:p>
    <w:p>
      <w:pPr>
        <w:spacing w:before="10" w:after="0" w:line="480"/>
        <w:ind w:right="120" w:left="28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interesse deste trabalho é compreender que espaços, significados e sentidos  são atribuídos à sexualidade de mulheres e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homens nesses serviços. Para tanto, se detém à compreensão das atividades em que tais dimensões podem ser identificadas tanto para a sexualidade feminina, quanto para a masculina: a distribuição de  camisinhas e a atenção às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IST.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240"/>
        <w:ind w:right="0" w:left="28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Aspectos metodológicos</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8" w:after="0" w:line="240"/>
        <w:ind w:right="0" w:left="0" w:firstLine="0"/>
        <w:jc w:val="left"/>
        <w:rPr>
          <w:rFonts w:ascii="Times New Roman" w:hAnsi="Times New Roman" w:cs="Times New Roman" w:eastAsia="Times New Roman"/>
          <w:b/>
          <w:color w:val="auto"/>
          <w:spacing w:val="0"/>
          <w:position w:val="0"/>
          <w:sz w:val="21"/>
          <w:shd w:fill="auto" w:val="clear"/>
        </w:rPr>
      </w:pPr>
    </w:p>
    <w:p>
      <w:pPr>
        <w:spacing w:before="0" w:after="0" w:line="480"/>
        <w:ind w:right="98" w:left="120" w:firstLine="708"/>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Este trabalho é recorte de estudo</w:t>
      </w:r>
      <w:r>
        <w:rPr>
          <w:rFonts w:ascii="Times New Roman" w:hAnsi="Times New Roman" w:cs="Times New Roman" w:eastAsia="Times New Roman"/>
          <w:color w:val="auto"/>
          <w:spacing w:val="0"/>
          <w:position w:val="11"/>
          <w:sz w:val="16"/>
          <w:shd w:fill="auto" w:val="clear"/>
        </w:rPr>
        <w:t xml:space="preserve">1 </w:t>
      </w:r>
      <w:r>
        <w:rPr>
          <w:rFonts w:ascii="Times New Roman" w:hAnsi="Times New Roman" w:cs="Times New Roman" w:eastAsia="Times New Roman"/>
          <w:color w:val="auto"/>
          <w:spacing w:val="0"/>
          <w:position w:val="11"/>
          <w:sz w:val="24"/>
          <w:shd w:fill="auto" w:val="clear"/>
        </w:rPr>
        <w:t xml:space="preserve">feito como parte de  uma  pesquisa multicêntrica voltada à investigação da relação entre homens e serviços de saúde em quatro estados brasileiros. Como recorte, as questões discutidas aqui ancoram nos dados observados no cotidiano de duas Unidades Básicas de Saúde, na cidade de Natal/RN. Esses serviços, denominados UBS1 e UBS2 apresentam estruturas semelhantes, condizentes com a Estratégia de Saúde da Família, implantada em ambas. Por esse motivo, são analisadas aqui de forma conjunta.</w:t>
      </w:r>
    </w:p>
    <w:p>
      <w:pPr>
        <w:spacing w:before="10" w:after="0" w:line="480"/>
        <w:ind w:right="98" w:left="12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investigação foi fundamentada pela perspectiva etnográfica, que tem longa tradição na Antropologia e dispõe, como pressuposto fundante, da interpretação dos aspectos simbólicos e culturais nos contextos sociais em que ocorrem (Geertz, 1997; Peirano, 1995). São analisados aqui diários de campo produzidos em observações participantes, realizadas por pesquisadoras e pesquisadores, ao longo de três meses em cada um dos serviços selecionados, nos períodos da manhã e da tarde, respeitando a o funcionamento semanal dos serviços. No diz respeito às temáticas que foram alvo de investigação etnográfica, neste trabalho são destacadas as questões relativas à saúde sexual e os aspectos que permitem observar a articulação entre as representações da sexualidade feminina e da masculina e a assistência oferecida a mulheres e homens.</w:t>
      </w:r>
    </w:p>
    <w:p>
      <w:pPr>
        <w:spacing w:before="10" w:after="0" w:line="480"/>
        <w:ind w:right="99" w:left="12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trajeto analítico-interpretativo foi orientado pela hermenêutica filosófica, segundo a qual nenhuma interpretação pode ser considerada definitivamente correta. Sempre estará vinculada ao sujeito que se implica, como seu „modo de ser linguagem‟, na   compreensão  (Rohden,  2000).   Assim,   o  encontro  entre   o  sujeito   que   busca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 w:after="0" w:line="240"/>
        <w:ind w:right="0" w:left="0" w:firstLine="0"/>
        <w:jc w:val="left"/>
        <w:rPr>
          <w:rFonts w:ascii="Times New Roman" w:hAnsi="Times New Roman" w:cs="Times New Roman" w:eastAsia="Times New Roman"/>
          <w:color w:val="auto"/>
          <w:spacing w:val="0"/>
          <w:position w:val="0"/>
          <w:sz w:val="13"/>
          <w:shd w:fill="auto" w:val="clear"/>
        </w:rPr>
      </w:pPr>
    </w:p>
    <w:p>
      <w:pPr>
        <w:spacing w:before="39" w:after="0" w:line="240"/>
        <w:ind w:right="103" w:left="120" w:firstLine="0"/>
        <w:jc w:val="both"/>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1 </w:t>
      </w:r>
      <w:r>
        <w:rPr>
          <w:rFonts w:ascii="Times New Roman" w:hAnsi="Times New Roman" w:cs="Times New Roman" w:eastAsia="Times New Roman"/>
          <w:color w:val="auto"/>
          <w:spacing w:val="0"/>
          <w:position w:val="9"/>
          <w:sz w:val="20"/>
          <w:shd w:fill="auto" w:val="clear"/>
        </w:rPr>
        <w:t xml:space="preserve">O estudo maior foi produzido como dissertação de mestrado, intitulada “A abordagem à sexualidade masculina na atenção primária à saúde: possibilidade e limites” e apresentada à Faculdade de Medicina da Universidade de São Paulo. Por sua vez, tal estudo deriva da pesquisa multicêntrica “Saúde da população masculina na atenção primária: tendência histórica e representações sobre necessidades, acesso e uso de serviços em cidades de quatro estados do Brasil (RN, PE, RJ, SP)” (Couto et al., 2009), cujo projeto foi submetido e aprovado pelo Comitê Nacional de Ética em Pesquisa, sob o n. 0032/2007.</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69" w:after="0" w:line="480"/>
        <w:ind w:right="128"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conhecimento e o sujeito que informa é melhor definido como um diálogo, em que, em vez de alcançar o significado contido em um fenômeno, se negocia tal significado. O compreender e o interpretar, como qualquer construção discursiva, consistem sempre  em participar de </w:t>
      </w:r>
      <w:r>
        <w:rPr>
          <w:rFonts w:ascii="Times New Roman" w:hAnsi="Times New Roman" w:cs="Times New Roman" w:eastAsia="Times New Roman"/>
          <w:color w:val="auto"/>
          <w:spacing w:val="-3"/>
          <w:position w:val="0"/>
          <w:sz w:val="24"/>
          <w:shd w:fill="auto" w:val="clear"/>
        </w:rPr>
        <w:t xml:space="preserve">um </w:t>
      </w:r>
      <w:r>
        <w:rPr>
          <w:rFonts w:ascii="Times New Roman" w:hAnsi="Times New Roman" w:cs="Times New Roman" w:eastAsia="Times New Roman"/>
          <w:color w:val="auto"/>
          <w:spacing w:val="0"/>
          <w:position w:val="0"/>
          <w:sz w:val="24"/>
          <w:shd w:fill="auto" w:val="clear"/>
        </w:rPr>
        <w:t xml:space="preserve">diálogo em que os horizontes se fundem (Ayres,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w:t>
      </w:r>
    </w:p>
    <w:p>
      <w:pPr>
        <w:spacing w:before="10" w:after="0" w:line="480"/>
        <w:ind w:right="12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tratamento dos dados percorreu o seguinte percurso: leitura primária do material selecionado e recorte dos trechos com questões relacionadas à sexualidade, leitura exaustiva dos trechos, identificação de assuntos e sentidos, interpretação e construção de uma síntese dos mesmos, articulação das questões encontradas com a literatura referente e a perspectiva teórica de gênero.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240"/>
        <w:ind w:right="0" w:left="10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Abordagem das sexualidades</w:t>
      </w:r>
    </w:p>
    <w:p>
      <w:pPr>
        <w:spacing w:before="7"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1"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Questões relativas à sexualidade feminina e da sexualidade masculina podem ser identificadas em momentos e espaços distintos no cotidiano das UBS. Em duas atividades específicas, destinadas a mulheres e homens, mas mantendo diferenças na abordagem da sexualidade delas e deles, ficam evidentes o aspecto relacional da perspectiva de gênero e a (re)produção de representações estereotipadas na estrutura organizacional dos serviços, na atitude das/os profissionais e das/os próprias/os usuárias/os. Essas atividades, que fundamentam a presente discussão, são analisadas a seguir: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Distribuição de camisinhas: prevenção de IST/AIDS x contracepção</w:t>
      </w:r>
    </w:p>
    <w:p>
      <w:pPr>
        <w:spacing w:before="11"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69" w:after="0" w:line="480"/>
        <w:ind w:right="12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distribuição de camisinhas (masculinas) nas UBS é feita por três caminhos possíveis. Há, em primeiro lugar, a dispensação livre na farmácia dos próprios serviços, a partir da busca espontânea das/os usuárias/os ou, em alguns casos, estimulada por profissionais. </w:t>
      </w:r>
    </w:p>
    <w:p>
      <w:pPr>
        <w:spacing w:before="69" w:after="0" w:line="480"/>
        <w:ind w:right="120" w:left="100" w:firstLine="708"/>
        <w:jc w:val="both"/>
        <w:rPr>
          <w:rFonts w:ascii="Times New Roman" w:hAnsi="Times New Roman" w:cs="Times New Roman" w:eastAsia="Times New Roman"/>
          <w:color w:val="auto"/>
          <w:spacing w:val="0"/>
          <w:position w:val="0"/>
          <w:sz w:val="24"/>
          <w:shd w:fill="auto" w:val="clear"/>
        </w:rPr>
      </w:pPr>
    </w:p>
    <w:p>
      <w:pPr>
        <w:spacing w:before="69" w:after="0" w:line="480"/>
        <w:ind w:right="120" w:left="100" w:firstLine="708"/>
        <w:jc w:val="both"/>
        <w:rPr>
          <w:rFonts w:ascii="Times New Roman" w:hAnsi="Times New Roman" w:cs="Times New Roman" w:eastAsia="Times New Roman"/>
          <w:color w:val="auto"/>
          <w:spacing w:val="0"/>
          <w:position w:val="0"/>
          <w:sz w:val="24"/>
          <w:shd w:fill="auto" w:val="clear"/>
        </w:rPr>
      </w:pPr>
    </w:p>
    <w:p>
      <w:pPr>
        <w:spacing w:before="69" w:after="0" w:line="480"/>
        <w:ind w:right="12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entrega  acontece  nos  horários  de  funcionamento  dos  serviços      e dispensa a abertura de prontuário, sendo formalizada apenas por um cadastro específico (na UBS1, registra-se o nome do usuário; na UBS2, são confeccionadas carteirinhas). Trata-se de uma atividade pouco acessada e nem sempre bem divulgada.</w:t>
      </w: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eventuais ocasiões, essa distribuição também pode ser realizada como atividade externa, em que as camisinhas são entregues às pessoas, independentemente  de serem usuários/as dos serviços. Nesses dois formatos, a distribuição é disponibilizada a mulheres e homens, mas parecem ser eles que predominam na busca pelas camisinhas, conforme atestam as/os próprias/os profissionais envolvidas/os nessas</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atividades.</w:t>
      </w:r>
    </w:p>
    <w:p>
      <w:pPr>
        <w:spacing w:before="10" w:after="0" w:line="480"/>
        <w:ind w:right="11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terceiro caminho, por outro lado, é exclusivo às mulheres. Trata-se do acesso  à camisinha por meio do planejamento familiar, nas quais se faz uma distribuição sistemática atrelada à participação das usuárias nessa atividade. Os homens nunca estão presentes, nem são convidados a participarem dessa</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atividade.</w:t>
      </w: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Dessa forma, na prática, a distribuição de camisinhas acaba por seguir duas vias distintas: os homens as solicitam na farmácia ou eventualmente as recebem em atividades externas; as mulheres basicamente se limitam a recebê-las no planejamento familiar.</w:t>
      </w:r>
    </w:p>
    <w:p>
      <w:pPr>
        <w:spacing w:before="10" w:after="0" w:line="480"/>
        <w:ind w:right="11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caso dos homens, a atividade tende a ser feita com pouco ou  nenhum trabalho de orientação e quase sempre sem se estimular a ampliação do vínculo usuário- serviço:</w:t>
      </w:r>
    </w:p>
    <w:p>
      <w:pPr>
        <w:spacing w:before="11" w:after="0" w:line="240"/>
        <w:ind w:right="125"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única atividade que concentra a presença dos homens é a distribuição de preservativos, atividade que é realizada sem maiores discussões com os mesmos sobre a temática em  questão. A assistente social (profissional responsável por tal serviço) relata que os usuários não apresentam questões/dúvidas sobre o tema. (Diário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campo,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UBS2)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23"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a saída da usuária, o estagiário de enfermagem comentou: “</w:t>
      </w:r>
      <w:r>
        <w:rPr>
          <w:rFonts w:ascii="Times New Roman" w:hAnsi="Times New Roman" w:cs="Times New Roman" w:eastAsia="Times New Roman"/>
          <w:i/>
          <w:color w:val="auto"/>
          <w:spacing w:val="0"/>
          <w:position w:val="0"/>
          <w:sz w:val="24"/>
          <w:shd w:fill="auto" w:val="clear"/>
        </w:rPr>
        <w:t xml:space="preserve">O planejamento familiar é uma entrega de contraceptivos, sem muita conversa. Tentei fazer diferente, mas fui pressionado a ser mais    rápido</w:t>
      </w:r>
      <w:r>
        <w:rPr>
          <w:rFonts w:ascii="Times New Roman" w:hAnsi="Times New Roman" w:cs="Times New Roman" w:eastAsia="Times New Roman"/>
          <w:color w:val="auto"/>
          <w:spacing w:val="0"/>
          <w:position w:val="0"/>
          <w:sz w:val="24"/>
          <w:shd w:fill="auto" w:val="clear"/>
        </w:rPr>
        <w:t xml:space="preserve">”.    Perguntei    se    para    os    homens   pegarem</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69" w:after="0" w:line="240"/>
        <w:ind w:right="117"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preservativos era o mesmo procedimento e ele disse: “</w:t>
      </w:r>
      <w:r>
        <w:rPr>
          <w:rFonts w:ascii="Times New Roman" w:hAnsi="Times New Roman" w:cs="Times New Roman" w:eastAsia="Times New Roman"/>
          <w:i/>
          <w:color w:val="auto"/>
          <w:spacing w:val="0"/>
          <w:position w:val="0"/>
          <w:sz w:val="24"/>
          <w:shd w:fill="auto" w:val="clear"/>
        </w:rPr>
        <w:t xml:space="preserve">Homem não precisa se identificar, pois não tem muita conversa, é só dizer o que quer. Mesmo assim, eles nunca vêm</w:t>
      </w:r>
      <w:r>
        <w:rPr>
          <w:rFonts w:ascii="Times New Roman" w:hAnsi="Times New Roman" w:cs="Times New Roman" w:eastAsia="Times New Roman"/>
          <w:color w:val="auto"/>
          <w:spacing w:val="0"/>
          <w:position w:val="0"/>
          <w:sz w:val="24"/>
          <w:shd w:fill="auto" w:val="clear"/>
        </w:rPr>
        <w:t xml:space="preserve">”. (Diário de campo, 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o último relato indique que a distribuição feita às mulheres também careça de aprofundamento no trabalho de orientação e discussão, aponta para a configuração de um vínculo mais bem estabelecido entre as usuárias e os serviços, o que possibilita o acompanhamento das questões relacionadas ao uso da camisinha. No entanto, esse acompanhamento parece ser feito com foco na reprodução, de modo que a camisinha assume a função de contracepção:</w:t>
      </w:r>
    </w:p>
    <w:p>
      <w:pPr>
        <w:spacing w:before="10" w:after="0" w:line="240"/>
        <w:ind w:right="116"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visita domiciliária], a enfermeira lembrou à mãe que já era hora de pensar em um método contraceptivo e disse para a mulher conversar com o marido e decidir: “</w:t>
      </w:r>
      <w:r>
        <w:rPr>
          <w:rFonts w:ascii="Times New Roman" w:hAnsi="Times New Roman" w:cs="Times New Roman" w:eastAsia="Times New Roman"/>
          <w:i/>
          <w:color w:val="auto"/>
          <w:spacing w:val="0"/>
          <w:position w:val="0"/>
          <w:sz w:val="24"/>
          <w:shd w:fill="auto" w:val="clear"/>
        </w:rPr>
        <w:t xml:space="preserve">Na Unidade temos alguns métodos que você pode adotar. Lá nós temos camisinha, mini pílula e injeção, mas se você preferir pode usar a televisão </w:t>
      </w:r>
      <w:r>
        <w:rPr>
          <w:rFonts w:ascii="Times New Roman" w:hAnsi="Times New Roman" w:cs="Times New Roman" w:eastAsia="Times New Roman"/>
          <w:color w:val="auto"/>
          <w:spacing w:val="0"/>
          <w:position w:val="0"/>
          <w:sz w:val="24"/>
          <w:shd w:fill="auto" w:val="clear"/>
        </w:rPr>
        <w:t xml:space="preserve">(risos)</w:t>
      </w:r>
      <w:r>
        <w:rPr>
          <w:rFonts w:ascii="Times New Roman" w:hAnsi="Times New Roman" w:cs="Times New Roman" w:eastAsia="Times New Roman"/>
          <w:i/>
          <w:color w:val="auto"/>
          <w:spacing w:val="0"/>
          <w:position w:val="0"/>
          <w:sz w:val="24"/>
          <w:shd w:fill="auto" w:val="clear"/>
        </w:rPr>
        <w:t xml:space="preserve">. Você é quem sabe o que quer usar. Converse com o seu parceiro e vá lá no dia do planejamento familiar falar comigo</w:t>
      </w:r>
      <w:r>
        <w:rPr>
          <w:rFonts w:ascii="Times New Roman" w:hAnsi="Times New Roman" w:cs="Times New Roman" w:eastAsia="Times New Roman"/>
          <w:color w:val="auto"/>
          <w:spacing w:val="0"/>
          <w:position w:val="0"/>
          <w:sz w:val="24"/>
          <w:shd w:fill="auto" w:val="clear"/>
        </w:rPr>
        <w:t xml:space="preserve">.” (Diário de campo, 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9"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atuação das/os profissionais na atenção à saúde sexual e reprodutiva nas UBS ainda esbarra nos conhecidos problemas no campo das decisões reprodutivas e na esfera da negociação e uso da camisinha nas relações sexuais, apresenta-se a falta de diálogo entre pessoas envolvidas (Kalckmann, 1998; Geluda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2006). Nesse sentido, parece ainda longe de alcançar um discurso e um trabalho integrados na direção de, por exemplo, repensar a reprodução não apenas como responsabilidade das mulheres, mas como um processo relacional, que envolve diretamente a sexualidade e no qual a inserção dos homens seja redimensionada de um papel instrumental (como aquele que apóia ou dificulta as decisões de suas parceiras) para o lugar de sujeitos que se reproduzem e podem regular sua fecundidade (Figueroa-Perea, 1998).</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69" w:after="0" w:line="480"/>
        <w:ind w:right="121"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excerto a seguir ilustra a percepção das/os profissionais acerca da desarticulação entre mulheres e homens na discussão da reprodução e a dificuldade ou despreparo que enfrentam diante dela:</w:t>
      </w:r>
    </w:p>
    <w:p>
      <w:pPr>
        <w:spacing w:before="10" w:after="0" w:line="240"/>
        <w:ind w:right="113"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ao usar ou não o preservativo, soubemos que há a resistência de boa parte dos parceiros à investida das mulheres, geralmente incentivadas pelas enfermeiras a usarem o preservativo. Nesse sentido, uma das enfermeiras começou [a reunião do grupo de gestantes] reforçando a necessidade do uso. “</w:t>
      </w:r>
      <w:r>
        <w:rPr>
          <w:rFonts w:ascii="Times New Roman" w:hAnsi="Times New Roman" w:cs="Times New Roman" w:eastAsia="Times New Roman"/>
          <w:i/>
          <w:color w:val="auto"/>
          <w:spacing w:val="0"/>
          <w:position w:val="0"/>
          <w:sz w:val="24"/>
          <w:shd w:fill="auto" w:val="clear"/>
        </w:rPr>
        <w:t xml:space="preserve">Vocês têm que usar a camisinha por vocês. Não importa se o parceiro não quer. Vocês têm que se cuidar</w:t>
      </w:r>
      <w:r>
        <w:rPr>
          <w:rFonts w:ascii="Times New Roman" w:hAnsi="Times New Roman" w:cs="Times New Roman" w:eastAsia="Times New Roman"/>
          <w:color w:val="auto"/>
          <w:spacing w:val="0"/>
          <w:position w:val="0"/>
          <w:sz w:val="24"/>
          <w:shd w:fill="auto" w:val="clear"/>
        </w:rPr>
        <w:t xml:space="preserve">”. (...) Mais à frente, o discurso da palestra passou a apresentar conteúdos que consideravam essa problemática. A enfermeira disse:  “</w:t>
      </w:r>
      <w:r>
        <w:rPr>
          <w:rFonts w:ascii="Times New Roman" w:hAnsi="Times New Roman" w:cs="Times New Roman" w:eastAsia="Times New Roman"/>
          <w:i/>
          <w:color w:val="auto"/>
          <w:spacing w:val="0"/>
          <w:position w:val="0"/>
          <w:sz w:val="24"/>
          <w:shd w:fill="auto" w:val="clear"/>
        </w:rPr>
        <w:t xml:space="preserve">Vocês têm que aprender a vestir [a camisinha], para quando o cara não quiser, vocês dizerem „chegue, deixe eu botar para ver como fica‟, aí ele pode até deixar, vocês dão um jeitinho</w:t>
      </w:r>
      <w:r>
        <w:rPr>
          <w:rFonts w:ascii="Times New Roman" w:hAnsi="Times New Roman" w:cs="Times New Roman" w:eastAsia="Times New Roman"/>
          <w:color w:val="auto"/>
          <w:spacing w:val="0"/>
          <w:position w:val="0"/>
          <w:sz w:val="24"/>
          <w:shd w:fill="auto" w:val="clear"/>
        </w:rPr>
        <w:t xml:space="preserve">”. (Diário de campo, 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9"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distribuição de camisinha para os homens, desvinculada das atividades que discutem reprodução e com sentido prioritário de prevenção de IST/AIDS, e para as mulheres, como método contraceptivo e sem abranger a discussão da prevenção, aponta para a falta de diálogo entre as esferas da sexualidade e da reprodução, assim como  entre masculino e feminino no que diz respeito a essas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esferas.</w:t>
      </w: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dicotomia, já conhecida no campo da atuação em saúde (Leal e Boff,  1996), é reforçada por posturas profissionais que acentuam a distância entre esses pólos, abordando-os de forma desconectada. Por exemplo, no pólo mulher-reprodução, a distribuição de camisinhas, conduzida com parte da atenção à saúde reprodutiva, é comumente descartada diante da adoção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outro método contraceptivo, como mostra o depoimento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seguinte:</w:t>
      </w:r>
    </w:p>
    <w:p>
      <w:pPr>
        <w:spacing w:before="10" w:after="0" w:line="240"/>
        <w:ind w:right="117"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enfermeira esclareceu que atitudes tomaria para tentar diminuir o risco de gravidez das usuárias que tomaram a vacina anticoncepcional trimestral de um lote que, apos a aplicação, foi considerado estragado. Ela já estava solicitando teste  de gravidez para as usuárias e lhes distribuindo camisinha até a situação   da   vacina   ser   regularizada.   Acrescentou   ainda </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69" w:after="0" w:line="240"/>
        <w:ind w:right="115"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possibilidade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decidir, junto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algumas delas, a adoção de outro método contraceptivo, como o de uso oral. Em sua  opinião, </w:t>
      </w:r>
      <w:r>
        <w:rPr>
          <w:rFonts w:ascii="Times New Roman" w:hAnsi="Times New Roman" w:cs="Times New Roman" w:eastAsia="Times New Roman"/>
          <w:i/>
          <w:color w:val="auto"/>
          <w:spacing w:val="0"/>
          <w:position w:val="0"/>
          <w:sz w:val="24"/>
          <w:shd w:fill="auto" w:val="clear"/>
        </w:rPr>
        <w:t xml:space="preserve">“o uso da camisinha é arriscado”</w:t>
      </w:r>
      <w:r>
        <w:rPr>
          <w:rFonts w:ascii="Times New Roman" w:hAnsi="Times New Roman" w:cs="Times New Roman" w:eastAsia="Times New Roman"/>
          <w:color w:val="auto"/>
          <w:spacing w:val="0"/>
          <w:position w:val="0"/>
          <w:sz w:val="24"/>
          <w:shd w:fill="auto" w:val="clear"/>
        </w:rPr>
        <w:t xml:space="preserve">. Considerando que a camisinha é um dos métodos mais recomendados no quesito segurança, deduzi que o risco referido pela enfermeira dizia respeito ao uso irregular ou a dificuldade de convencimento dos parceiros a usarem tal método. Essa dificuldade já foi atestada em algumas conversas com as enfermeiras da Unidade. (Diário de campo,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se fale de uma resistência dos homens à camisinha, como visto acima, fica nítido nos discursos e atitudes de profissionais e de usuárias/os que, em tal polarização, as referências à camisinha acabam por se vincular mais facilmente ao pólo homem-sexualidade, como mostra o seguinte depoimento:</w:t>
      </w:r>
    </w:p>
    <w:p>
      <w:pPr>
        <w:spacing w:before="10" w:after="0" w:line="240"/>
        <w:ind w:right="117"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auxiliar de farmácia nos contou que um dia percebeu que vários homens haviam se mudado para uma casa perto da sua,  na região. Eles estavam trabalhando próximo à unidade. Imediatamente, ela solicitou a liberação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camisinhas para lhes entregar. </w:t>
      </w:r>
      <w:r>
        <w:rPr>
          <w:rFonts w:ascii="Times New Roman" w:hAnsi="Times New Roman" w:cs="Times New Roman" w:eastAsia="Times New Roman"/>
          <w:i/>
          <w:color w:val="auto"/>
          <w:spacing w:val="0"/>
          <w:position w:val="0"/>
          <w:sz w:val="24"/>
          <w:shd w:fill="auto" w:val="clear"/>
        </w:rPr>
        <w:t xml:space="preserve">“Eles fizeram a festa quando cheguei lá com um monte de camisinha. Imagina: um monte de homens numa casa.” </w:t>
      </w:r>
      <w:r>
        <w:rPr>
          <w:rFonts w:ascii="Times New Roman" w:hAnsi="Times New Roman" w:cs="Times New Roman" w:eastAsia="Times New Roman"/>
          <w:color w:val="auto"/>
          <w:spacing w:val="0"/>
          <w:position w:val="0"/>
          <w:sz w:val="24"/>
          <w:shd w:fill="auto" w:val="clear"/>
        </w:rPr>
        <w:t xml:space="preserve">(Diário de campo,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vínculo, no entanto, parece ser pouco explorado nas UBS. Iniciativas como a relatada são escassas e, logo, a distribuição de camisinhas para os usuários homens acaba por ser pequena. Além disso, nas ocasiões em que é feita, não são observados o incentivo ou convite para os usuários se inserirem de forma mais efetiva no cotidiano dos serviços.</w:t>
      </w:r>
    </w:p>
    <w:p>
      <w:pPr>
        <w:spacing w:before="11" w:after="0" w:line="480"/>
        <w:ind w:right="12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vez que a rede assistencial reconhece a prevenção como um direito (Brasil, 1999) e que a camisinha, como principal estratégia preventiva, está disponível nas UBS, parece um contra-senso que esse material não seja destinado de forma mais ampla a usuárias e usuários e, ao contrário, fique estocado nos serviços:</w:t>
      </w:r>
    </w:p>
    <w:p>
      <w:pPr>
        <w:spacing w:before="11" w:after="0" w:line="480"/>
        <w:ind w:right="126" w:left="100" w:firstLine="708"/>
        <w:jc w:val="both"/>
        <w:rPr>
          <w:rFonts w:ascii="Times New Roman" w:hAnsi="Times New Roman" w:cs="Times New Roman" w:eastAsia="Times New Roman"/>
          <w:color w:val="auto"/>
          <w:spacing w:val="0"/>
          <w:position w:val="0"/>
          <w:sz w:val="24"/>
          <w:shd w:fill="auto" w:val="clear"/>
        </w:rPr>
      </w:pPr>
    </w:p>
    <w:p>
      <w:pPr>
        <w:spacing w:before="11" w:after="0" w:line="480"/>
        <w:ind w:right="126" w:left="100" w:firstLine="708"/>
        <w:jc w:val="both"/>
        <w:rPr>
          <w:rFonts w:ascii="Times New Roman" w:hAnsi="Times New Roman" w:cs="Times New Roman" w:eastAsia="Times New Roman"/>
          <w:color w:val="auto"/>
          <w:spacing w:val="0"/>
          <w:position w:val="0"/>
          <w:sz w:val="24"/>
          <w:shd w:fill="auto" w:val="clear"/>
        </w:rPr>
      </w:pPr>
    </w:p>
    <w:p>
      <w:pPr>
        <w:spacing w:before="11" w:after="0" w:line="480"/>
        <w:ind w:right="126" w:left="100" w:firstLine="708"/>
        <w:jc w:val="both"/>
        <w:rPr>
          <w:rFonts w:ascii="Times New Roman" w:hAnsi="Times New Roman" w:cs="Times New Roman" w:eastAsia="Times New Roman"/>
          <w:color w:val="auto"/>
          <w:spacing w:val="0"/>
          <w:position w:val="0"/>
          <w:sz w:val="24"/>
          <w:shd w:fill="auto" w:val="clear"/>
        </w:rPr>
      </w:pPr>
    </w:p>
    <w:p>
      <w:pPr>
        <w:spacing w:before="11" w:after="0" w:line="480"/>
        <w:ind w:right="126" w:left="100" w:firstLine="708"/>
        <w:jc w:val="both"/>
        <w:rPr>
          <w:rFonts w:ascii="Times New Roman" w:hAnsi="Times New Roman" w:cs="Times New Roman" w:eastAsia="Times New Roman"/>
          <w:color w:val="auto"/>
          <w:spacing w:val="0"/>
          <w:position w:val="0"/>
          <w:sz w:val="24"/>
          <w:shd w:fill="auto" w:val="clear"/>
        </w:rPr>
      </w:pPr>
    </w:p>
    <w:p>
      <w:pPr>
        <w:spacing w:before="11" w:after="0" w:line="480"/>
        <w:ind w:right="12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fornecimento de camisinhas para a unidade é feito por duas vias: pelo Sistema Único de Saúde (SUS) e pela ONG Bem- Estar Familiar no Brasil (BEMFAM), de forma que há  acúmulo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69" w:after="0" w:line="240"/>
        <w:ind w:right="98"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desse material, especialmente em períodos de grandes festas como o carnaval, em que os órgãos aumentam a quantidade enviada. Em contradição ao grande número de camisinhas no estoque da farmácia, há a pouca distribuição. Dificilmente, são pensadas alternativas para a maior circulação do material. (...) Uma vez que há sobra de camisinhas no estoque, o que resulta, às vezes, em devolução aos fornecedores, a estratégia de aumentar a acessibilidade dos usuários a elas deveria ser constante. (Diário de campo, 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Infecções sexualmente transmissíveis em mulheres e em homens</w:t>
      </w:r>
    </w:p>
    <w:p>
      <w:pPr>
        <w:spacing w:before="11"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69" w:after="0" w:line="480"/>
        <w:ind w:right="10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UBS, as/os profissionais não destinam grade atenção às IST. Inferem, pelos poucos casos que chegam aos serviços, que há uma baixa incidência entre as/os usuárias/os:</w:t>
      </w:r>
    </w:p>
    <w:p>
      <w:pPr>
        <w:spacing w:before="10" w:after="0" w:line="240"/>
        <w:ind w:right="98"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médico] informou que há uma demanda (...) pequena em saúde sexual. (...) Disse que a maioria dos casos são consultas individuais para tratar DST, especialmente vaginites e corrimentos. A maior parte da demanda emerge, na mesma proporção dos outros atendimentos, das mulheres. Descreveu o atendimento desses casos. </w:t>
      </w:r>
      <w:r>
        <w:rPr>
          <w:rFonts w:ascii="Times New Roman" w:hAnsi="Times New Roman" w:cs="Times New Roman" w:eastAsia="Times New Roman"/>
          <w:i/>
          <w:color w:val="auto"/>
          <w:spacing w:val="0"/>
          <w:position w:val="0"/>
          <w:sz w:val="24"/>
          <w:shd w:fill="auto" w:val="clear"/>
        </w:rPr>
        <w:t xml:space="preserve">“Tenho que falar com um jeitinho  que o marido precisa se tratar também, porque a maioria são mulheres casadas com parceiros fixos. Daí, se digo que elas pegaram do marido, vão pensar que ele tem outras [parceiras]. E nem sempre tem. Às vezes, ele tem a bactéria na forma sub- clínica. Daí ela se cura e pega </w:t>
      </w:r>
      <w:r>
        <w:rPr>
          <w:rFonts w:ascii="Times New Roman" w:hAnsi="Times New Roman" w:cs="Times New Roman" w:eastAsia="Times New Roman"/>
          <w:i/>
          <w:color w:val="auto"/>
          <w:spacing w:val="-3"/>
          <w:position w:val="0"/>
          <w:sz w:val="24"/>
          <w:shd w:fill="auto" w:val="clear"/>
        </w:rPr>
        <w:t xml:space="preserve">de </w:t>
      </w:r>
      <w:r>
        <w:rPr>
          <w:rFonts w:ascii="Times New Roman" w:hAnsi="Times New Roman" w:cs="Times New Roman" w:eastAsia="Times New Roman"/>
          <w:i/>
          <w:color w:val="auto"/>
          <w:spacing w:val="0"/>
          <w:position w:val="0"/>
          <w:sz w:val="24"/>
          <w:shd w:fill="auto" w:val="clear"/>
        </w:rPr>
        <w:t xml:space="preserve">novo, é o que chamamos de infecção cruzada.” </w:t>
      </w:r>
      <w:r>
        <w:rPr>
          <w:rFonts w:ascii="Times New Roman" w:hAnsi="Times New Roman" w:cs="Times New Roman" w:eastAsia="Times New Roman"/>
          <w:color w:val="auto"/>
          <w:spacing w:val="0"/>
          <w:position w:val="0"/>
          <w:sz w:val="24"/>
          <w:shd w:fill="auto" w:val="clear"/>
        </w:rPr>
        <w:t xml:space="preserve">(Diário de campo,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0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perspectiva apresentada pelas/os profissionais atesta o que o Ministério da Saúde (Brasil, 2010) reconhece como uma aparente simplicidade no lidar com as IST, mesmo se tratando de um grave problema de saúde pública por sua magnitude, pela dificuldade das pessoas identificarem seus sintomas e, principalmente, por serem grandes facilitadores da transmissão do HIV.</w:t>
      </w:r>
    </w:p>
    <w:p>
      <w:pPr>
        <w:spacing w:before="0" w:after="0" w:line="480"/>
        <w:ind w:right="107" w:left="100" w:firstLine="708"/>
        <w:jc w:val="both"/>
        <w:rPr>
          <w:rFonts w:ascii="Times New Roman" w:hAnsi="Times New Roman" w:cs="Times New Roman" w:eastAsia="Times New Roman"/>
          <w:color w:val="auto"/>
          <w:spacing w:val="0"/>
          <w:position w:val="0"/>
          <w:sz w:val="24"/>
          <w:shd w:fill="auto" w:val="clear"/>
        </w:rPr>
      </w:pPr>
    </w:p>
    <w:p>
      <w:pPr>
        <w:spacing w:before="0" w:after="0" w:line="480"/>
        <w:ind w:right="107" w:left="100" w:firstLine="708"/>
        <w:jc w:val="both"/>
        <w:rPr>
          <w:rFonts w:ascii="Times New Roman" w:hAnsi="Times New Roman" w:cs="Times New Roman" w:eastAsia="Times New Roman"/>
          <w:color w:val="auto"/>
          <w:spacing w:val="0"/>
          <w:position w:val="0"/>
          <w:sz w:val="24"/>
          <w:shd w:fill="auto" w:val="clear"/>
        </w:rPr>
      </w:pPr>
    </w:p>
    <w:p>
      <w:pPr>
        <w:spacing w:before="0" w:after="0" w:line="480"/>
        <w:ind w:right="107"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0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referida prevalência em mulheres pode ser melhor compreendida como fruto do  direcionamento  da  atenção  às  mulheres,  que  contam  com  consultas  e    exames voltados ao diagnóstico precoce de tais problemas ou, em conseqüência do controle ginecológico sobre a sexualidade feminina, são induzidas a essas atividades.</w:t>
      </w:r>
    </w:p>
    <w:p>
      <w:pPr>
        <w:spacing w:before="10" w:after="0" w:line="480"/>
        <w:ind w:right="119"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prevenção de IST/AIDS, propriamente dita, fica restrita a algumas orientações em meio às atividades voltadas à reprodução:</w:t>
      </w:r>
    </w:p>
    <w:p>
      <w:pPr>
        <w:spacing w:before="10" w:after="0" w:line="240"/>
        <w:ind w:right="125"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foco na saúde feminina se dá estritamente no âmbito da saúde reprodutiva. Pouco ou nada se comenta acerca da saúde sexual. (Diário de campo, UBS2)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da identificação de IST nas usuárias, é reconhecida a dimensão relacional da demanda, mas a assistência prestada caminha na direção de responsabilizar apenas a mulher pela relação:</w:t>
      </w:r>
    </w:p>
    <w:p>
      <w:pPr>
        <w:spacing w:before="10" w:after="0" w:line="240"/>
        <w:ind w:right="125"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enfermeira conta que, ao diagnosticar algum caso desses em uma usuária, deduz que o companheiro da mesma também esteja infectado. </w:t>
      </w:r>
      <w:r>
        <w:rPr>
          <w:rFonts w:ascii="Times New Roman" w:hAnsi="Times New Roman" w:cs="Times New Roman" w:eastAsia="Times New Roman"/>
          <w:color w:val="auto"/>
          <w:spacing w:val="-3"/>
          <w:position w:val="0"/>
          <w:sz w:val="24"/>
          <w:shd w:fill="auto" w:val="clear"/>
        </w:rPr>
        <w:t xml:space="preserve">As </w:t>
      </w:r>
      <w:r>
        <w:rPr>
          <w:rFonts w:ascii="Times New Roman" w:hAnsi="Times New Roman" w:cs="Times New Roman" w:eastAsia="Times New Roman"/>
          <w:color w:val="auto"/>
          <w:spacing w:val="0"/>
          <w:position w:val="0"/>
          <w:sz w:val="24"/>
          <w:shd w:fill="auto" w:val="clear"/>
        </w:rPr>
        <w:t xml:space="preserve">usuárias são advertidas da necessidade da participação de seus maridos no tratamento; no entanto, alertam que eles se recusam a ir à unidade com esse fim. Dessa forma, o tratamento para o casal é orientado à mulher, que é incumbida  de repassar para o companheiro. A enfermeira dificilmente tem informações a respeito da realização do tratamento pelo homem. (Diário de campo,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UBS1)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falta de inserção dos parceiros no acompanhamento desses casos, assim como a percepção das/os profissionais de que é baixa a incidência de </w:t>
      </w:r>
      <w:r>
        <w:rPr>
          <w:rFonts w:ascii="Times New Roman" w:hAnsi="Times New Roman" w:cs="Times New Roman" w:eastAsia="Times New Roman"/>
          <w:color w:val="auto"/>
          <w:spacing w:val="-2"/>
          <w:position w:val="0"/>
          <w:sz w:val="24"/>
          <w:shd w:fill="auto" w:val="clear"/>
        </w:rPr>
        <w:t xml:space="preserve">IST </w:t>
      </w:r>
      <w:r>
        <w:rPr>
          <w:rFonts w:ascii="Times New Roman" w:hAnsi="Times New Roman" w:cs="Times New Roman" w:eastAsia="Times New Roman"/>
          <w:color w:val="auto"/>
          <w:spacing w:val="0"/>
          <w:position w:val="0"/>
          <w:sz w:val="24"/>
          <w:shd w:fill="auto" w:val="clear"/>
        </w:rPr>
        <w:t xml:space="preserve">nos homens contrastam com a maior participação de homens nos perfis epidemiológicos referentes às </w:t>
      </w:r>
      <w:r>
        <w:rPr>
          <w:rFonts w:ascii="Times New Roman" w:hAnsi="Times New Roman" w:cs="Times New Roman" w:eastAsia="Times New Roman"/>
          <w:color w:val="auto"/>
          <w:spacing w:val="-2"/>
          <w:position w:val="0"/>
          <w:sz w:val="24"/>
          <w:shd w:fill="auto" w:val="clear"/>
        </w:rPr>
        <w:t xml:space="preserve">IST </w:t>
      </w:r>
      <w:r>
        <w:rPr>
          <w:rFonts w:ascii="Times New Roman" w:hAnsi="Times New Roman" w:cs="Times New Roman" w:eastAsia="Times New Roman"/>
          <w:color w:val="auto"/>
          <w:spacing w:val="0"/>
          <w:position w:val="0"/>
          <w:sz w:val="24"/>
          <w:shd w:fill="auto" w:val="clear"/>
        </w:rPr>
        <w:t xml:space="preserve">(Gomes,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w:t>
      </w:r>
    </w:p>
    <w:p>
      <w:pPr>
        <w:spacing w:before="11" w:after="0" w:line="480"/>
        <w:ind w:right="11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Diferentemente das mulheres, os homens não contam com atendimentos  voltados ao diagnóstico e tratamento desse problema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saúde. A detecção de IST neles precisa partir de sua própria iniciativa em procurar os serviços com esse </w:t>
      </w:r>
      <w:r>
        <w:rPr>
          <w:rFonts w:ascii="Times New Roman" w:hAnsi="Times New Roman" w:cs="Times New Roman" w:eastAsia="Times New Roman"/>
          <w:color w:val="auto"/>
          <w:spacing w:val="5"/>
          <w:position w:val="0"/>
          <w:sz w:val="24"/>
          <w:shd w:fill="auto" w:val="clear"/>
        </w:rPr>
        <w:t xml:space="preserve">fim </w:t>
      </w:r>
      <w:r>
        <w:rPr>
          <w:rFonts w:ascii="Times New Roman" w:hAnsi="Times New Roman" w:cs="Times New Roman" w:eastAsia="Times New Roman"/>
          <w:color w:val="auto"/>
          <w:spacing w:val="0"/>
          <w:position w:val="0"/>
          <w:sz w:val="24"/>
          <w:shd w:fill="auto" w:val="clear"/>
        </w:rPr>
        <w:t xml:space="preserve">ou de uma abordagem indireta das/os profissionais tendo as parceiras como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mediadoras.</w:t>
      </w:r>
    </w:p>
    <w:p>
      <w:pPr>
        <w:spacing w:before="10" w:after="0" w:line="480"/>
        <w:ind w:right="121"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procura pelos serviços, motivada por uma IST, no entanto, parece ser uma tarefa que encontra resistência por parte dos homens. </w:t>
      </w:r>
    </w:p>
    <w:p>
      <w:pPr>
        <w:spacing w:before="10" w:after="0" w:line="480"/>
        <w:ind w:right="121"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21"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21"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dificuldade dos homens em reconhecer problemas de saúde e de procurar o serviço para tratá-los (Valdés e Olivarría, 1998; Courtenay, 2000) parece ser potencializada quando se trata de uma IST.</w:t>
      </w:r>
    </w:p>
    <w:p>
      <w:pPr>
        <w:spacing w:before="10" w:after="0" w:line="480"/>
        <w:ind w:right="118"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Consequentemente, alguns homens buscam meios para lidar com as IST sem terem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procurar o serviço e apresentá-las a uma/um profissional. Dessa forma, recorrem a tratamentos alternativos ou procuram informações com pessoas conhecidas, o que resulta, algumas vezes, na ida ao serviço de saúde a partir </w:t>
      </w:r>
      <w:r>
        <w:rPr>
          <w:rFonts w:ascii="Times New Roman" w:hAnsi="Times New Roman" w:cs="Times New Roman" w:eastAsia="Times New Roman"/>
          <w:color w:val="auto"/>
          <w:spacing w:val="-3"/>
          <w:position w:val="0"/>
          <w:sz w:val="24"/>
          <w:shd w:fill="auto" w:val="clear"/>
        </w:rPr>
        <w:t xml:space="preserve">da </w:t>
      </w:r>
      <w:r>
        <w:rPr>
          <w:rFonts w:ascii="Times New Roman" w:hAnsi="Times New Roman" w:cs="Times New Roman" w:eastAsia="Times New Roman"/>
          <w:color w:val="auto"/>
          <w:spacing w:val="0"/>
          <w:position w:val="0"/>
          <w:sz w:val="24"/>
          <w:shd w:fill="auto" w:val="clear"/>
        </w:rPr>
        <w:t xml:space="preserve">mediação feita pela pessoa acionada. Isso aponta para a existência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barreiras que atrapalham uma busca direta. Uma vez que, em dadas situações, alguns homens reconhecem tais agravos como problemas de saúde ou, nos termos de Schraiber e Mendes-Gonçalves (2000), como </w:t>
      </w:r>
      <w:r>
        <w:rPr>
          <w:rFonts w:ascii="Times New Roman" w:hAnsi="Times New Roman" w:cs="Times New Roman" w:eastAsia="Times New Roman"/>
          <w:i/>
          <w:color w:val="auto"/>
          <w:spacing w:val="0"/>
          <w:position w:val="0"/>
          <w:sz w:val="24"/>
          <w:shd w:fill="auto" w:val="clear"/>
        </w:rPr>
        <w:t xml:space="preserve">carecimentos</w:t>
      </w:r>
      <w:r>
        <w:rPr>
          <w:rFonts w:ascii="Times New Roman" w:hAnsi="Times New Roman" w:cs="Times New Roman" w:eastAsia="Times New Roman"/>
          <w:color w:val="auto"/>
          <w:spacing w:val="0"/>
          <w:position w:val="0"/>
          <w:sz w:val="24"/>
          <w:shd w:fill="auto" w:val="clear"/>
        </w:rPr>
        <w:t xml:space="preserve">, há </w:t>
      </w:r>
      <w:r>
        <w:rPr>
          <w:rFonts w:ascii="Times New Roman" w:hAnsi="Times New Roman" w:cs="Times New Roman" w:eastAsia="Times New Roman"/>
          <w:color w:val="auto"/>
          <w:spacing w:val="-3"/>
          <w:position w:val="0"/>
          <w:sz w:val="24"/>
          <w:shd w:fill="auto" w:val="clear"/>
        </w:rPr>
        <w:t xml:space="preserve">um </w:t>
      </w:r>
      <w:r>
        <w:rPr>
          <w:rFonts w:ascii="Times New Roman" w:hAnsi="Times New Roman" w:cs="Times New Roman" w:eastAsia="Times New Roman"/>
          <w:color w:val="auto"/>
          <w:spacing w:val="0"/>
          <w:position w:val="0"/>
          <w:sz w:val="24"/>
          <w:shd w:fill="auto" w:val="clear"/>
        </w:rPr>
        <w:t xml:space="preserve">entrave, pelo menos no primeiro momento, na tradução desses carecimentos em demandas, isto é, no reconhecimento de que uma solução para tais problemas pode ser encontrada no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serviço.</w:t>
      </w:r>
    </w:p>
    <w:p>
      <w:pPr>
        <w:spacing w:before="10" w:after="0" w:line="240"/>
        <w:ind w:right="116" w:left="23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usuário, que atua como conselheiro de saúde e educador, contou que acompanha e orienta jovens, dos quais alguns são garotos de programa. Explicou que esses rapazes, quando são infectados por uma DST, não vão direto à UBS, costumam procurá-lo porque sentem segurança com ele. Ele, então, vai à UBS, conversa com a médica e leva a indicação do tratamento aos rapazes ou os orienta a irem ao serviço e fazerem algum exame. Depois de feita a mediação, geralmente os rapazes vão ao serviço e buscam o tratamento. (Diário de campo, </w:t>
      </w:r>
      <w:r>
        <w:rPr>
          <w:rFonts w:ascii="Times New Roman" w:hAnsi="Times New Roman" w:cs="Times New Roman" w:eastAsia="Times New Roman"/>
          <w:color w:val="auto"/>
          <w:spacing w:val="-3"/>
          <w:position w:val="0"/>
          <w:sz w:val="24"/>
          <w:shd w:fill="auto" w:val="clear"/>
        </w:rPr>
        <w:t xml:space="preserve">UBS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raras situações em que é apresentado um caso de </w:t>
      </w:r>
      <w:r>
        <w:rPr>
          <w:rFonts w:ascii="Times New Roman" w:hAnsi="Times New Roman" w:cs="Times New Roman" w:eastAsia="Times New Roman"/>
          <w:color w:val="auto"/>
          <w:spacing w:val="-2"/>
          <w:position w:val="0"/>
          <w:sz w:val="24"/>
          <w:shd w:fill="auto" w:val="clear"/>
        </w:rPr>
        <w:t xml:space="preserve">IST </w:t>
      </w:r>
      <w:r>
        <w:rPr>
          <w:rFonts w:ascii="Times New Roman" w:hAnsi="Times New Roman" w:cs="Times New Roman" w:eastAsia="Times New Roman"/>
          <w:color w:val="auto"/>
          <w:spacing w:val="0"/>
          <w:position w:val="0"/>
          <w:sz w:val="24"/>
          <w:shd w:fill="auto" w:val="clear"/>
        </w:rPr>
        <w:t xml:space="preserve">em homem, </w:t>
      </w:r>
      <w:r>
        <w:rPr>
          <w:rFonts w:ascii="Times New Roman" w:hAnsi="Times New Roman" w:cs="Times New Roman" w:eastAsia="Times New Roman"/>
          <w:color w:val="auto"/>
          <w:spacing w:val="3"/>
          <w:position w:val="0"/>
          <w:sz w:val="24"/>
          <w:shd w:fill="auto" w:val="clear"/>
        </w:rPr>
        <w:t xml:space="preserve">seja </w:t>
      </w:r>
      <w:r>
        <w:rPr>
          <w:rFonts w:ascii="Times New Roman" w:hAnsi="Times New Roman" w:cs="Times New Roman" w:eastAsia="Times New Roman"/>
          <w:color w:val="auto"/>
          <w:spacing w:val="0"/>
          <w:position w:val="0"/>
          <w:sz w:val="24"/>
          <w:shd w:fill="auto" w:val="clear"/>
        </w:rPr>
        <w:t xml:space="preserve">por livre iniciativa dos usuários ou a partir da busca ativa feita pelas/os profissionais, as demandas são encaminhadas das UBS para outros serviços, onde os tratamentos poderiam ser realizados. Nesse sentido, as </w:t>
      </w:r>
      <w:r>
        <w:rPr>
          <w:rFonts w:ascii="Times New Roman" w:hAnsi="Times New Roman" w:cs="Times New Roman" w:eastAsia="Times New Roman"/>
          <w:color w:val="auto"/>
          <w:spacing w:val="-2"/>
          <w:position w:val="0"/>
          <w:sz w:val="24"/>
          <w:shd w:fill="auto" w:val="clear"/>
        </w:rPr>
        <w:t xml:space="preserve">IST </w:t>
      </w:r>
      <w:r>
        <w:rPr>
          <w:rFonts w:ascii="Times New Roman" w:hAnsi="Times New Roman" w:cs="Times New Roman" w:eastAsia="Times New Roman"/>
          <w:color w:val="auto"/>
          <w:spacing w:val="0"/>
          <w:position w:val="0"/>
          <w:sz w:val="24"/>
          <w:shd w:fill="auto" w:val="clear"/>
        </w:rPr>
        <w:t xml:space="preserve">dos homens (ao contrário das que acometem as mulheres) parecem ser tratadas como </w:t>
      </w:r>
      <w:r>
        <w:rPr>
          <w:rFonts w:ascii="Times New Roman" w:hAnsi="Times New Roman" w:cs="Times New Roman" w:eastAsia="Times New Roman"/>
          <w:color w:val="auto"/>
          <w:spacing w:val="-3"/>
          <w:position w:val="0"/>
          <w:sz w:val="24"/>
          <w:shd w:fill="auto" w:val="clear"/>
        </w:rPr>
        <w:t xml:space="preserve">um </w:t>
      </w:r>
      <w:r>
        <w:rPr>
          <w:rFonts w:ascii="Times New Roman" w:hAnsi="Times New Roman" w:cs="Times New Roman" w:eastAsia="Times New Roman"/>
          <w:color w:val="auto"/>
          <w:spacing w:val="0"/>
          <w:position w:val="0"/>
          <w:sz w:val="24"/>
          <w:shd w:fill="auto" w:val="clear"/>
        </w:rPr>
        <w:t xml:space="preserve">problema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alçada da  assistência especializada, não encontrando muito espaço e atenção nos serviços da</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APS.</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69" w:after="0" w:line="480"/>
        <w:ind w:right="119"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as diretrizes da Política Nacional de DST/AIDS (Brasil, 1999), o diagnóstico e tratamento das IST devem ser oferecidos nos vários níveis de atenção do SUS. Embora seja prevista a implementação de unidades de referência em UBS selecionadas pelas coordenações estaduais e municipais, as/os profissionais da APS, ainda que não especialistas, estão habilitados/as a realizar diagnóstico por abordagem sindrômica (com a utilização de fluxogramas desenvolvidos e disponibilizados em manuais de controle das IST), assim como tratar as doenças e orientar usuários/as e esse respeito.</w:t>
      </w:r>
    </w:p>
    <w:p>
      <w:pPr>
        <w:spacing w:before="10" w:after="0" w:line="480"/>
        <w:ind w:right="13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encaminhamento a serviços de referência implica em tornar mais longo o caminho que o usuário deve percorrer até chegar ao tratamento, tanto pela necessidade de ir a outro serviço (e enfrentar novas dificuldades, como filas, esperas, distância); quanto pelas próprias dificuldades de encaminhamento.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240"/>
        <w:ind w:right="120" w:left="1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Algumas considerações</w:t>
      </w:r>
    </w:p>
    <w:p>
      <w:pPr>
        <w:spacing w:before="7"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2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observação dessas atividades permite identificar a marca da imagem de uma sexualidade feminina passiva e atrelada à reprodução e, em oposição, a de uma sexualidade masculina ativa, impulsiva e exacerbada. Essas imagens são (re)produzidas nos serviços e conformam a assistência oferecida.</w:t>
      </w:r>
    </w:p>
    <w:p>
      <w:pPr>
        <w:spacing w:before="10" w:after="0" w:line="480"/>
        <w:ind w:right="11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grosso modo, a mulher idealizada nessa imagem parece ser uma mulher vinculada à relação conjugal e aos filhos, de forma que faz mais sentido preocupar-se com sua saúde reprodutiva do que com a saúde sexual. Sua sexualidade domesticada, aos olhos das/os profissionais, parece não demandar muita atenção, tampouco trabalho de prevenção de IST/AIDS.</w:t>
      </w:r>
    </w:p>
    <w:p>
      <w:pPr>
        <w:spacing w:before="10" w:after="0" w:line="480"/>
        <w:ind w:right="12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contrário, o homem idealizado parece ser um sujeito que não precisa ser escutado e acolhido. Sua sexualidade  não precisa ser discutida, apenas controlada.  </w:t>
      </w:r>
    </w:p>
    <w:p>
      <w:pPr>
        <w:spacing w:before="10" w:after="0" w:line="480"/>
        <w:ind w:right="120"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20"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20"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 demandas oriundas de IST não se encaixam no rol da saúde da família. Adicionalmente, parte-se da premissa de que ele não se interessa pela reprodução. Como observa Scott (2005), esse homem, que não é o homem da família, não é bem vindo aos serviços de saúde. Produz-se, em conjunto com os aspectos culturais da construção social das masculinidades, a distância entre homens e cuidado.</w:t>
      </w:r>
    </w:p>
    <w:p>
      <w:pPr>
        <w:spacing w:before="10" w:after="0" w:line="480"/>
        <w:ind w:right="115"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Essas imagens, na medida em perpassam o cotidiano dos serviços de saúde, podem tornar-se a referência para a atuação de profissionais da saúde na assistência a mulheres e homens no que diz respeito à compreensão e acolhimento de suas necessidades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saúde, sobretudo em saúde sexual e reprodutiva. Além disso, como aponta Rohden (2009), referindo-se especialmente à fase de promoção de um novo diagnóstico e tratamento, como o da disfunção sexual, os estereótipos de gênero  também estão presentes nas pré-concepções defendidas pelos pesquisadores e naquilo que é retransmitido à sociedade, servindo de referência para a medicalização da sexualidade feminina e da sexualidade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masculina.</w:t>
      </w:r>
    </w:p>
    <w:p>
      <w:pPr>
        <w:spacing w:before="10" w:after="0" w:line="480"/>
        <w:ind w:right="119"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contexto das atividades descritas aqui evidencia como a desarticulação entre sexualidade e reprodução torna-se obstáculo para que uma atenção mais integral possa ser oferecida a mulheres e homens, uma vez que o aspecto relacional entre feminino e masculino é pouco considerado nessas duas dimensões, também relacionais entre si.</w:t>
      </w: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assistência em saúde sexual, comumente reduzida à prevenção e tratamento de IST/AIDS, tem sido feita de forma ineficaz tanto com os homens quanto com as mulheres. Ambos carecem de espaço e trabalhos que discutam, orientem e problematizem as práticas de proteção à saúde sexual, direção que pode ser alcançada a partir de uma apropriação mais consciente da perspectiva de gênero.</w:t>
      </w: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16" w:left="100" w:firstLine="708"/>
        <w:jc w:val="both"/>
        <w:rPr>
          <w:rFonts w:ascii="Times New Roman" w:hAnsi="Times New Roman" w:cs="Times New Roman" w:eastAsia="Times New Roman"/>
          <w:color w:val="auto"/>
          <w:spacing w:val="0"/>
          <w:position w:val="0"/>
          <w:sz w:val="24"/>
          <w:shd w:fill="auto" w:val="clear"/>
        </w:rPr>
      </w:pPr>
    </w:p>
    <w:p>
      <w:pPr>
        <w:spacing w:before="10" w:after="0" w:line="480"/>
        <w:ind w:right="134"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Paradoxalmente, se as imagens e estereótipos de gênero constituem barreiras na abordagem à sexualidade nos serviços da atenção primária à saúde, é a perspectiva de gênero que pode indicar os caminhos para que se avance na promoção de saúde sexual, contextualizando as práticas sexuais e de cuidado na construção social das feminilidades e das masculinidades.</w:t>
      </w:r>
    </w:p>
    <w:p>
      <w:pPr>
        <w:spacing w:before="10" w:after="0" w:line="480"/>
        <w:ind w:right="117" w:left="10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significados e sentidos das relações sexuais, da negociação e uso de camisinha, das decisões reprodutivas para as diferentes mulheres e os diferentes homens podem assumir delineamentos em que o encontro com os serviços de saúde e com as práticas de cuidado sejam possíveis.</w:t>
      </w:r>
    </w:p>
    <w:p>
      <w:pPr>
        <w:spacing w:before="10" w:after="0" w:line="480"/>
        <w:ind w:right="117" w:left="100" w:firstLine="70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Na direção de compreender tais nuances e enxergar essa possibilidade de encontro, as pesquisas orientadas pela perspectiva de gênero no tocante a temáticas como sexualidade e reprodução, podem propiciar uma reflexão crítica acerca da realidade vivida por mulheres e homens na assistência à saúde, colaborando para a desconstrução de estereótipos associados ao feminino e ao masculino. Além disso, possibilitam evidenciar as potencialidades e os limites da abordagem feita nos serviços de saúde em função do gênero e da sexualidade, transpondo essa reflexão para a prática das/dos agentes do cuidado (profissionais da saúde e usuárias/os) no cotidiano da assistência.</w:t>
      </w: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70" w:after="0" w:line="240"/>
        <w:ind w:right="0" w:left="10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88"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Aquino EML. Saúde do Homem: uma nova etapa da medicalização da sexualidade?</w:t>
      </w:r>
    </w:p>
    <w:p>
      <w:pPr>
        <w:spacing w:before="0"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Ciência e Saúde Coletiva. </w:t>
      </w:r>
      <w:r>
        <w:rPr>
          <w:rFonts w:ascii="Times New Roman" w:hAnsi="Times New Roman" w:cs="Times New Roman" w:eastAsia="Times New Roman"/>
          <w:color w:val="auto"/>
          <w:spacing w:val="0"/>
          <w:position w:val="0"/>
          <w:sz w:val="24"/>
          <w:shd w:fill="auto" w:val="clear"/>
        </w:rPr>
        <w:t xml:space="preserve">2005;10(1):19-22.</w:t>
      </w:r>
    </w:p>
    <w:p>
      <w:pPr>
        <w:spacing w:before="96" w:after="0" w:line="240"/>
        <w:ind w:right="125"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Ayres JRCM. Para comprender el sentido práctico de las acciones de salud: contribuiciones de la hermenêutica filosófica. </w:t>
      </w:r>
      <w:r>
        <w:rPr>
          <w:rFonts w:ascii="Times New Roman" w:hAnsi="Times New Roman" w:cs="Times New Roman" w:eastAsia="Times New Roman"/>
          <w:i/>
          <w:color w:val="auto"/>
          <w:spacing w:val="0"/>
          <w:position w:val="0"/>
          <w:sz w:val="24"/>
          <w:shd w:fill="auto" w:val="clear"/>
        </w:rPr>
        <w:t xml:space="preserve">Salud Colectiva</w:t>
      </w:r>
      <w:r>
        <w:rPr>
          <w:rFonts w:ascii="Times New Roman" w:hAnsi="Times New Roman" w:cs="Times New Roman" w:eastAsia="Times New Roman"/>
          <w:color w:val="auto"/>
          <w:spacing w:val="0"/>
          <w:position w:val="0"/>
          <w:sz w:val="24"/>
          <w:shd w:fill="auto" w:val="clear"/>
        </w:rPr>
        <w:t xml:space="preserve">. 2008;4(2):159-72.</w:t>
      </w:r>
    </w:p>
    <w:p>
      <w:pPr>
        <w:tabs>
          <w:tab w:val="left" w:pos="1384" w:leader="none"/>
          <w:tab w:val="left" w:pos="2859" w:leader="none"/>
          <w:tab w:val="left" w:pos="3783" w:leader="none"/>
          <w:tab w:val="left" w:pos="4959" w:leader="none"/>
          <w:tab w:val="left" w:pos="6383" w:leader="none"/>
          <w:tab w:val="left" w:pos="8246" w:leader="none"/>
        </w:tabs>
        <w:spacing w:before="96" w:after="0" w:line="240"/>
        <w:ind w:right="116"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Ministério da saúde. Departamento de DST, Aids e Hepatites Virais [internet]. 2010</w:t>
        <w:tab/>
        <w:t xml:space="preserve">[citado</w:t>
        <w:tab/>
        <w:t xml:space="preserve">5</w:t>
        <w:tab/>
        <w:t xml:space="preserve">mar</w:t>
        <w:tab/>
        <w:t xml:space="preserve">2010].</w:t>
        <w:tab/>
        <w:t xml:space="preserve">Disponível</w:t>
        <w:tab/>
        <w:t xml:space="preserve">em: </w:t>
      </w:r>
      <w:hyperlink xmlns:r="http://schemas.openxmlformats.org/officeDocument/2006/relationships" r:id="docRId98">
        <w:r>
          <w:rPr>
            <w:rFonts w:ascii="Times New Roman" w:hAnsi="Times New Roman" w:cs="Times New Roman" w:eastAsia="Times New Roman"/>
            <w:color w:val="0000FF"/>
            <w:spacing w:val="0"/>
            <w:position w:val="0"/>
            <w:sz w:val="24"/>
            <w:u w:val="single"/>
            <w:shd w:fill="auto" w:val="clear"/>
          </w:rPr>
          <w:t xml:space="preserve">http://www.aids.gov.br/data/Pages/LUMISD3352823PTBRIE.htm</w:t>
        </w:r>
      </w:hyperlink>
    </w:p>
    <w:p>
      <w:pPr>
        <w:tabs>
          <w:tab w:val="left" w:pos="1550" w:leader="none"/>
          <w:tab w:val="left" w:pos="3196" w:leader="none"/>
          <w:tab w:val="left" w:pos="4069" w:leader="none"/>
          <w:tab w:val="left" w:pos="5368" w:leader="none"/>
          <w:tab w:val="left" w:pos="6552" w:leader="none"/>
          <w:tab w:val="left" w:pos="8243" w:leader="none"/>
        </w:tabs>
        <w:spacing w:before="96" w:after="0" w:line="240"/>
        <w:ind w:right="12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Ministério da Saúde. Secretaria de Políticas Públicas de Saúde. Coordenação de DST e aids. </w:t>
      </w:r>
      <w:r>
        <w:rPr>
          <w:rFonts w:ascii="Times New Roman" w:hAnsi="Times New Roman" w:cs="Times New Roman" w:eastAsia="Times New Roman"/>
          <w:i/>
          <w:color w:val="auto"/>
          <w:spacing w:val="0"/>
          <w:position w:val="0"/>
          <w:sz w:val="24"/>
          <w:shd w:fill="auto" w:val="clear"/>
        </w:rPr>
        <w:t xml:space="preserve">Política Nacional de DST/AIDS</w:t>
      </w:r>
      <w:r>
        <w:rPr>
          <w:rFonts w:ascii="Times New Roman" w:hAnsi="Times New Roman" w:cs="Times New Roman" w:eastAsia="Times New Roman"/>
          <w:color w:val="auto"/>
          <w:spacing w:val="0"/>
          <w:position w:val="0"/>
          <w:sz w:val="24"/>
          <w:shd w:fill="auto" w:val="clear"/>
        </w:rPr>
        <w:t xml:space="preserve">: princípios, diretrizes e estratégias. Brasília:</w:t>
        <w:tab/>
        <w:t xml:space="preserve">Ministério</w:t>
        <w:tab/>
        <w:t xml:space="preserve">da</w:t>
        <w:tab/>
        <w:t xml:space="preserve">Saúde;</w:t>
        <w:tab/>
        <w:t xml:space="preserve">1999.</w:t>
        <w:tab/>
        <w:t xml:space="preserve">Disponível</w:t>
        <w:tab/>
        <w:t xml:space="preserve">em: </w:t>
      </w:r>
      <w:hyperlink xmlns:r="http://schemas.openxmlformats.org/officeDocument/2006/relationships" r:id="docRId99">
        <w:r>
          <w:rPr>
            <w:rFonts w:ascii="Times New Roman" w:hAnsi="Times New Roman" w:cs="Times New Roman" w:eastAsia="Times New Roman"/>
            <w:color w:val="0000FF"/>
            <w:spacing w:val="0"/>
            <w:position w:val="0"/>
            <w:sz w:val="24"/>
            <w:u w:val="single"/>
            <w:shd w:fill="auto" w:val="clear"/>
          </w:rPr>
          <w:t xml:space="preserve">http://www.ilo.org/wcmsp5/groups/public/---ed_protect/---protrav/</w:t>
        </w:r>
      </w:hyperlink>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ilo_aids/documents/legaldocument/wcms_127698.pdf</w:t>
      </w:r>
    </w:p>
    <w:p>
      <w:pPr>
        <w:spacing w:before="96" w:after="0" w:line="240"/>
        <w:ind w:right="121"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Carrara S, Russo JA, Faro L. A política de atenção à saúde do homem no Brasil: os paradoxos da medicalização do corpo masculino. </w:t>
      </w:r>
      <w:r>
        <w:rPr>
          <w:rFonts w:ascii="Times New Roman" w:hAnsi="Times New Roman" w:cs="Times New Roman" w:eastAsia="Times New Roman"/>
          <w:i/>
          <w:color w:val="auto"/>
          <w:spacing w:val="0"/>
          <w:position w:val="0"/>
          <w:sz w:val="24"/>
          <w:shd w:fill="auto" w:val="clear"/>
        </w:rPr>
        <w:t xml:space="preserve">Physis </w:t>
      </w:r>
      <w:r>
        <w:rPr>
          <w:rFonts w:ascii="Times New Roman" w:hAnsi="Times New Roman" w:cs="Times New Roman" w:eastAsia="Times New Roman"/>
          <w:color w:val="auto"/>
          <w:spacing w:val="0"/>
          <w:position w:val="0"/>
          <w:sz w:val="24"/>
          <w:shd w:fill="auto" w:val="clear"/>
        </w:rPr>
        <w:t xml:space="preserve">(Rio de Janeiro). 2009;19(3):659-78.</w:t>
      </w:r>
    </w:p>
    <w:p>
      <w:pPr>
        <w:spacing w:before="96" w:after="0" w:line="240"/>
        <w:ind w:right="125"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Courtenay WH. Construction of masculinity and their influence on men‟s well-being: a theory of gender and health. </w:t>
      </w:r>
      <w:r>
        <w:rPr>
          <w:rFonts w:ascii="Times New Roman" w:hAnsi="Times New Roman" w:cs="Times New Roman" w:eastAsia="Times New Roman"/>
          <w:i/>
          <w:color w:val="auto"/>
          <w:spacing w:val="0"/>
          <w:position w:val="0"/>
          <w:sz w:val="24"/>
          <w:shd w:fill="auto" w:val="clear"/>
        </w:rPr>
        <w:t xml:space="preserve">Social Science &amp; Medicine</w:t>
      </w:r>
      <w:r>
        <w:rPr>
          <w:rFonts w:ascii="Times New Roman" w:hAnsi="Times New Roman" w:cs="Times New Roman" w:eastAsia="Times New Roman"/>
          <w:color w:val="auto"/>
          <w:spacing w:val="0"/>
          <w:position w:val="0"/>
          <w:sz w:val="24"/>
          <w:shd w:fill="auto" w:val="clear"/>
        </w:rPr>
        <w:t xml:space="preserve">. 2000;50(10):1385-401.</w:t>
      </w:r>
    </w:p>
    <w:p>
      <w:pPr>
        <w:spacing w:before="96" w:after="0" w:line="240"/>
        <w:ind w:right="123"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Couto MT, Pinheiro TF, Valença O, Machin R, Nogueira da Silva GS, Gomes R, Schraiber LB, Figueiredo W. O homem na atenção primária à saúde: discutindo (in)visibilidade a partir da perspectiva de gênero. </w:t>
      </w:r>
      <w:r>
        <w:rPr>
          <w:rFonts w:ascii="Times New Roman" w:hAnsi="Times New Roman" w:cs="Times New Roman" w:eastAsia="Times New Roman"/>
          <w:i/>
          <w:color w:val="auto"/>
          <w:spacing w:val="0"/>
          <w:position w:val="0"/>
          <w:sz w:val="24"/>
          <w:shd w:fill="auto" w:val="clear"/>
        </w:rPr>
        <w:t xml:space="preserve">Interface: Comunic, Saúde, Educ. </w:t>
      </w:r>
      <w:r>
        <w:rPr>
          <w:rFonts w:ascii="Times New Roman" w:hAnsi="Times New Roman" w:cs="Times New Roman" w:eastAsia="Times New Roman"/>
          <w:color w:val="auto"/>
          <w:spacing w:val="0"/>
          <w:position w:val="0"/>
          <w:sz w:val="24"/>
          <w:shd w:fill="auto" w:val="clear"/>
        </w:rPr>
        <w:t xml:space="preserve">2010;14(33):257-70.</w:t>
      </w:r>
    </w:p>
    <w:p>
      <w:pPr>
        <w:spacing w:before="96" w:after="0" w:line="240"/>
        <w:ind w:right="119"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Couto MT, Schraiber LB, Gomes R, Nogueira da Silva GS, Valença O, Machin R, Figueiredo W. </w:t>
      </w:r>
      <w:r>
        <w:rPr>
          <w:rFonts w:ascii="Times New Roman" w:hAnsi="Times New Roman" w:cs="Times New Roman" w:eastAsia="Times New Roman"/>
          <w:i/>
          <w:color w:val="auto"/>
          <w:spacing w:val="0"/>
          <w:position w:val="0"/>
          <w:sz w:val="24"/>
          <w:shd w:fill="auto" w:val="clear"/>
        </w:rPr>
        <w:t xml:space="preserve">Saúde da população masculina na atenção primária</w:t>
      </w:r>
      <w:r>
        <w:rPr>
          <w:rFonts w:ascii="Times New Roman" w:hAnsi="Times New Roman" w:cs="Times New Roman" w:eastAsia="Times New Roman"/>
          <w:color w:val="auto"/>
          <w:spacing w:val="0"/>
          <w:position w:val="0"/>
          <w:sz w:val="24"/>
          <w:shd w:fill="auto" w:val="clear"/>
        </w:rPr>
        <w:t xml:space="preserve">: tendência histórica e representações sobre necessidades, acesso e uso de serviços em cidades de quatro estados do Brasil (RN, PE, RJ, SP) [relatório de pesquisa ao CNPq]. São Paulo: Faculdade de Medicina, Universidade de São Paulo; 2009.</w:t>
      </w:r>
    </w:p>
    <w:p>
      <w:pPr>
        <w:spacing w:before="96" w:after="0" w:line="240"/>
        <w:ind w:right="129"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Figueroa-Perea JG. Algunos elementos para interpretar la presencia </w:t>
      </w:r>
      <w:r>
        <w:rPr>
          <w:rFonts w:ascii="Times New Roman" w:hAnsi="Times New Roman" w:cs="Times New Roman" w:eastAsia="Times New Roman"/>
          <w:color w:val="auto"/>
          <w:spacing w:val="-3"/>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los varones en los procesos de salud reproductiva. </w:t>
      </w:r>
      <w:r>
        <w:rPr>
          <w:rFonts w:ascii="Times New Roman" w:hAnsi="Times New Roman" w:cs="Times New Roman" w:eastAsia="Times New Roman"/>
          <w:i/>
          <w:color w:val="auto"/>
          <w:spacing w:val="0"/>
          <w:position w:val="0"/>
          <w:sz w:val="24"/>
          <w:shd w:fill="auto" w:val="clear"/>
        </w:rPr>
        <w:t xml:space="preserve">Cadernos de Saúde Pública.</w:t>
      </w:r>
      <w:r>
        <w:rPr>
          <w:rFonts w:ascii="Times New Roman" w:hAnsi="Times New Roman" w:cs="Times New Roman" w:eastAsia="Times New Roman"/>
          <w:i/>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1998,14(1):87-96.</w:t>
      </w:r>
    </w:p>
    <w:p>
      <w:pPr>
        <w:tabs>
          <w:tab w:val="left" w:pos="2523" w:leader="none"/>
          <w:tab w:val="left" w:pos="5734" w:leader="none"/>
          <w:tab w:val="left" w:pos="8245" w:leader="none"/>
        </w:tabs>
        <w:spacing w:before="96" w:after="0" w:line="240"/>
        <w:ind w:right="118"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Freitas </w:t>
      </w:r>
      <w:r>
        <w:rPr>
          <w:rFonts w:ascii="Times New Roman" w:hAnsi="Times New Roman" w:cs="Times New Roman" w:eastAsia="Times New Roman"/>
          <w:color w:val="auto"/>
          <w:spacing w:val="-3"/>
          <w:position w:val="0"/>
          <w:sz w:val="24"/>
          <w:shd w:fill="auto" w:val="clear"/>
        </w:rPr>
        <w:t xml:space="preserve">GL, </w:t>
      </w:r>
      <w:r>
        <w:rPr>
          <w:rFonts w:ascii="Times New Roman" w:hAnsi="Times New Roman" w:cs="Times New Roman" w:eastAsia="Times New Roman"/>
          <w:color w:val="auto"/>
          <w:spacing w:val="0"/>
          <w:position w:val="0"/>
          <w:sz w:val="24"/>
          <w:shd w:fill="auto" w:val="clear"/>
        </w:rPr>
        <w:t xml:space="preserve">Vasconcelos CTM, Moura ERF, Pinheiro </w:t>
      </w:r>
      <w:r>
        <w:rPr>
          <w:rFonts w:ascii="Times New Roman" w:hAnsi="Times New Roman" w:cs="Times New Roman" w:eastAsia="Times New Roman"/>
          <w:color w:val="auto"/>
          <w:spacing w:val="-3"/>
          <w:position w:val="0"/>
          <w:sz w:val="24"/>
          <w:shd w:fill="auto" w:val="clear"/>
        </w:rPr>
        <w:t xml:space="preserve">AKB. </w:t>
      </w:r>
      <w:r>
        <w:rPr>
          <w:rFonts w:ascii="Times New Roman" w:hAnsi="Times New Roman" w:cs="Times New Roman" w:eastAsia="Times New Roman"/>
          <w:color w:val="auto"/>
          <w:spacing w:val="0"/>
          <w:position w:val="0"/>
          <w:sz w:val="24"/>
          <w:shd w:fill="auto" w:val="clear"/>
        </w:rPr>
        <w:t xml:space="preserve">Discutindo a política de atenção à saúde </w:t>
      </w:r>
      <w:r>
        <w:rPr>
          <w:rFonts w:ascii="Times New Roman" w:hAnsi="Times New Roman" w:cs="Times New Roman" w:eastAsia="Times New Roman"/>
          <w:color w:val="auto"/>
          <w:spacing w:val="-3"/>
          <w:position w:val="0"/>
          <w:sz w:val="24"/>
          <w:shd w:fill="auto" w:val="clear"/>
        </w:rPr>
        <w:t xml:space="preserve">da </w:t>
      </w:r>
      <w:r>
        <w:rPr>
          <w:rFonts w:ascii="Times New Roman" w:hAnsi="Times New Roman" w:cs="Times New Roman" w:eastAsia="Times New Roman"/>
          <w:color w:val="auto"/>
          <w:spacing w:val="0"/>
          <w:position w:val="0"/>
          <w:sz w:val="24"/>
          <w:shd w:fill="auto" w:val="clear"/>
        </w:rPr>
        <w:t xml:space="preserve">mulher no contexto da promoção da saúde. Rev. Eletr. Enf.  [Internet].</w:t>
        <w:tab/>
        <w:t xml:space="preserve">2009;11(2):424-8.</w:t>
        <w:tab/>
        <w:t xml:space="preserve">Disponível</w:t>
        <w:tab/>
        <w:t xml:space="preserve">em: </w:t>
      </w:r>
      <w:hyperlink xmlns:r="http://schemas.openxmlformats.org/officeDocument/2006/relationships" r:id="docRId100">
        <w:r>
          <w:rPr>
            <w:rFonts w:ascii="Times New Roman" w:hAnsi="Times New Roman" w:cs="Times New Roman" w:eastAsia="Times New Roman"/>
            <w:color w:val="0000FF"/>
            <w:spacing w:val="0"/>
            <w:position w:val="0"/>
            <w:sz w:val="24"/>
            <w:u w:val="single"/>
            <w:shd w:fill="auto" w:val="clear"/>
          </w:rPr>
          <w:t xml:space="preserve">http://www.fen.ufg.br/revista/v11/n2/v11n2a26.htm.</w:t>
        </w:r>
      </w:hyperlink>
    </w:p>
    <w:p>
      <w:pPr>
        <w:spacing w:before="96" w:after="0" w:line="240"/>
        <w:ind w:right="125"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Geertz C. </w:t>
      </w:r>
      <w:r>
        <w:rPr>
          <w:rFonts w:ascii="Times New Roman" w:hAnsi="Times New Roman" w:cs="Times New Roman" w:eastAsia="Times New Roman"/>
          <w:i/>
          <w:color w:val="auto"/>
          <w:spacing w:val="0"/>
          <w:position w:val="0"/>
          <w:sz w:val="24"/>
          <w:shd w:fill="auto" w:val="clear"/>
        </w:rPr>
        <w:t xml:space="preserve">O saber local</w:t>
      </w:r>
      <w:r>
        <w:rPr>
          <w:rFonts w:ascii="Times New Roman" w:hAnsi="Times New Roman" w:cs="Times New Roman" w:eastAsia="Times New Roman"/>
          <w:color w:val="auto"/>
          <w:spacing w:val="0"/>
          <w:position w:val="0"/>
          <w:sz w:val="24"/>
          <w:shd w:fill="auto" w:val="clear"/>
        </w:rPr>
        <w:t xml:space="preserve">: novos ensaios de antropologia interpretativa. Petrópolis:  Vozes; 1997. Cap.3, p. 85-107: “Do ponto de vista dos nativos”: a natureza do entendimento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antropológico.</w:t>
      </w:r>
    </w:p>
    <w:p>
      <w:pPr>
        <w:spacing w:before="96" w:after="0" w:line="240"/>
        <w:ind w:right="117"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Geluda K, Bosi MLM, Cunha AJLA, Trajman A. "Quando um não quer, dois não brigam": um estudo sobre o não uso constante de preservativo masculino por adolescentes do Município do Rio de Janeiro, Brasil. </w:t>
      </w:r>
      <w:r>
        <w:rPr>
          <w:rFonts w:ascii="Times New Roman" w:hAnsi="Times New Roman" w:cs="Times New Roman" w:eastAsia="Times New Roman"/>
          <w:i/>
          <w:color w:val="auto"/>
          <w:spacing w:val="0"/>
          <w:position w:val="0"/>
          <w:sz w:val="24"/>
          <w:shd w:fill="auto" w:val="clear"/>
        </w:rPr>
        <w:t xml:space="preserve">Cad. Saúde Pública. </w:t>
      </w:r>
      <w:r>
        <w:rPr>
          <w:rFonts w:ascii="Times New Roman" w:hAnsi="Times New Roman" w:cs="Times New Roman" w:eastAsia="Times New Roman"/>
          <w:color w:val="auto"/>
          <w:spacing w:val="0"/>
          <w:position w:val="0"/>
          <w:sz w:val="24"/>
          <w:shd w:fill="auto" w:val="clear"/>
        </w:rPr>
        <w:t xml:space="preserve">2006;22(8):1671-80.</w:t>
      </w:r>
    </w:p>
    <w:p>
      <w:pPr>
        <w:spacing w:before="96"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Gomes R. </w:t>
      </w:r>
      <w:r>
        <w:rPr>
          <w:rFonts w:ascii="Times New Roman" w:hAnsi="Times New Roman" w:cs="Times New Roman" w:eastAsia="Times New Roman"/>
          <w:i/>
          <w:color w:val="auto"/>
          <w:spacing w:val="0"/>
          <w:position w:val="0"/>
          <w:sz w:val="24"/>
          <w:shd w:fill="auto" w:val="clear"/>
        </w:rPr>
        <w:t xml:space="preserve">Sexualidade masculina, gênero e saúde</w:t>
      </w:r>
      <w:r>
        <w:rPr>
          <w:rFonts w:ascii="Times New Roman" w:hAnsi="Times New Roman" w:cs="Times New Roman" w:eastAsia="Times New Roman"/>
          <w:color w:val="auto"/>
          <w:spacing w:val="0"/>
          <w:position w:val="0"/>
          <w:sz w:val="24"/>
          <w:shd w:fill="auto" w:val="clear"/>
        </w:rPr>
        <w:t xml:space="preserve">. Rio de Janeiro: Fiocruz, 2008.</w:t>
      </w:r>
    </w:p>
    <w:p>
      <w:pPr>
        <w:spacing w:before="69" w:after="0" w:line="240"/>
        <w:ind w:right="121"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Kalckmann S. Incursões ao desconhecido: percepções de homens sobre a saúde reprodutiva e sexual. In: Arilha M, Unbehaum </w:t>
      </w:r>
      <w:r>
        <w:rPr>
          <w:rFonts w:ascii="Times New Roman" w:hAnsi="Times New Roman" w:cs="Times New Roman" w:eastAsia="Times New Roman"/>
          <w:color w:val="auto"/>
          <w:spacing w:val="-3"/>
          <w:position w:val="0"/>
          <w:sz w:val="24"/>
          <w:shd w:fill="auto" w:val="clear"/>
        </w:rPr>
        <w:t xml:space="preserve">SG, </w:t>
      </w:r>
      <w:r>
        <w:rPr>
          <w:rFonts w:ascii="Times New Roman" w:hAnsi="Times New Roman" w:cs="Times New Roman" w:eastAsia="Times New Roman"/>
          <w:color w:val="auto"/>
          <w:spacing w:val="0"/>
          <w:position w:val="0"/>
          <w:sz w:val="24"/>
          <w:shd w:fill="auto" w:val="clear"/>
        </w:rPr>
        <w:t xml:space="preserve">Medrado </w:t>
      </w:r>
      <w:r>
        <w:rPr>
          <w:rFonts w:ascii="Times New Roman" w:hAnsi="Times New Roman" w:cs="Times New Roman" w:eastAsia="Times New Roman"/>
          <w:color w:val="auto"/>
          <w:spacing w:val="-3"/>
          <w:position w:val="0"/>
          <w:sz w:val="24"/>
          <w:shd w:fill="auto" w:val="clear"/>
        </w:rPr>
        <w:t xml:space="preserve">B, </w:t>
      </w:r>
      <w:r>
        <w:rPr>
          <w:rFonts w:ascii="Times New Roman" w:hAnsi="Times New Roman" w:cs="Times New Roman" w:eastAsia="Times New Roman"/>
          <w:color w:val="auto"/>
          <w:spacing w:val="0"/>
          <w:position w:val="0"/>
          <w:sz w:val="24"/>
          <w:shd w:fill="auto" w:val="clear"/>
        </w:rPr>
        <w:t xml:space="preserve">organizadores. </w:t>
      </w:r>
      <w:r>
        <w:rPr>
          <w:rFonts w:ascii="Times New Roman" w:hAnsi="Times New Roman" w:cs="Times New Roman" w:eastAsia="Times New Roman"/>
          <w:i/>
          <w:color w:val="auto"/>
          <w:spacing w:val="0"/>
          <w:position w:val="0"/>
          <w:sz w:val="24"/>
          <w:shd w:fill="auto" w:val="clear"/>
        </w:rPr>
        <w:t xml:space="preserve">Homens e masculinidades</w:t>
      </w:r>
      <w:r>
        <w:rPr>
          <w:rFonts w:ascii="Times New Roman" w:hAnsi="Times New Roman" w:cs="Times New Roman" w:eastAsia="Times New Roman"/>
          <w:color w:val="auto"/>
          <w:spacing w:val="0"/>
          <w:position w:val="0"/>
          <w:sz w:val="24"/>
          <w:shd w:fill="auto" w:val="clear"/>
        </w:rPr>
        <w:t xml:space="preserve">: outras palavras. São Paulo: ECOS./Ed. 34; 1998. p.</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79-99.</w:t>
      </w:r>
    </w:p>
    <w:p>
      <w:pPr>
        <w:spacing w:before="96" w:after="0" w:line="240"/>
        <w:ind w:right="121"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Kimmel M. </w:t>
      </w:r>
      <w:r>
        <w:rPr>
          <w:rFonts w:ascii="Times New Roman" w:hAnsi="Times New Roman" w:cs="Times New Roman" w:eastAsia="Times New Roman"/>
          <w:color w:val="auto"/>
          <w:spacing w:val="-4"/>
          <w:position w:val="0"/>
          <w:sz w:val="24"/>
          <w:shd w:fill="auto" w:val="clear"/>
        </w:rPr>
        <w:t xml:space="preserve">La</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produccíon teórica sobre la masculinidad: nuevos aportes. </w:t>
      </w:r>
      <w:r>
        <w:rPr>
          <w:rFonts w:ascii="Times New Roman" w:hAnsi="Times New Roman" w:cs="Times New Roman" w:eastAsia="Times New Roman"/>
          <w:i/>
          <w:color w:val="auto"/>
          <w:spacing w:val="0"/>
          <w:position w:val="0"/>
          <w:sz w:val="24"/>
          <w:shd w:fill="auto" w:val="clear"/>
        </w:rPr>
        <w:t xml:space="preserve">Isis internacional - Ediciones de las mujeres </w:t>
      </w:r>
      <w:r>
        <w:rPr>
          <w:rFonts w:ascii="Times New Roman" w:hAnsi="Times New Roman" w:cs="Times New Roman" w:eastAsia="Times New Roman"/>
          <w:color w:val="auto"/>
          <w:spacing w:val="0"/>
          <w:position w:val="0"/>
          <w:sz w:val="24"/>
          <w:shd w:fill="auto" w:val="clear"/>
        </w:rPr>
        <w:t xml:space="preserve">(Santiago). 1992;17:129-38.</w:t>
      </w:r>
    </w:p>
    <w:p>
      <w:pPr>
        <w:spacing w:before="96" w:after="0" w:line="240"/>
        <w:ind w:right="124"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Laqueur T. </w:t>
      </w:r>
      <w:r>
        <w:rPr>
          <w:rFonts w:ascii="Times New Roman" w:hAnsi="Times New Roman" w:cs="Times New Roman" w:eastAsia="Times New Roman"/>
          <w:i/>
          <w:color w:val="auto"/>
          <w:spacing w:val="0"/>
          <w:position w:val="0"/>
          <w:sz w:val="24"/>
          <w:shd w:fill="auto" w:val="clear"/>
        </w:rPr>
        <w:t xml:space="preserve">Inventando o sexo</w:t>
      </w:r>
      <w:r>
        <w:rPr>
          <w:rFonts w:ascii="Times New Roman" w:hAnsi="Times New Roman" w:cs="Times New Roman" w:eastAsia="Times New Roman"/>
          <w:color w:val="auto"/>
          <w:spacing w:val="0"/>
          <w:position w:val="0"/>
          <w:sz w:val="24"/>
          <w:shd w:fill="auto" w:val="clear"/>
        </w:rPr>
        <w:t xml:space="preserve">: corpo e gênero dos gregos a Freud. Rio de Janeiro: Relume Dumará, 2001.</w:t>
      </w:r>
    </w:p>
    <w:p>
      <w:pPr>
        <w:spacing w:before="96" w:after="0" w:line="240"/>
        <w:ind w:right="119"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Leal OF, Boff AM. Insultos, queixas, sedução e sexualidade: fragmentos de identidade masculina em uma perspectiva relacional. In: Parker R, Barbosa R, organizadores. </w:t>
      </w:r>
      <w:r>
        <w:rPr>
          <w:rFonts w:ascii="Times New Roman" w:hAnsi="Times New Roman" w:cs="Times New Roman" w:eastAsia="Times New Roman"/>
          <w:i/>
          <w:color w:val="auto"/>
          <w:spacing w:val="0"/>
          <w:position w:val="0"/>
          <w:sz w:val="24"/>
          <w:shd w:fill="auto" w:val="clear"/>
        </w:rPr>
        <w:t xml:space="preserve">Sexualidades brasileiras</w:t>
      </w:r>
      <w:r>
        <w:rPr>
          <w:rFonts w:ascii="Times New Roman" w:hAnsi="Times New Roman" w:cs="Times New Roman" w:eastAsia="Times New Roman"/>
          <w:color w:val="auto"/>
          <w:spacing w:val="0"/>
          <w:position w:val="0"/>
          <w:sz w:val="24"/>
          <w:shd w:fill="auto" w:val="clear"/>
        </w:rPr>
        <w:t xml:space="preserve">. Rio de Janeiro: Relume-Dumará/ABIA-IMS-UERJ; 1996. p.119-35.</w:t>
      </w:r>
    </w:p>
    <w:p>
      <w:pPr>
        <w:spacing w:before="96" w:after="0" w:line="324"/>
        <w:ind w:right="12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Paim JS. </w:t>
      </w:r>
      <w:r>
        <w:rPr>
          <w:rFonts w:ascii="Times New Roman" w:hAnsi="Times New Roman" w:cs="Times New Roman" w:eastAsia="Times New Roman"/>
          <w:i/>
          <w:color w:val="auto"/>
          <w:spacing w:val="0"/>
          <w:position w:val="0"/>
          <w:sz w:val="24"/>
          <w:shd w:fill="auto" w:val="clear"/>
        </w:rPr>
        <w:t xml:space="preserve">Desafios para a saúde coletiva no século XXI</w:t>
      </w:r>
      <w:r>
        <w:rPr>
          <w:rFonts w:ascii="Times New Roman" w:hAnsi="Times New Roman" w:cs="Times New Roman" w:eastAsia="Times New Roman"/>
          <w:color w:val="auto"/>
          <w:spacing w:val="0"/>
          <w:position w:val="0"/>
          <w:sz w:val="24"/>
          <w:shd w:fill="auto" w:val="clear"/>
        </w:rPr>
        <w:t xml:space="preserve">. Salvador: EDUFBA; 2006. Peirano M. </w:t>
      </w:r>
      <w:r>
        <w:rPr>
          <w:rFonts w:ascii="Times New Roman" w:hAnsi="Times New Roman" w:cs="Times New Roman" w:eastAsia="Times New Roman"/>
          <w:i/>
          <w:color w:val="auto"/>
          <w:spacing w:val="0"/>
          <w:position w:val="0"/>
          <w:sz w:val="24"/>
          <w:shd w:fill="auto" w:val="clear"/>
        </w:rPr>
        <w:t xml:space="preserve">A favor da etnografia</w:t>
      </w:r>
      <w:r>
        <w:rPr>
          <w:rFonts w:ascii="Times New Roman" w:hAnsi="Times New Roman" w:cs="Times New Roman" w:eastAsia="Times New Roman"/>
          <w:color w:val="auto"/>
          <w:spacing w:val="0"/>
          <w:position w:val="0"/>
          <w:sz w:val="24"/>
          <w:shd w:fill="auto" w:val="clear"/>
        </w:rPr>
        <w:t xml:space="preserve">. Rio de Janeiro: Relume Dumará; 1995.</w:t>
      </w:r>
    </w:p>
    <w:p>
      <w:pPr>
        <w:spacing w:before="3" w:after="0" w:line="240"/>
        <w:ind w:right="118"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Portella AP, Medrado B, Souza CM, Nascimento P, Diniz S. </w:t>
      </w:r>
      <w:r>
        <w:rPr>
          <w:rFonts w:ascii="Times New Roman" w:hAnsi="Times New Roman" w:cs="Times New Roman" w:eastAsia="Times New Roman"/>
          <w:i/>
          <w:color w:val="auto"/>
          <w:spacing w:val="0"/>
          <w:position w:val="0"/>
          <w:sz w:val="24"/>
          <w:shd w:fill="auto" w:val="clear"/>
        </w:rPr>
        <w:t xml:space="preserve">Homens</w:t>
      </w:r>
      <w:r>
        <w:rPr>
          <w:rFonts w:ascii="Times New Roman" w:hAnsi="Times New Roman" w:cs="Times New Roman" w:eastAsia="Times New Roman"/>
          <w:color w:val="auto"/>
          <w:spacing w:val="0"/>
          <w:position w:val="0"/>
          <w:sz w:val="24"/>
          <w:shd w:fill="auto" w:val="clear"/>
        </w:rPr>
        <w:t xml:space="preserve">: Sexualidades, direitos e construção da pessoa. Recife: SOS CORPO - Gênero e Cidadania; Instituto PAPAI, 2004.</w:t>
      </w:r>
    </w:p>
    <w:p>
      <w:pPr>
        <w:spacing w:before="96" w:after="0" w:line="240"/>
        <w:ind w:right="124"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Rohden F, editora. </w:t>
      </w:r>
      <w:r>
        <w:rPr>
          <w:rFonts w:ascii="Times New Roman" w:hAnsi="Times New Roman" w:cs="Times New Roman" w:eastAsia="Times New Roman"/>
          <w:i/>
          <w:color w:val="auto"/>
          <w:spacing w:val="0"/>
          <w:position w:val="0"/>
          <w:sz w:val="24"/>
          <w:shd w:fill="auto" w:val="clear"/>
        </w:rPr>
        <w:t xml:space="preserve">Uma ciência da diferença</w:t>
      </w:r>
      <w:r>
        <w:rPr>
          <w:rFonts w:ascii="Times New Roman" w:hAnsi="Times New Roman" w:cs="Times New Roman" w:eastAsia="Times New Roman"/>
          <w:color w:val="auto"/>
          <w:spacing w:val="0"/>
          <w:position w:val="0"/>
          <w:sz w:val="24"/>
          <w:shd w:fill="auto" w:val="clear"/>
        </w:rPr>
        <w:t xml:space="preserve">: sexo e gênero na medicina da mulher. Rio de Janeiro: Fiocruz, 2001.</w:t>
      </w:r>
    </w:p>
    <w:p>
      <w:pPr>
        <w:spacing w:before="96" w:after="0" w:line="240"/>
        <w:ind w:right="131"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Rohden F. Diferenças de gênero e medicalização da sexualidade na criação do diagnóstico das disfunções sexuais. </w:t>
      </w:r>
      <w:r>
        <w:rPr>
          <w:rFonts w:ascii="Times New Roman" w:hAnsi="Times New Roman" w:cs="Times New Roman" w:eastAsia="Times New Roman"/>
          <w:i/>
          <w:color w:val="auto"/>
          <w:spacing w:val="0"/>
          <w:position w:val="0"/>
          <w:sz w:val="24"/>
          <w:shd w:fill="auto" w:val="clear"/>
        </w:rPr>
        <w:t xml:space="preserve">Rev. Estud. Fem. </w:t>
      </w:r>
      <w:r>
        <w:rPr>
          <w:rFonts w:ascii="Times New Roman" w:hAnsi="Times New Roman" w:cs="Times New Roman" w:eastAsia="Times New Roman"/>
          <w:color w:val="auto"/>
          <w:spacing w:val="0"/>
          <w:position w:val="0"/>
          <w:sz w:val="24"/>
          <w:shd w:fill="auto" w:val="clear"/>
        </w:rPr>
        <w:t xml:space="preserve">2009;17(1):89-109.</w:t>
      </w:r>
    </w:p>
    <w:p>
      <w:pPr>
        <w:spacing w:before="96" w:after="0" w:line="240"/>
        <w:ind w:right="121"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Rohden L. Hermenêutica e linguagem. In: Almeida CLS, Flickinger HG, Rohden, L, organizadores. </w:t>
      </w:r>
      <w:r>
        <w:rPr>
          <w:rFonts w:ascii="Times New Roman" w:hAnsi="Times New Roman" w:cs="Times New Roman" w:eastAsia="Times New Roman"/>
          <w:i/>
          <w:color w:val="auto"/>
          <w:spacing w:val="0"/>
          <w:position w:val="0"/>
          <w:sz w:val="24"/>
          <w:shd w:fill="auto" w:val="clear"/>
        </w:rPr>
        <w:t xml:space="preserve">Hermenêutica filosófica</w:t>
      </w:r>
      <w:r>
        <w:rPr>
          <w:rFonts w:ascii="Times New Roman" w:hAnsi="Times New Roman" w:cs="Times New Roman" w:eastAsia="Times New Roman"/>
          <w:color w:val="auto"/>
          <w:spacing w:val="0"/>
          <w:position w:val="0"/>
          <w:sz w:val="24"/>
          <w:shd w:fill="auto" w:val="clear"/>
        </w:rPr>
        <w:t xml:space="preserve">: nas trilhas de Hans-Georg Gadamer. Porto Alegre: EDIPUCRS; 2000. p. 151-202</w:t>
      </w:r>
    </w:p>
    <w:p>
      <w:pPr>
        <w:spacing w:before="96" w:after="0" w:line="240"/>
        <w:ind w:right="119"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Schraiber LB. Saúde dos homens... e mulheres: questões de gênero na saúde coletiva [prefácio]. In: Gomes R. </w:t>
      </w:r>
      <w:r>
        <w:rPr>
          <w:rFonts w:ascii="Times New Roman" w:hAnsi="Times New Roman" w:cs="Times New Roman" w:eastAsia="Times New Roman"/>
          <w:i/>
          <w:color w:val="auto"/>
          <w:spacing w:val="0"/>
          <w:position w:val="0"/>
          <w:sz w:val="24"/>
          <w:shd w:fill="auto" w:val="clear"/>
        </w:rPr>
        <w:t xml:space="preserve">Sexualidade masculina, gênero e saúde</w:t>
      </w:r>
      <w:r>
        <w:rPr>
          <w:rFonts w:ascii="Times New Roman" w:hAnsi="Times New Roman" w:cs="Times New Roman" w:eastAsia="Times New Roman"/>
          <w:color w:val="auto"/>
          <w:spacing w:val="0"/>
          <w:position w:val="0"/>
          <w:sz w:val="24"/>
          <w:shd w:fill="auto" w:val="clear"/>
        </w:rPr>
        <w:t xml:space="preserve">. Rio de Janeiro: Fiocruz; 2008. p. 7-20.</w:t>
      </w:r>
    </w:p>
    <w:p>
      <w:pPr>
        <w:spacing w:before="96" w:after="0" w:line="240"/>
        <w:ind w:right="116"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Schraiber LB, Mendes-Gonçalves RB. Necessidades de saúde e Atenção Primária. In: Schraiber LB, Nemes MIB, Mendes-Gonçalves RB, organizadores. </w:t>
      </w:r>
      <w:r>
        <w:rPr>
          <w:rFonts w:ascii="Times New Roman" w:hAnsi="Times New Roman" w:cs="Times New Roman" w:eastAsia="Times New Roman"/>
          <w:i/>
          <w:color w:val="auto"/>
          <w:spacing w:val="0"/>
          <w:position w:val="0"/>
          <w:sz w:val="24"/>
          <w:shd w:fill="auto" w:val="clear"/>
        </w:rPr>
        <w:t xml:space="preserve">Saúde do adulto</w:t>
      </w:r>
      <w:r>
        <w:rPr>
          <w:rFonts w:ascii="Times New Roman" w:hAnsi="Times New Roman" w:cs="Times New Roman" w:eastAsia="Times New Roman"/>
          <w:color w:val="auto"/>
          <w:spacing w:val="0"/>
          <w:position w:val="0"/>
          <w:sz w:val="24"/>
          <w:shd w:fill="auto" w:val="clear"/>
        </w:rPr>
        <w:t xml:space="preserve">: programas e ações na unidade básica. São Paulo: Hucitec; 2000. p. 29-47.</w:t>
      </w:r>
    </w:p>
    <w:p>
      <w:pPr>
        <w:spacing w:before="96" w:after="0" w:line="240"/>
        <w:ind w:right="136"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 Gênero: uma categoria útil de análise histórica. In: Lopes EMT, Louro GL, organizadoras. </w:t>
      </w:r>
      <w:r>
        <w:rPr>
          <w:rFonts w:ascii="Times New Roman" w:hAnsi="Times New Roman" w:cs="Times New Roman" w:eastAsia="Times New Roman"/>
          <w:i/>
          <w:color w:val="auto"/>
          <w:spacing w:val="0"/>
          <w:position w:val="0"/>
          <w:sz w:val="24"/>
          <w:shd w:fill="auto" w:val="clear"/>
        </w:rPr>
        <w:t xml:space="preserve">Educação e Realidade</w:t>
      </w:r>
      <w:r>
        <w:rPr>
          <w:rFonts w:ascii="Times New Roman" w:hAnsi="Times New Roman" w:cs="Times New Roman" w:eastAsia="Times New Roman"/>
          <w:color w:val="auto"/>
          <w:spacing w:val="0"/>
          <w:position w:val="0"/>
          <w:sz w:val="24"/>
          <w:shd w:fill="auto" w:val="clear"/>
        </w:rPr>
        <w:t xml:space="preserve">. 1990;16( 2):5-22.</w:t>
      </w:r>
    </w:p>
    <w:p>
      <w:pPr>
        <w:spacing w:before="96" w:after="0" w:line="240"/>
        <w:ind w:right="116"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P. Gênero, família e comunidades: observações e aportes teóricos sobre o Programa Saúde da Família. In: Villela W, Monteiro S, organizadores. </w:t>
      </w:r>
      <w:r>
        <w:rPr>
          <w:rFonts w:ascii="Times New Roman" w:hAnsi="Times New Roman" w:cs="Times New Roman" w:eastAsia="Times New Roman"/>
          <w:i/>
          <w:color w:val="auto"/>
          <w:spacing w:val="0"/>
          <w:position w:val="0"/>
          <w:sz w:val="24"/>
          <w:shd w:fill="auto" w:val="clear"/>
        </w:rPr>
        <w:t xml:space="preserve">Gênero e saúde</w:t>
      </w:r>
      <w:r>
        <w:rPr>
          <w:rFonts w:ascii="Times New Roman" w:hAnsi="Times New Roman" w:cs="Times New Roman" w:eastAsia="Times New Roman"/>
          <w:color w:val="auto"/>
          <w:spacing w:val="0"/>
          <w:position w:val="0"/>
          <w:sz w:val="24"/>
          <w:shd w:fill="auto" w:val="clear"/>
        </w:rPr>
        <w:t xml:space="preserve">: Programa Saúde da Família em questão. Rio de Janeiro: ABRASCO/Brasília: Fundo de População das Nações Unidas; 2005. p. 73-98.</w:t>
      </w:r>
    </w:p>
    <w:p>
      <w:pPr>
        <w:spacing w:before="96" w:after="0" w:line="240"/>
        <w:ind w:right="131"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Sohn AM. O corpo sexuado. In: Corbin A, Courtine JJ, Vigarello G, coordenadores. </w:t>
      </w:r>
      <w:r>
        <w:rPr>
          <w:rFonts w:ascii="Times New Roman" w:hAnsi="Times New Roman" w:cs="Times New Roman" w:eastAsia="Times New Roman"/>
          <w:i/>
          <w:color w:val="auto"/>
          <w:spacing w:val="0"/>
          <w:position w:val="0"/>
          <w:sz w:val="24"/>
          <w:shd w:fill="auto" w:val="clear"/>
        </w:rPr>
        <w:t xml:space="preserve">História do corpo</w:t>
      </w:r>
      <w:r>
        <w:rPr>
          <w:rFonts w:ascii="Times New Roman" w:hAnsi="Times New Roman" w:cs="Times New Roman" w:eastAsia="Times New Roman"/>
          <w:color w:val="auto"/>
          <w:spacing w:val="0"/>
          <w:position w:val="0"/>
          <w:sz w:val="24"/>
          <w:shd w:fill="auto" w:val="clear"/>
        </w:rPr>
        <w:t xml:space="preserve">: As mutações do olhar: o século XX. Tradução de E. F. Alves. Petrópolis: Vozes; 2008. 3v. p. 109-54.</w:t>
      </w:r>
    </w:p>
    <w:p>
      <w:pPr>
        <w:spacing w:before="96" w:after="0" w:line="240"/>
        <w:ind w:right="128"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Tesser CD. Medicalização social (I): o excessivo sucesso do epistemicídio moderno na saúde. </w:t>
      </w:r>
      <w:r>
        <w:rPr>
          <w:rFonts w:ascii="Times New Roman" w:hAnsi="Times New Roman" w:cs="Times New Roman" w:eastAsia="Times New Roman"/>
          <w:i/>
          <w:color w:val="auto"/>
          <w:spacing w:val="0"/>
          <w:position w:val="0"/>
          <w:sz w:val="24"/>
          <w:shd w:fill="auto" w:val="clear"/>
        </w:rPr>
        <w:t xml:space="preserve">Interface (Botucatu)</w:t>
      </w:r>
      <w:r>
        <w:rPr>
          <w:rFonts w:ascii="Times New Roman" w:hAnsi="Times New Roman" w:cs="Times New Roman" w:eastAsia="Times New Roman"/>
          <w:color w:val="auto"/>
          <w:spacing w:val="0"/>
          <w:position w:val="0"/>
          <w:sz w:val="24"/>
          <w:shd w:fill="auto" w:val="clear"/>
        </w:rPr>
        <w:t xml:space="preserve">. 2006;10(19):61-76</w:t>
      </w:r>
    </w:p>
    <w:p>
      <w:pPr>
        <w:spacing w:before="96" w:after="0" w:line="240"/>
        <w:ind w:right="0" w:left="10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Valdés T, Olavarría J, editores. </w:t>
      </w:r>
      <w:r>
        <w:rPr>
          <w:rFonts w:ascii="Times New Roman" w:hAnsi="Times New Roman" w:cs="Times New Roman" w:eastAsia="Times New Roman"/>
          <w:i/>
          <w:color w:val="auto"/>
          <w:spacing w:val="0"/>
          <w:position w:val="0"/>
          <w:sz w:val="24"/>
          <w:shd w:fill="auto" w:val="clear"/>
        </w:rPr>
        <w:t xml:space="preserve">Masculinidades y equidad de género en América Latina.</w:t>
      </w:r>
    </w:p>
    <w:p>
      <w:pPr>
        <w:spacing w:before="0"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Santiago, Chile: FLACSO. 1998.</w:t>
      </w:r>
    </w:p>
    <w:p>
      <w:pPr>
        <w:spacing w:before="96"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Vieira EM. </w:t>
      </w:r>
      <w:r>
        <w:rPr>
          <w:rFonts w:ascii="Times New Roman" w:hAnsi="Times New Roman" w:cs="Times New Roman" w:eastAsia="Times New Roman"/>
          <w:i/>
          <w:color w:val="auto"/>
          <w:spacing w:val="0"/>
          <w:position w:val="0"/>
          <w:sz w:val="24"/>
          <w:shd w:fill="auto" w:val="clear"/>
        </w:rPr>
        <w:t xml:space="preserve">A medicalização do corpo feminino</w:t>
      </w:r>
      <w:r>
        <w:rPr>
          <w:rFonts w:ascii="Times New Roman" w:hAnsi="Times New Roman" w:cs="Times New Roman" w:eastAsia="Times New Roman"/>
          <w:color w:val="auto"/>
          <w:spacing w:val="0"/>
          <w:position w:val="0"/>
          <w:sz w:val="24"/>
          <w:shd w:fill="auto" w:val="clear"/>
        </w:rPr>
        <w:t xml:space="preserve">. Rio de Janeiro: Fiocruz, 2002.</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Mulher, ciência e tecnologias</w:t>
      </w:r>
    </w:p>
    <w:p>
      <w:pPr>
        <w:spacing w:before="0" w:after="20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RESUMO</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estudo “Mulher, ciência e tecnologias” foi realizado pela pesquisadora Helena Célia de Souza Sacerdote sob orientação do professor Sérgio Cozzetti Bertoldi de Souza (professor-orientador) pertencentes ao corpo técnico-administrativo do Centro Universitário de Brasília – UniCEUB do Distrito Federal - DF, utilizando-se de estudo de caso da Instituição de Ensino Superior (IES) por meio de dados colhidos no sistema de gerenciamento de informações acadêmicas. Esta pesquisa tem por objetivo levantar dados históricos que comprovem a capacidade da mulher em oferecer contribuições científicas, principalmente na área de tecnologias. Visa traçar um cenário da posição da mulher nos aspectos: demográfico, político e acadêmico. Busca conhecer, utilizando-se de um estudo de caso em uma instituição de ensino superior privada do DF, qual a distribuição por gênero dos alunos formados na IES nos últimos 9 (nove) semestres letivos (1º/2006 a 1º/2010). Busca levantar qual o número de mulheres formadas especificamente nos cursos na área de tecnologias (Ciências da Computação, Engenharia de Computação e Tecnológico em Análise de Sistemas) no mesmo período e contexto. Com esses dados pretende-se realizar uma comparação entre o percentual de alunos formados classificados por gênero em nível de graduação da IES pesquisada com o percentual de alunos formados classificados por gênero em nível de graduação especificamente nos cursos da área de tecnologias para perceber se há igualdade de gênero nessa área. Observou-se uma discrepância apresentada entre o percentual de alunos formados (em todos os cursos) em que predomina o gênero feminino (63,97%) e o percentual de alunos formados especificamente nos cursos da área de tecnologias em que o gênero feminino apresenta apenas 13,15% do total de formados. Percebeu-se que a queda do número de alunos formados nos cursos da área de tecnologias do gênero feminino, apresentada no 1º semestre de 2008 (8,41), quando comparada aos demais é incompatível com o crescimento vertiginoso das tecnologias na sociedade moderna que se denomina sociedade do conhecimento ou era da informação que, de acordo com Capurro e Hjørland (2007, p. 148) são características decorrentes do “surgimento da tecnologia da informação e seus impactos globais”, “embora o conhecimento e a sua comunicação sejam fenômenos básicos de toda sociedade humana”. Apresenta a posição do gênero feminino, no período entre os anos de 1996 e 2008, entre os formados em nível de doutorado em todas as áreas baseada no levantamento de dados demográficos da base técnico-científica brasileira pelo Centro de Gestão e Estudos Estratégicos (CGEE). Faz um breve histórico da posição da mulher na política embora não seja essa a ênfase do estudo.</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Com o resultado dessa pesquisa, pretende-se oferecer subsídios, em nível quantitativo, a pesquisadores e autoridades competentes para pensar em formas de inclusão da mulher em cursos de graduação na área de tecnologias com a finalidade de promover a igualdade de gênero no campo da educação inclusiva e não sexista contribuindo assim para uma sociedade mais humana e igualitária. A pesquisa conclui que, embora o gênero feminino se constitua a maioria da população, a maioria dos alunos matriculados nos cursos superiores nas IES brasileiras e também a maioria dos alunos formados nos cursos superiores oferecidos da IES onde foi realizado o estudo de caso dessa pesquisa, isso não torna a posição da mulher igualitária quando comparada ao número de alunos formados nos cursos da área de tecnologias em nível de graduação. A proposta deste estudo está na sugestão da implantação de políticas públicas que possibilitem a formação de mulheres em nível de graduação nos cursos da área de tecnologias como forma de diminuir diferenças de gênero nessa área baseado em relatos de experiências positivas nos Estados Unidos.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w:t>
      </w:r>
      <w:r>
        <w:rPr>
          <w:rFonts w:ascii="Times New Roman" w:hAnsi="Times New Roman" w:cs="Times New Roman" w:eastAsia="Times New Roman"/>
          <w:color w:val="auto"/>
          <w:spacing w:val="0"/>
          <w:position w:val="0"/>
          <w:sz w:val="24"/>
          <w:shd w:fill="auto" w:val="clear"/>
        </w:rPr>
        <w:t xml:space="preserve">: mulher, ciência, tecnologias, graduação, doutores.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INTRODUÇÃO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Há um consenso entre alguns pesquisadores, tais como Mesquita e Soares (2008), Hayashi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(2007), Castells (2001) e Soares (2001) que, por questões históricas, culturais e biológicas a ciência é masculina e os cientistas estão associados à figura masculina.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Castells (2001) entende que as mulheres têm educação menos orientada para as tecnologias durante a vida, sendo esse um dos motivos que dificultam o seu acesso a essa área. Para a autora, isso é o que se chama de código de conduta inconsciente, interpretada como uma questão cultural observada em diversos países ao redor do mundo.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da história, percebe-se que a capacidade intelectual da mulher é subestimada e o saber desvinculado do gênero feminino. De acordo com Pérez (2007, pp. 5-6), na Grécia de Platão e Aristóteles as mulheres tinham o mesmo </w:t>
      </w:r>
      <w:r>
        <w:rPr>
          <w:rFonts w:ascii="Times New Roman" w:hAnsi="Times New Roman" w:cs="Times New Roman" w:eastAsia="Times New Roman"/>
          <w:i/>
          <w:color w:val="auto"/>
          <w:spacing w:val="0"/>
          <w:position w:val="0"/>
          <w:sz w:val="24"/>
          <w:shd w:fill="auto" w:val="clear"/>
        </w:rPr>
        <w:t xml:space="preserve">status</w:t>
      </w:r>
      <w:r>
        <w:rPr>
          <w:rFonts w:ascii="Times New Roman" w:hAnsi="Times New Roman" w:cs="Times New Roman" w:eastAsia="Times New Roman"/>
          <w:color w:val="auto"/>
          <w:spacing w:val="0"/>
          <w:position w:val="0"/>
          <w:sz w:val="24"/>
          <w:shd w:fill="auto" w:val="clear"/>
        </w:rPr>
        <w:t xml:space="preserve"> social que os escravos. Segundo o autor, Aristóteles teria dito que a mulher</w:t>
      </w:r>
      <w:r>
        <w:rPr>
          <w:rFonts w:ascii="Times New Roman" w:hAnsi="Times New Roman" w:cs="Times New Roman" w:eastAsia="Times New Roman"/>
          <w:i/>
          <w:color w:val="auto"/>
          <w:spacing w:val="0"/>
          <w:position w:val="0"/>
          <w:sz w:val="24"/>
          <w:shd w:fill="auto" w:val="clear"/>
        </w:rPr>
        <w:t xml:space="preserve"> “era sólo un hombre deforme</w:t>
      </w:r>
      <w:r>
        <w:rPr>
          <w:rFonts w:ascii="Times New Roman" w:hAnsi="Times New Roman" w:cs="Times New Roman" w:eastAsia="Times New Roman"/>
          <w:color w:val="auto"/>
          <w:spacing w:val="0"/>
          <w:position w:val="0"/>
          <w:sz w:val="24"/>
          <w:shd w:fill="auto" w:val="clear"/>
        </w:rPr>
        <w:t xml:space="preserve">” e Einsten “</w:t>
      </w:r>
      <w:r>
        <w:rPr>
          <w:rFonts w:ascii="Times New Roman" w:hAnsi="Times New Roman" w:cs="Times New Roman" w:eastAsia="Times New Roman"/>
          <w:i/>
          <w:color w:val="auto"/>
          <w:spacing w:val="0"/>
          <w:position w:val="0"/>
          <w:sz w:val="24"/>
          <w:shd w:fill="auto" w:val="clear"/>
        </w:rPr>
        <w:t xml:space="preserve">No me imagino a una mujer Galileo, ni Kepler, ni Miguel Angel, aunque les queda el consuelo de que fueron mujeres las que crearon a Galileo, Kepler y Miguel Angel</w:t>
      </w:r>
      <w:r>
        <w:rPr>
          <w:rFonts w:ascii="Times New Roman" w:hAnsi="Times New Roman" w:cs="Times New Roman" w:eastAsia="Times New Roman"/>
          <w:color w:val="auto"/>
          <w:spacing w:val="0"/>
          <w:position w:val="0"/>
          <w:sz w:val="24"/>
          <w:shd w:fill="auto" w:val="clear"/>
        </w:rPr>
        <w:t xml:space="preserve">”.  Essas declarações emitidas por gênios da ciência demonstram profundo desprezo pela hipótese de que algumas das figuras históricas da ciência pudessem ser do gênero feminino.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Alguns autores, entre eles Hayashi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(2007), entendem que o gênero feminino tem sido preterido dentro da comunidade científica e sua capacidade desqualificada:</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 momento em que a ciência moderna se institucionaliza e se legitima, a mulher é dela excluída, repetindo uma dupla norma: a mulher é admitida na atividade científica praticamente como igual até que esta atividade se institucionalize ou se profissionalize; e o papel de uma mulher em determinada atividade científica é inversamente proporcional ao prestígio dessa atividade. Conforme o prestígio da atividade aumenta, diminui o papel da mulher. (HAYASHI; CABRERO; COSTA; HAYASHI, 2007, p.171).</w:t>
      </w:r>
    </w:p>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distorções em relação ao gênero feminino ainda podem ser verificadas na ocupação profissional em algumas áreas do conhecimento, na remuneração percebida em muitas funções e no acesso a educação em alguns níveis acadêmicos, acentuando-se nos cursos da área de tecnologias em nível de graduação.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Breve histórico da mulher na área de tecnologias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Mesmo não sendo reconhecidas por muitos dos seus pares da comunidade científica do gênero masculino, algumas mulheres deixaram marcas inegáveis na história da humanidade. De acordo com dados históricos levantados por Rolka (2004) há um número considerável de mulheres que trouxeram contribuições para o progresso da ciência, entre elas: a filósofa e matemática grega Hipatia (370 - 415 d.C.), a matemática e física francesa Émilie du Chatelet (1706 – 1749), a astrônoma alemã que descobriu o planeta Urano, nebulosas e também um cometa, Caroline Herschel (1750 - 1848), a química francesa Marie Lavoisier (1758 – 1836),  a matemática,  física e filósofa francesa Sophie Germain (1776 – 1831),   a botânica, matemática, astrônoma e física escocesa Mary Fairfax Somerville (1780 – 1872), a física polonesa Marie Curie (1867 – 1934), entre outras.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dessas mulheres cientistas, convém evidenciar uma mulher também citada por Rolka (2004), na área de tecnologias, cuja produção continua refletindo na sociedade moderna do século XXI dominada pelas pressões do avanço das tecnologias dos tempos que se denomina a era da informação e do conhecimento.  Apesar de, a área tecnológica ser considerada território de domínio masculino ainda na atualidade, ironicamente, o primeiro programa para computadores foi criado por uma mulher, a matemática inglesa Ada Augusta Byron King, Condessa de Lovelace</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(1815 – 1852), sendo por isso considerada a precursora da programação para computadores. Foi ela quem criou o programa para operação da máquina analítica, o primeiro computador de uso geral inventado pelo cientista Charles Babbage, considerado o pai da computação.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informações históricas colhidas no</w:t>
      </w:r>
      <w:r>
        <w:rPr>
          <w:rFonts w:ascii="Times New Roman" w:hAnsi="Times New Roman" w:cs="Times New Roman" w:eastAsia="Times New Roman"/>
          <w:i/>
          <w:color w:val="auto"/>
          <w:spacing w:val="0"/>
          <w:position w:val="0"/>
          <w:sz w:val="24"/>
          <w:shd w:fill="auto" w:val="clear"/>
        </w:rPr>
        <w:t xml:space="preserve"> site</w:t>
      </w:r>
      <w:r>
        <w:rPr>
          <w:rFonts w:ascii="Times New Roman" w:hAnsi="Times New Roman" w:cs="Times New Roman" w:eastAsia="Times New Roman"/>
          <w:color w:val="auto"/>
          <w:spacing w:val="0"/>
          <w:position w:val="0"/>
          <w:sz w:val="24"/>
          <w:shd w:fill="auto" w:val="clear"/>
        </w:rPr>
        <w:t xml:space="preserve"> Museu do Computador, Ada Byron traduziu e complementou de forma detalhada, uma produção de Luigi Frederico - o Conde de Menabrea, a respeito do funcionamento da máquina de Babbage. Nesse trabalho, Ada estabeleceu os conceitos básicos da programação de computadores, tais como, os saltos condicionais e as repetições conhecidas na área de informática como “</w:t>
      </w:r>
      <w:r>
        <w:rPr>
          <w:rFonts w:ascii="Times New Roman" w:hAnsi="Times New Roman" w:cs="Times New Roman" w:eastAsia="Times New Roman"/>
          <w:i/>
          <w:color w:val="auto"/>
          <w:spacing w:val="0"/>
          <w:position w:val="0"/>
          <w:sz w:val="24"/>
          <w:shd w:fill="auto" w:val="clear"/>
        </w:rPr>
        <w:t xml:space="preserve">loops</w:t>
      </w:r>
      <w:r>
        <w:rPr>
          <w:rFonts w:ascii="Times New Roman" w:hAnsi="Times New Roman" w:cs="Times New Roman" w:eastAsia="Times New Roman"/>
          <w:color w:val="auto"/>
          <w:spacing w:val="0"/>
          <w:position w:val="0"/>
          <w:sz w:val="24"/>
          <w:shd w:fill="auto" w:val="clear"/>
        </w:rPr>
        <w:t xml:space="preserve">” nomeados por ela como “</w:t>
      </w:r>
      <w:r>
        <w:rPr>
          <w:rFonts w:ascii="Times New Roman" w:hAnsi="Times New Roman" w:cs="Times New Roman" w:eastAsia="Times New Roman"/>
          <w:i/>
          <w:color w:val="auto"/>
          <w:spacing w:val="0"/>
          <w:position w:val="0"/>
          <w:sz w:val="24"/>
          <w:shd w:fill="auto" w:val="clear"/>
        </w:rPr>
        <w:t xml:space="preserve">cycles of operation</w:t>
      </w:r>
      <w:r>
        <w:rPr>
          <w:rFonts w:ascii="Times New Roman" w:hAnsi="Times New Roman" w:cs="Times New Roman" w:eastAsia="Times New Roman"/>
          <w:color w:val="auto"/>
          <w:spacing w:val="0"/>
          <w:position w:val="0"/>
          <w:sz w:val="24"/>
          <w:shd w:fill="auto" w:val="clear"/>
        </w:rPr>
        <w:t xml:space="preserve">”. O artigo foi publicado em 1843 e amplamente divulgado na comunidade científica da época assinado com a sigla A.A.L. para que a atribuição do nome de Ada Byron ao trabalho não causasse rejeição devido ao seu gênero.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Pérez (2007), o Departamento de Defesa dos Estados Unidos nomeou a sua linguagem de programação para computadores, no ano de 1979, como “Ada” em reconhecimento ao trabalho científico de Ada Byron, a Condessa de Lovelace.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Foi nesta mesma época, entre as décadas de 60 e 70, em meio ao comportamento rebelde da juventude, que surgiu o feminismo. A partir daí a mulher passou a alcançar algumas conquistas profissionais, financeiras, sexuais e comportamentais.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Trajetória da mulher na sociedade moderna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despeito de relatos históricos desfavoráveis, ao longo de muitos anos, a mulher foi acrescentando à imagem de mãe e esposa outras características, como a profissional e a líder, e ainda a sua independência financeira. Tem dado voz aos seus direitos e trazendo ao conhecimento público as suas contribuições passadas e presentes sejam na área da ciência e tecnologias ou em outras áreas em que aos poucos vão conquistando espaço e reconhecimento.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Vencendo as barreiras impostas pela sociedade, as mulheres têm concluído ainda que timidamente quando comparado ao gênero masculino, os cursos acadêmicos na área de tecnologias alcançando também posições em funções e postos de trabalho de domínio masculino. Nas áreas do conhecimento em geral, em nível de graduação, elas têm conquistado posição de destaque quando observados os números de alunos tanto matriculados como formados em todas as IES brasileiras.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artigo jornalístico publicado no Jornal A Folha de São Paulo (2010):</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Apesar de ainda ganharem menos que os homens, no quesito escolaridade as mulheres possuem indicativos maiores que os eles: 63,7% das mulheres têm ensino superior, 44,2% são graduadas e 19,5% pós-graduadas. No caso dos homens o percentual é de 55,3%, 38% com graduação e 17,3% com pós.</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em relação a conquistas em nível acadêmico (em diversas áreas do conhecimento), a partir de 2004, as mulheres deixaram de ser minoria entre os doutores titulados no Brasil, de acordo com levantamento de dados demográficos da base técnico-científica brasileira pelo Centro de Gestão e Estudos Estratégicos (CGEE), conforme o gráfico a seguir:</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object w:dxaOrig="7292" w:dyaOrig="4242">
          <v:rect xmlns:o="urn:schemas-microsoft-com:office:office" xmlns:v="urn:schemas-microsoft-com:vml" id="rectole0000000025" style="width:364.600000pt;height:212.100000pt" o:preferrelative="t" o:ole="">
            <o:lock v:ext="edit"/>
            <v:imagedata xmlns:r="http://schemas.openxmlformats.org/officeDocument/2006/relationships" r:id="docRId102" o:title=""/>
          </v:rect>
          <o:OLEObject xmlns:r="http://schemas.openxmlformats.org/officeDocument/2006/relationships" xmlns:o="urn:schemas-microsoft-com:office:office" Type="Embed" ProgID="StaticMetafile" DrawAspect="Content" ObjectID="0000000025" ShapeID="rectole0000000025" r:id="docRId101"/>
        </w:object>
      </w:r>
    </w:p>
    <w:p>
      <w:pPr>
        <w:spacing w:before="0" w:after="0" w:line="36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Fonte: CGEE, 2010, p. 41.</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a pesquisa do CGEE (2010, p. 43), em 2008 a mulher chegou a ser 51,5% dos doutores titulados no Brasil envolvendo todas as áreas do conhecimento, o que “pode ser considerado </w:t>
      </w:r>
      <w:r>
        <w:rPr>
          <w:rFonts w:ascii="Times New Roman" w:hAnsi="Times New Roman" w:cs="Times New Roman" w:eastAsia="Times New Roman"/>
          <w:color w:val="000000"/>
          <w:spacing w:val="0"/>
          <w:position w:val="0"/>
          <w:sz w:val="24"/>
          <w:shd w:fill="auto" w:val="clear"/>
        </w:rPr>
        <w:t xml:space="preserve">um marco das conquistas femininas no esforço de redução das desigualdades de gênero</w:t>
      </w:r>
      <w:r>
        <w:rPr>
          <w:rFonts w:ascii="Times New Roman" w:hAnsi="Times New Roman" w:cs="Times New Roman" w:eastAsia="Times New Roman"/>
          <w:color w:val="auto"/>
          <w:spacing w:val="0"/>
          <w:position w:val="0"/>
          <w:sz w:val="24"/>
          <w:shd w:fill="auto" w:val="clear"/>
        </w:rPr>
        <w:t xml:space="preserve">”. Essa pesquisa também aponta que, no ano de 2004, o Brasil “emerge como um dos poucos </w:t>
      </w:r>
      <w:r>
        <w:rPr>
          <w:rFonts w:ascii="Times New Roman" w:hAnsi="Times New Roman" w:cs="Times New Roman" w:eastAsia="Times New Roman"/>
          <w:color w:val="000000"/>
          <w:spacing w:val="0"/>
          <w:position w:val="0"/>
          <w:sz w:val="24"/>
          <w:shd w:fill="auto" w:val="clear"/>
        </w:rPr>
        <w:t xml:space="preserve">países no qual as mulheres não eram minoria entre os doutores”. Diante dos países em que as mulheres conquistaram a maioria de doutores titulados no ano de 2004, o Brasil (50,6%) ficou atrás apenas de Portugal (54,7%) e Itália (50,9%), ficando bem próximo dessa.</w:t>
      </w:r>
    </w:p>
    <w:p>
      <w:pPr>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7603" w:dyaOrig="4743">
          <v:rect xmlns:o="urn:schemas-microsoft-com:office:office" xmlns:v="urn:schemas-microsoft-com:vml" id="rectole0000000026" style="width:380.150000pt;height:237.150000pt" o:preferrelative="t" o:ole="">
            <o:lock v:ext="edit"/>
            <v:imagedata xmlns:r="http://schemas.openxmlformats.org/officeDocument/2006/relationships" r:id="docRId104" o:title=""/>
          </v:rect>
          <o:OLEObject xmlns:r="http://schemas.openxmlformats.org/officeDocument/2006/relationships" xmlns:o="urn:schemas-microsoft-com:office:office" Type="Embed" ProgID="StaticMetafile" DrawAspect="Content" ObjectID="0000000026" ShapeID="rectole0000000026" r:id="docRId103"/>
        </w:object>
      </w:r>
    </w:p>
    <w:p>
      <w:pPr>
        <w:spacing w:before="0" w:after="0" w:line="36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Fonte: CGEE, 2010, p. 43.</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Nogueira Filho (2010), a maioria da população brasileira é constituída por mulheres e sua expectativa de vida também é superior quando comparada ao gênero masculino. O autor faz uma projeção indicando que no ano de 2050 a população brasileira será constituída por cerca de 6 milhões a mais do que o gênero masculino e que na atualidade esse número está em cerca de 2,5 milhões. Outro dado importante para esse estudo, indicado pelo autor, é que a “proporção de matrículas das mulheres no ensino superior é de 55,71%”.</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Mesmo se constituindo maioria da população e também a maioria em relação a alunos matriculados e em cursos superiores nas IES brasileiras na atualidade, esses não têm sido fatores que favoreceram para que a mulher seja inserida proporcionalmente  na área acadêmica nos cursos de graduação da área de tecnologias e alcancem espaço que possibilitem sua contribuição científica para essa área.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Soares (2001), nos Estados Unidos a presença da mulher na ciência e na tecnologia é uma das mais altas quando comparadas a países em que dados estatísticos estão disponibilizados. A autora entende que isso se dá como reflexo de um programa criado em 1981, nomeado como </w:t>
      </w:r>
      <w:r>
        <w:rPr>
          <w:rFonts w:ascii="Times New Roman" w:hAnsi="Times New Roman" w:cs="Times New Roman" w:eastAsia="Times New Roman"/>
          <w:i/>
          <w:color w:val="auto"/>
          <w:spacing w:val="0"/>
          <w:position w:val="0"/>
          <w:sz w:val="24"/>
          <w:shd w:fill="auto" w:val="clear"/>
        </w:rPr>
        <w:t xml:space="preserve">Women in Science,</w:t>
      </w:r>
      <w:r>
        <w:rPr>
          <w:rFonts w:ascii="Times New Roman" w:hAnsi="Times New Roman" w:cs="Times New Roman" w:eastAsia="Times New Roman"/>
          <w:color w:val="auto"/>
          <w:spacing w:val="0"/>
          <w:position w:val="0"/>
          <w:sz w:val="24"/>
          <w:shd w:fill="auto" w:val="clear"/>
        </w:rPr>
        <w:t xml:space="preserve"> que promove no nível equivalente ao ensino médio brasileiro bolsas de curta duração para estudantes visando despertar o interesse do gênero feminino para a área da ciência e tecnologias, em laboratórios universitários de pesquisas. Aparentemente, políticas públicas poderiam fazer diferença para diminuir a desigualdade entre gênero na ciência e tecnologias a exemplo de experiências como a dos Estados Unidos.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autora cita que o mesmo tipo de programa nomeado como </w:t>
      </w:r>
      <w:r>
        <w:rPr>
          <w:rFonts w:ascii="Times New Roman" w:hAnsi="Times New Roman" w:cs="Times New Roman" w:eastAsia="Times New Roman"/>
          <w:i/>
          <w:color w:val="auto"/>
          <w:spacing w:val="0"/>
          <w:position w:val="0"/>
          <w:sz w:val="24"/>
          <w:shd w:fill="auto" w:val="clear"/>
        </w:rPr>
        <w:t xml:space="preserve">Women and Science</w:t>
      </w:r>
      <w:r>
        <w:rPr>
          <w:rFonts w:ascii="Times New Roman" w:hAnsi="Times New Roman" w:cs="Times New Roman" w:eastAsia="Times New Roman"/>
          <w:color w:val="auto"/>
          <w:spacing w:val="0"/>
          <w:position w:val="0"/>
          <w:sz w:val="24"/>
          <w:shd w:fill="auto" w:val="clear"/>
        </w:rPr>
        <w:t xml:space="preserve"> está sendo implantado em países membros da comunidade europeia visando estimular o aumento da participação feminina na ciência e tecnologias.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se pode observar, não somente o Brasil, mas também a comunidade internacional está realizando ações de estímulo ao ensino e a pesquisa em prol da igualdade de gênero na área de ciência e tecnologias.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quando da realização deste estudo, não foram encontradas iniciativas de políticas públicas brasileiras que favoreçam o acesso da mulher à educação na área de tecnologias em nível de graduação onde ela ainda se constitui minoria, embora a história comprove que ela pode contribuir em nível igualitário, quando comparado ao gênero masculino, para o desenvolvimento da ciência e das tecnologias.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A mulher e a política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Fazendo uma breve referência à área política, cabe citar que, de acordo com Nogueira Filho (2010), desde o ano 2000, as mulheres se constituem não apenas a maioria da população brasileira, mas também, a maioria do eleitorado. No entanto, o autor enfatiza que, em relação às mulheres, “em 2002 ainda eram apenas 11,6% dos vereadores, 10,5% dos deputados estaduais e distritais, 6,7% dos congressistas, 5,7% dos prefeitos e 3,7% dos governadores”.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incentivar a inclusão da mulher no campo político, a Lei 9.100/95 no Art. 11 – V - </w:t>
      </w:r>
      <w:r>
        <w:rPr>
          <w:rFonts w:ascii="Arial" w:hAnsi="Arial" w:cs="Arial" w:eastAsia="Arial"/>
          <w:color w:val="auto"/>
          <w:spacing w:val="0"/>
          <w:position w:val="0"/>
          <w:sz w:val="20"/>
          <w:shd w:fill="auto" w:val="clear"/>
        </w:rPr>
        <w:t xml:space="preserve">§ 3º </w:t>
      </w:r>
      <w:r>
        <w:rPr>
          <w:rFonts w:ascii="Times New Roman" w:hAnsi="Times New Roman" w:cs="Times New Roman" w:eastAsia="Times New Roman"/>
          <w:color w:val="auto"/>
          <w:spacing w:val="0"/>
          <w:position w:val="0"/>
          <w:sz w:val="24"/>
          <w:shd w:fill="auto" w:val="clear"/>
        </w:rPr>
        <w:t xml:space="preserve">dispõe a respeito de um percentual mínimo de 20% de candidatas do gênero feminino para as vagas de cada partido ou coligação, o que garante a sua efetiva participação nessa área. De acordo com Nogueira Filho (2010), “pela lei, a proporção das vagas para as mulheres nas eleições de 1996 seria de 20%, passando a 25% em 1998, chegando em 2008 a 30%”. É claro que muitos esforços ainda têm que ser empregados para que se chegue perto desse número. No entanto, o foco deste artigo não se constitui o aspecto político. Isso está sendo citado como exemplo de uma política pública criada e implantada com êxito, ainda que com resultados que estão sendo alcançados de forma paulatina, com o objetivo de alcançar níveis igualitários de gênero também nas estruturas de poder da sociedade moderna.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OBJETIVOS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artigo surgiu da proposta ao 6º Prêmio Construindo a Igualdade de Gênero – Edição 2010, parte integrante do Plano Nacional de Políticas para as Mulheres (PNPM), implantado em dezembro de 2004 pela Secretaria Especial de Políticas para as Mulheres (SPM)/Presidência da República, com o objetivo de refletir a respeito do papel da mulher e sua contribuição científica e tecnológica para o avanço da ciência.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tema pesquisado está contido no campo “educação inclusiva e não sexista – mulher e ciência”, propondo uma reflexão a respeito de ações que venham contribuir para a promoção da mulher no campo das ciências e nas carreiras acadêmicas, a despeito da desigualdade de gênero existente na formação acadêmica superior em nível de graduação nos cursos da área de tecnologias.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pesquisa tem por objetivo levantar dados históricos que comprovem a capacidade da mulher em oferecer contribuições científicas, principalmente na área de tecnologias. Visa traçar um cenário da posição da mulher nos aspectos: demográfico, político e acadêmico. Busca conhecer, utilizando-se de um estudo de caso em uma instituição de ensino superior privada do Distrito Federal, qual a distribuição por gênero dos alunos formados na IES nos últimos 9 (nove) semestres letivos. Busca levantar qual o número de mulheres formadas especificamente nos cursos na área de tecnologias (Ciências da Computação, Engenharia de Computação e Tecnológico em Análise de Sistemas) no mesmo período e contexto. Com esses dados pretende-se realizar uma comparação entre o percentual de alunos formados classificados por gênero em nível de graduação da IES pesquisada com o percentual de alunos formados classificados por gênero em nível de graduação especificamente nos cursos da área de tecnologias para perceber se há igualdade de gênero nessa área.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resultado desse estudo, pretende-se oferecer subsídios, em nível quantitativo, a pesquisadores e autoridades competentes pensar formas de inclusão da mulher em cursos de graduação na área de tecnologias com a finalidade de promover a igualdade de gênero no campo da educação inclusiva e não sexista contribuindo assim para uma sociedade mais humana e igualitária.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METODOLOGIA</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estudo, a princípio, visava traçar o perfil da mulher graduada na área de tecnologias e ativas no mercado de trabalho, sua vida profissional e as dificuldades encontradas tanto no período da graduação quanto na sua inserção, permanência e crescimento no mercado de trabalho em nível qualitativo. No entanto, não foi possível dentro prazo disponível para a coleta de dados, encontrar essas mulheres em número satisfatório para que contribuíssem com a pesquisa. Isso demonstrou, de certa maneira, a dificuldade de se identificar amostras dessa população na sociedade moderna.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Então, a pesquisa voltou-se para o aspecto quantitativo em que se buscou analisar dados históricos que comprovam a participação significativa da mulher no campo tecnológico e científico além de uma breve abordagem da mulher nos contextos: demográfico, político e acadêmico. Também buscou conhecer a sua presença comparada ao gênero masculino em uma população de alunos formados ao longo dos últimos 9 (nove) semestres em cursos da área de tecnologias em nível de graduação, quais sejam: Ciências da Computação, Engenharia de Computação e Tecnológico em Análise de Sistemas com duração de 8 (oito), 10 (dez) e 4 (quatro) semestres respectivamente. Além disso, foi realizada uma comparação classificada por gênero do total dos alunos formados em nível de graduação no mesmo período na IES pesquisada visando identificar a posição em percentual da mulher em nível global dentro da amostra da população.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foi realizada por meio de uma abordagem quantitativa em uma IES privada do Distrito Federal que possui tradição de ensino superior de mais de 40 anos nos seus cursos de graduação e que também oferece cursos em nível de pós-graduação </w:t>
      </w:r>
      <w:r>
        <w:rPr>
          <w:rFonts w:ascii="Times New Roman" w:hAnsi="Times New Roman" w:cs="Times New Roman" w:eastAsia="Times New Roman"/>
          <w:i/>
          <w:color w:val="auto"/>
          <w:spacing w:val="0"/>
          <w:position w:val="0"/>
          <w:sz w:val="24"/>
          <w:shd w:fill="auto" w:val="clear"/>
        </w:rPr>
        <w:t xml:space="preserve">lato</w:t>
      </w:r>
      <w:r>
        <w:rPr>
          <w:rFonts w:ascii="Times New Roman" w:hAnsi="Times New Roman" w:cs="Times New Roman" w:eastAsia="Times New Roman"/>
          <w:color w:val="auto"/>
          <w:spacing w:val="0"/>
          <w:position w:val="0"/>
          <w:sz w:val="24"/>
          <w:shd w:fill="auto" w:val="clear"/>
        </w:rPr>
        <w:t xml:space="preserve"> e </w:t>
      </w:r>
      <w:r>
        <w:rPr>
          <w:rFonts w:ascii="Times New Roman" w:hAnsi="Times New Roman" w:cs="Times New Roman" w:eastAsia="Times New Roman"/>
          <w:i/>
          <w:color w:val="auto"/>
          <w:spacing w:val="0"/>
          <w:position w:val="0"/>
          <w:sz w:val="24"/>
          <w:shd w:fill="auto" w:val="clear"/>
        </w:rPr>
        <w:t xml:space="preserve">stricto sensu</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IES dispõe de uma ferramenta tecnológica de gestão acadêmica e administrativa de onde serão colhidas as informações referentes aos alunos formados em nível de graduação classificados por gênero no seu número total e também especificamente nos cursos da área de tecnologias nos últimos 9 (nove) semestres letivos para a realização desta pesquisa.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Gil (1999), do ponto de vista dos objetivos, a pesquisa se classifica como exploratória, envolvendo o estudo de caso e o levantamento bibliográfico.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estudo de caso, foram coletados e analisados dados obtidos do sistema de gestão acadêmica e administrativa da IES em relação aos alunos classificados por gênero formados em seu número total e também o número daqueles formados nos cursos de tecnologia (Ciências da Computação, Engenharia de Computação e Tecnológico em Análise de Sistemas) oferecidos pela IES formados durante os anos de 2006 a 2010 levando em conta os primeiros e segundos semestres de cada ano (com exceção do ano de 2010 em que foi considerado apenas o 1º semestre). O total dos alunos formados em nível de graduação no mesmo período na IES pesquisada classificado por gênero foi comparado aos dados relativos especificamente à aos alunos formados nos cursos da área de tecnologias.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levantamento bibliográfico foram colhidas informações históricas e dados de pesquisas realizadas por órgãos oficiais com informações relevantes a respeito da mulher e sua atuação nas áreas, acadêmica, científica, tecnológica, política e demográfica em meios eletrônicos (</w:t>
      </w:r>
      <w:r>
        <w:rPr>
          <w:rFonts w:ascii="Times New Roman" w:hAnsi="Times New Roman" w:cs="Times New Roman" w:eastAsia="Times New Roman"/>
          <w:i/>
          <w:color w:val="auto"/>
          <w:spacing w:val="0"/>
          <w:position w:val="0"/>
          <w:sz w:val="24"/>
          <w:shd w:fill="auto" w:val="clear"/>
        </w:rPr>
        <w:t xml:space="preserve">sites</w:t>
      </w:r>
      <w:r>
        <w:rPr>
          <w:rFonts w:ascii="Times New Roman" w:hAnsi="Times New Roman" w:cs="Times New Roman" w:eastAsia="Times New Roman"/>
          <w:color w:val="auto"/>
          <w:spacing w:val="0"/>
          <w:position w:val="0"/>
          <w:sz w:val="24"/>
          <w:shd w:fill="auto" w:val="clear"/>
        </w:rPr>
        <w:t xml:space="preserve"> e artigos publicados na </w:t>
      </w:r>
      <w:r>
        <w:rPr>
          <w:rFonts w:ascii="Times New Roman" w:hAnsi="Times New Roman" w:cs="Times New Roman" w:eastAsia="Times New Roman"/>
          <w:i/>
          <w:color w:val="auto"/>
          <w:spacing w:val="0"/>
          <w:position w:val="0"/>
          <w:sz w:val="24"/>
          <w:shd w:fill="auto" w:val="clear"/>
        </w:rPr>
        <w:t xml:space="preserve">internet</w:t>
      </w:r>
      <w:r>
        <w:rPr>
          <w:rFonts w:ascii="Times New Roman" w:hAnsi="Times New Roman" w:cs="Times New Roman" w:eastAsia="Times New Roman"/>
          <w:color w:val="auto"/>
          <w:spacing w:val="0"/>
          <w:position w:val="0"/>
          <w:sz w:val="24"/>
          <w:shd w:fill="auto" w:val="clear"/>
        </w:rPr>
        <w:t xml:space="preserve">) buscando levantar se o fator gênero é determinante quando da contribuição do indivíduo para o desenvolvimento da ciência e das tecnologias.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RESULTADOS DA PESQUISA E DISCUSSÃO</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Análise quantitativa dos alunos formados em cursos de todas as áreas em nível de graduação durante os anos de 2006 a 2010 classificados por gênero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2010, o total de alunos que concluíram os cursos de graduação na IES estudada foram 943, sendo 407 homens (43,16%) e 536 mulheres (56,84%).  Foi nesse semestre que houve a maior aproximação dos percentuais quando considerados os gêneros dos alunos formados em cursos de todas as áreas oferecidas pela IES estudada no período dos últimos 9 (nove) semestres letivos (observar o gráfico 4.1.2).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2009, o total de alunos que concluíram os cursos de graduação na IES estudada foram 1060 alunos, sendo 445 homens (41,98%) e 615 mulheres (58,02%).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2009, o total de alunos que concluíram os cursos de graduação na IES estudada foram 1163 alunos, sendo 455  homens (39,12%) e 708 mulheres (60,88%).</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2008, o total de alunos que concluíram os cursos de graduação na IES estudada foram 1180 alunos, sendo 470  homens (39,83%) e 1180 mulheres (60,17%).</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2008, o total de alunos que concluíram os cursos de graduação na IES estudada foram 1343 alunos, sendo 554  homens (41,25%) e 789 mulheres (58,75%).</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2007, o total de alunos que concluíram os cursos de graduação na IES estudada foram 1306 alunos, sendo 503  homens (38,51%) e 803 mulheres (61,49%).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2007, o total de alunos que concluíram os cursos de graduação na IES estudada foram 1510 alunos, sendo 595 homens (39,4%) e 915 mulheres (60,6%).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2006, o total de alunos que concluíram os cursos de graduação na IES estudada foram 1152 alunos, sendo 449  homens (38,98%) e 703 mulheres (61,02%).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2006, o total de alunos que concluíram os cursos de graduação na IES estudada foram 2421 alunos, sendo 575 homens (23,75%) e 342 mulheres (57,87%).</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Foi nesse semestre que houve o maior distanciamento dos percentuais quando considerados os gêneros dos alunos formados em cursos de todas as áreas oferecidas pela IES estudada no período dos últimos 9 (nove) semestres letivos (observar o gráfico 4.1.2).</w:t>
      </w:r>
    </w:p>
    <w:tbl>
      <w:tblPr>
        <w:tblInd w:w="65" w:type="dxa"/>
      </w:tblPr>
      <w:tblGrid>
        <w:gridCol w:w="960"/>
        <w:gridCol w:w="960"/>
        <w:gridCol w:w="960"/>
        <w:gridCol w:w="960"/>
        <w:gridCol w:w="960"/>
        <w:gridCol w:w="960"/>
      </w:tblGrid>
      <w:tr>
        <w:trPr>
          <w:trHeight w:val="300" w:hRule="auto"/>
          <w:jc w:val="center"/>
        </w:trPr>
        <w:tc>
          <w:tcPr>
            <w:tcW w:w="960" w:type="dxa"/>
            <w:tcBorders>
              <w:top w:val="single" w:color="000000" w:sz="4"/>
              <w:left w:val="single" w:color="000000" w:sz="4"/>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ano/sem</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masc</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fem</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total</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 masc</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 fem</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1-2006</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575</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1846</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2421</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23,75</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b/>
                <w:color w:val="FF0000"/>
                <w:spacing w:val="0"/>
                <w:position w:val="0"/>
                <w:sz w:val="22"/>
                <w:shd w:fill="auto" w:val="clear"/>
              </w:rPr>
              <w:t xml:space="preserve">76,25</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2-2006</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600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1251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1851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32,41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67,59</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1-2007</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503</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803</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1306</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38,51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61,49</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2-2007</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595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915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1510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39,40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60,60</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1-2008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470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710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1180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39,83</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60,17</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554</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789</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1343</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41,25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58,75</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1-2009</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445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615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1060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41,98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58,02</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2-2009</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455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708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1163</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39,12</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60,88</w:t>
            </w:r>
          </w:p>
        </w:tc>
      </w:tr>
      <w:tr>
        <w:trPr>
          <w:trHeight w:val="300" w:hRule="auto"/>
          <w:jc w:val="center"/>
        </w:trPr>
        <w:tc>
          <w:tcPr>
            <w:tcW w:w="960" w:type="dxa"/>
            <w:tcBorders>
              <w:top w:val="single" w:color="000000" w:sz="0"/>
              <w:left w:val="single" w:color="000000" w:sz="4"/>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lef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1-2010</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407</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536</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943</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43,16</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b/>
                <w:color w:val="FF0000"/>
                <w:spacing w:val="0"/>
                <w:position w:val="0"/>
                <w:sz w:val="22"/>
                <w:shd w:fill="auto" w:val="clear"/>
              </w:rPr>
              <w:t xml:space="preserve">56,84</w:t>
            </w:r>
          </w:p>
        </w:tc>
      </w:tr>
      <w:tr>
        <w:trPr>
          <w:trHeight w:val="300" w:hRule="auto"/>
          <w:jc w:val="center"/>
        </w:trPr>
        <w:tc>
          <w:tcPr>
            <w:tcW w:w="9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4604</w:t>
            </w:r>
          </w:p>
        </w:tc>
        <w:tc>
          <w:tcPr>
            <w:tcW w:w="9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8173</w:t>
            </w:r>
          </w:p>
        </w:tc>
        <w:tc>
          <w:tcPr>
            <w:tcW w:w="9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12777</w:t>
            </w:r>
          </w:p>
        </w:tc>
        <w:tc>
          <w:tcPr>
            <w:tcW w:w="9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36,03</w:t>
            </w:r>
          </w:p>
        </w:tc>
        <w:tc>
          <w:tcPr>
            <w:tcW w:w="960" w:type="dxa"/>
            <w:tcBorders>
              <w:top w:val="single" w:color="000000" w:sz="0"/>
              <w:left w:val="single" w:color="000000" w:sz="0"/>
              <w:bottom w:val="single" w:color="000000" w:sz="0"/>
              <w:right w:val="single" w:color="000000" w:sz="0"/>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b/>
                <w:color w:val="FF0000"/>
                <w:spacing w:val="0"/>
                <w:position w:val="0"/>
                <w:sz w:val="22"/>
                <w:shd w:fill="auto" w:val="clear"/>
              </w:rPr>
              <w:t xml:space="preserve">63,97</w:t>
            </w:r>
          </w:p>
        </w:tc>
      </w:tr>
    </w:tbl>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Quadro 4.1.1: Alunos formados em todos os cursos em nível de graduação classificados por gênero durante os anos de 2006 a 2010</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se observa no gráfico a seguir, no período analisado houve um permanente distanciamento entre os formados classificados por gênero com predominância do gênero feminino. Pelo fato de que a mulher representa a maioria da população a sua maioria entre os alunos formados é esperada. No entanto, o fato não se repete quando se compara aos alunos formados em nível de graduação na área de tecnologias por gênero (observar o gráfico 4.2.2).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object w:dxaOrig="6935" w:dyaOrig="4147">
          <v:rect xmlns:o="urn:schemas-microsoft-com:office:office" xmlns:v="urn:schemas-microsoft-com:vml" id="rectole0000000027" style="width:346.750000pt;height:207.350000pt" o:preferrelative="t" o:ole="">
            <o:lock v:ext="edit"/>
            <v:imagedata xmlns:r="http://schemas.openxmlformats.org/officeDocument/2006/relationships" r:id="docRId106" o:title=""/>
          </v:rect>
          <o:OLEObject xmlns:r="http://schemas.openxmlformats.org/officeDocument/2006/relationships" xmlns:o="urn:schemas-microsoft-com:office:office" Type="Embed" ProgID="StaticMetafile" DrawAspect="Content" ObjectID="0000000027" ShapeID="rectole0000000027" r:id="docRId105"/>
        </w:objec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Gráfico 4.1.2: Alunos formados em todos os cursos em nível de graduação classificados por gênero durante os anos de 2006 a 2010</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Análise quantitativa dos alunos formados nos cursos da área de tecnologias em nível de graduação durante os anos de 2006 a 2010 classificados por gênero</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2010, concluíram os cursos na área de tecnologias (Ciências da Computação, Engenharia de Computação e Tecnológico em Análise de Sistemas) na IES estudada 76 alunos, sendo 65 homens (85,53%) e 11 mulheres (14,47%).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2009, concluíram os cursos na área de tecnologias (Ciências da Computação, Engenharia de Computação e Tecnológico em Análise de Sistemas) na IES estudada 96 alunos, sendo 84 homens (87,5%) e 12 mulheres (12,5%).</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2009, concluíram os cursos na área de tecnologias (Ciências da Computação, Engenharia de Computação e Tecnológico em Análise de Sistemas) na IES estudada 95 alunos sendo, 77  homens (81,05%) e 18 mulheres (18,95%).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2008, concluíram os cursos na área de tecnologias (Ciências da Computação, Engenharia de Computação e Tecnológico em Análise de Sistemas) na IES estudada 107 alunos, sendo 98  homens (91,59%) e 9 mulheres (8,41%). Observa-se que esse período foi o que apresentou o menor percentual de alunos do gênero feminino formados nos últimos 9 (nove) semestres, o que demonstra um caminho inverso ao crescimento acelerado das tecnologias na sociedade moderna que se denomina sociedade do conhecimento ou era da informação e das mudanças advindas desse fenômeno. De acordo com Capurro e Hjørland (2007, p. 148), “embora o conhecimento e a sua comunicação sejam fenômenos básicos de toda sociedade humana, é o surgimento da tecnologia da informação e seus impactos globais que caracterizam a nossa sociedade como uma sociedade da informação”.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2008, concluíram os cursos na área de tecnologias (Ciências da Computação, Engenharia de Computação e Tecnológico em Análise de Sistemas) na IES estudada 110 alunos, sendo 110  homens (90,16%) e 12 mulheres (9,84%).</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2007, concluíram os cursos na área de tecnologias (Ciências da Computação, Engenharia de Computação e Tecnológico em Análise de Sistemas) na IES estudada 80 alunos, sendo 88  homens (90,91%) e 8 mulheres (9,09%).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2007, concluíram os cursos na área de tecnologias (Ciências da Computação, Engenharia de Computação e Tecnológico em Análise de Sistemas) na IES estudada 142 alunos, sendo 121 homens (85,21%) e 21 mulheres (14,79%).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semestre de 2006, concluíram os cursos na área de tecnologias (Ciências da Computação, Engenharia de Computação e Tecnológico em Análise de Sistemas) na IES estudada 64 alunos, sendo 55  homens (85,94%) e 9 mulheres (14,06%).</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semestre de 2006, concluíram os cursos na área de tecnologias (Ciências da Computação, Engenharia de Computação e Tecnológico em Análise de Sistemas) na IES estudada 107 alunos, sendo 89  homens (83,81%) e 18 mulheres (16,82%).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tbl>
      <w:tblPr>
        <w:tblInd w:w="56" w:type="dxa"/>
      </w:tblPr>
      <w:tblGrid>
        <w:gridCol w:w="1500"/>
        <w:gridCol w:w="960"/>
        <w:gridCol w:w="960"/>
        <w:gridCol w:w="960"/>
        <w:gridCol w:w="960"/>
        <w:gridCol w:w="960"/>
      </w:tblGrid>
      <w:tr>
        <w:trPr>
          <w:trHeight w:val="300" w:hRule="auto"/>
          <w:jc w:val="center"/>
        </w:trPr>
        <w:tc>
          <w:tcPr>
            <w:tcW w:w="1500" w:type="dxa"/>
            <w:tcBorders>
              <w:top w:val="single" w:color="000000" w:sz="4"/>
              <w:left w:val="single" w:color="000000" w:sz="4"/>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ano/semestre</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masc</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fem</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total</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 masc</w:t>
            </w:r>
          </w:p>
        </w:tc>
        <w:tc>
          <w:tcPr>
            <w:tcW w:w="960" w:type="dxa"/>
            <w:tcBorders>
              <w:top w:val="single" w:color="000000" w:sz="4"/>
              <w:left w:val="single" w:color="000000" w:sz="0"/>
              <w:bottom w:val="single" w:color="000000" w:sz="4"/>
              <w:right w:val="single" w:color="000000" w:sz="4"/>
            </w:tcBorders>
            <w:shd w:color="000000" w:fill="ffffcc"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 fem</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1-2006</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55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64</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85,94</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14,06</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2-2006</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89</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107</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83,18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16,82</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1-2007</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90,91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9,09</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2-2007</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142</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85,21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14,79</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1-2008</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98</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107</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91,59</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b/>
                <w:color w:val="FF0000"/>
                <w:spacing w:val="0"/>
                <w:position w:val="0"/>
                <w:sz w:val="22"/>
                <w:shd w:fill="auto" w:val="clear"/>
              </w:rPr>
              <w:t xml:space="preserve">8,41</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2-2008</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122</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90,16</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9,84</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1-2009</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84</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96</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87,50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12,50</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2-2009</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77</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18</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95</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81,05</w:t>
            </w:r>
          </w:p>
        </w:tc>
        <w:tc>
          <w:tcPr>
            <w:tcW w:w="960" w:type="dxa"/>
            <w:tcBorders>
              <w:top w:val="single" w:color="000000" w:sz="0"/>
              <w:left w:val="single" w:color="000000" w:sz="0"/>
              <w:bottom w:val="single" w:color="000000" w:sz="4"/>
              <w:right w:val="single" w:color="000000" w:sz="4"/>
            </w:tcBorders>
            <w:shd w:color="000000" w:fill="f2f2f2"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b/>
                <w:color w:val="FF0000"/>
                <w:spacing w:val="0"/>
                <w:position w:val="0"/>
                <w:sz w:val="22"/>
                <w:shd w:fill="auto" w:val="clear"/>
              </w:rPr>
              <w:t xml:space="preserve">18,95</w:t>
            </w:r>
          </w:p>
        </w:tc>
      </w:tr>
      <w:tr>
        <w:trPr>
          <w:trHeight w:val="300" w:hRule="auto"/>
          <w:jc w:val="center"/>
        </w:trPr>
        <w:tc>
          <w:tcPr>
            <w:tcW w:w="15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1-2010</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65</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76</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85,53</w:t>
            </w:r>
          </w:p>
        </w:tc>
        <w:tc>
          <w:tcPr>
            <w:tcW w:w="96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14,47</w:t>
            </w:r>
          </w:p>
        </w:tc>
      </w:tr>
      <w:tr>
        <w:trPr>
          <w:trHeight w:val="300" w:hRule="auto"/>
          <w:jc w:val="center"/>
        </w:trPr>
        <w:tc>
          <w:tcPr>
            <w:tcW w:w="150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0"/>
            </w:tcBorders>
            <w:shd w:color="000000" w:fill="ffffcc"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779</w:t>
            </w:r>
          </w:p>
        </w:tc>
        <w:tc>
          <w:tcPr>
            <w:tcW w:w="960" w:type="dxa"/>
            <w:tcBorders>
              <w:top w:val="single" w:color="000000" w:sz="0"/>
              <w:left w:val="single" w:color="000000" w:sz="0"/>
              <w:bottom w:val="single" w:color="000000" w:sz="0"/>
              <w:right w:val="single" w:color="000000" w:sz="0"/>
            </w:tcBorders>
            <w:shd w:color="000000" w:fill="ffffcc"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118</w:t>
            </w:r>
          </w:p>
        </w:tc>
        <w:tc>
          <w:tcPr>
            <w:tcW w:w="960" w:type="dxa"/>
            <w:tcBorders>
              <w:top w:val="single" w:color="000000" w:sz="0"/>
              <w:left w:val="single" w:color="000000" w:sz="0"/>
              <w:bottom w:val="single" w:color="000000" w:sz="0"/>
              <w:right w:val="single" w:color="000000" w:sz="0"/>
            </w:tcBorders>
            <w:shd w:color="000000" w:fill="ffffcc"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897</w:t>
            </w:r>
          </w:p>
        </w:tc>
        <w:tc>
          <w:tcPr>
            <w:tcW w:w="9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86,85</w:t>
            </w:r>
          </w:p>
        </w:tc>
        <w:tc>
          <w:tcPr>
            <w:tcW w:w="9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z w:val="22"/>
                <w:shd w:fill="auto" w:val="clear"/>
              </w:rPr>
            </w:pPr>
            <w:r>
              <w:rPr>
                <w:rFonts w:ascii="Calibri" w:hAnsi="Calibri" w:cs="Calibri" w:eastAsia="Calibri"/>
                <w:b/>
                <w:color w:val="FF0000"/>
                <w:spacing w:val="0"/>
                <w:position w:val="0"/>
                <w:sz w:val="22"/>
                <w:shd w:fill="auto" w:val="clear"/>
              </w:rPr>
              <w:t xml:space="preserve">13,15</w:t>
            </w:r>
          </w:p>
        </w:tc>
      </w:tr>
    </w:tbl>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Quadro 4.2.1: Alunos formados nos cursos da área de tecnologias em nível de graduação classificados por gênero durante os anos de 2006 a 2010</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no segundo semestre de 2009 observou-se a maior alta de todos os períodos analisados de mulheres formadas nos cursos da área de tecnologias, esse percentual não chegou a 20% e, consequentemente, o percentual de homens formados na mesma área não ficou abaixo de 80%.</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se observa no gráfico a seguir, no período analisado houve um permanente distanciamento entre os formados classificados por gênero.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b/>
          <w:color w:val="auto"/>
          <w:spacing w:val="0"/>
          <w:position w:val="0"/>
          <w:sz w:val="20"/>
          <w:shd w:fill="auto" w:val="clear"/>
        </w:rPr>
      </w:pPr>
      <w:r>
        <w:object w:dxaOrig="6935" w:dyaOrig="4147">
          <v:rect xmlns:o="urn:schemas-microsoft-com:office:office" xmlns:v="urn:schemas-microsoft-com:vml" id="rectole0000000028" style="width:346.750000pt;height:207.350000pt" o:preferrelative="t" o:ole="">
            <o:lock v:ext="edit"/>
            <v:imagedata xmlns:r="http://schemas.openxmlformats.org/officeDocument/2006/relationships" r:id="docRId108" o:title=""/>
          </v:rect>
          <o:OLEObject xmlns:r="http://schemas.openxmlformats.org/officeDocument/2006/relationships" xmlns:o="urn:schemas-microsoft-com:office:office" Type="Embed" ProgID="StaticMetafile" DrawAspect="Content" ObjectID="0000000028" ShapeID="rectole0000000028" r:id="docRId107"/>
        </w:objec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Gráfico 4.2.2: Alunos formados nos cursos da área de tecnologias classificados por gênero durante os anos de 2006 a 2010</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modo geral, a análise de alunos formados classificados por gênero independente do curso (gráfico 4.1.2), aponta uma situação inversa quando comparados aos alunos formados classificados por gênero nos cursos da área de tecnologias (gráfico 4.2.2).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primeira situação, o gênero feminino apresenta em média 63,97% se constituindo a maioria e o masculino com 36,03%. No primeiro semestre de 2010, o gênero feminino ultrapassou 70% e, nos 9 (nove) semestres pesquisados, o menor percentual do gênero ficou em 58,02% no segundo semestre de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Diante dessa comparação, percebe-se que o número de alunos formados classificados por gênero nos cursos da área de tecnologias não tem apresentado uma distribuição proporcional quando comparado ao número de alunos formados independente do curso na amostra pesquisada.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CONSIDERAÇÕES FINAIS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analisarmos os dados utilizados nesse estudo: demográficos, de indivíduos formados em nível acadêmico de doutorado e de matrículas de indivíduos em cursos superiores no Brasil na atualidade classificados por gênero e, dentro da amostra pesquisada no estudo de caso, os alunos formados classificados por gênero em cursos de todas as áreas oferecidos pela IES estudada no período dos últimos 9 (nove) semestres letivos, percebe-se que o gênero feminino está em vantagem quando comparado ao masculino em todos esses aspectos.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principal inquietação que motivou esta pesquisa está no fato de que a área acadêmica de tecnologias em nível de graduação (que se pressupõe que esteja mais acessível ao cidadão comum quando comparado ao nível </w:t>
      </w:r>
      <w:r>
        <w:rPr>
          <w:rFonts w:ascii="Times New Roman" w:hAnsi="Times New Roman" w:cs="Times New Roman" w:eastAsia="Times New Roman"/>
          <w:i/>
          <w:color w:val="auto"/>
          <w:spacing w:val="0"/>
          <w:position w:val="0"/>
          <w:sz w:val="24"/>
          <w:shd w:fill="auto" w:val="clear"/>
        </w:rPr>
        <w:t xml:space="preserve">stricto sensu</w:t>
      </w:r>
      <w:r>
        <w:rPr>
          <w:rFonts w:ascii="Times New Roman" w:hAnsi="Times New Roman" w:cs="Times New Roman" w:eastAsia="Times New Roman"/>
          <w:color w:val="auto"/>
          <w:spacing w:val="0"/>
          <w:position w:val="0"/>
          <w:sz w:val="24"/>
          <w:shd w:fill="auto" w:val="clear"/>
        </w:rPr>
        <w:t xml:space="preserve">) não acompanha o cenário descrito anteriormente e observado no gráfico 4.1.2, pois, observou-se nesta pesquisa em relação aos formados em 9 (nove) semestres letivos nos cursos da área de tecnologias números com variações predominantes para menor em relação ao gênero feminino.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o distanciamento entre os gêneros nos cursos de graduação na área de tecnologias que leva a uma reflexão do que podemos e devemos, como sociedade e como cidadãos, fazer em prol de uma sociedade mais humana e igualitária.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Seriam necessários estudos mais aprofundados para perceber se houve, na história, percentuais que indiquem aproximações de igualdade do gênero entre os alunos tanto formados como matriculados nos cursos de graduação na área de tecnologias.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Outros aspectos ainda poderão ser pesquisados, tais como os números desta pesquisa detalhados por cursos </w:t>
      </w:r>
      <w:r>
        <w:rPr>
          <w:rFonts w:ascii="Times New Roman" w:hAnsi="Times New Roman" w:cs="Times New Roman" w:eastAsia="Times New Roman"/>
          <w:i/>
          <w:color w:val="auto"/>
          <w:spacing w:val="0"/>
          <w:position w:val="0"/>
          <w:sz w:val="24"/>
          <w:shd w:fill="auto" w:val="clear"/>
        </w:rPr>
        <w:t xml:space="preserve">versus</w:t>
      </w:r>
      <w:r>
        <w:rPr>
          <w:rFonts w:ascii="Times New Roman" w:hAnsi="Times New Roman" w:cs="Times New Roman" w:eastAsia="Times New Roman"/>
          <w:color w:val="auto"/>
          <w:spacing w:val="0"/>
          <w:position w:val="0"/>
          <w:sz w:val="24"/>
          <w:shd w:fill="auto" w:val="clear"/>
        </w:rPr>
        <w:t xml:space="preserve"> seu tempo de duração, uma vez que os três cursos oferecidos possuem tempos de duração diferentes, quais os percentuais de matriculados e formados a cada semestre para mensurar o aproveitamento por gênero e ainda, se nos cursos de maior duração na área de tecnologias permanece a desigualdade de gênero quando comparado aos dados globais da amostra da população pesquisada. No entanto, todas essas inquietações têm dimensões mais elevadas do que esse artigo se propõe e tais aspectos podem se tornar sugestões de pesquisas futuras.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reflexão não tem a pretensão de defender cota mínima obrigatória do gênero feminino para os cursos de graduação na área de tecnologias, mas, a sugestão de que o poder público estabeleça propostas às instituições, tanto públicas quanto privadas, que se constituam incentivos para o ingresso e formação (conclusão) de mulheres nesses cursos e que ao atingir um percentual mínimo pré-determinado de alunos do gênero feminino formados, haja incentivos fiscais para as IES (no caso das privadas) e sejam liberadas verbas (no caso das IES públicas) como forma de inclusão do gênero feminino em uma área que tem se mostrado tão desigual ao longo dos anos inversamente proporcional ao ingresso da mulher nos cursos de nível superior, ao número de formadas em cursos das áreas de modo geral e de crescimento populacional.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alternativa seria pesquisar com profundidade os relatos de experiências vividas pelos Estados Unidos e também pela comunidade europeia nos programas </w:t>
      </w:r>
      <w:r>
        <w:rPr>
          <w:rFonts w:ascii="Times New Roman" w:hAnsi="Times New Roman" w:cs="Times New Roman" w:eastAsia="Times New Roman"/>
          <w:i/>
          <w:color w:val="auto"/>
          <w:spacing w:val="0"/>
          <w:position w:val="0"/>
          <w:sz w:val="24"/>
          <w:shd w:fill="auto" w:val="clear"/>
        </w:rPr>
        <w:t xml:space="preserve">Women in Science </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i/>
          <w:color w:val="auto"/>
          <w:spacing w:val="0"/>
          <w:position w:val="0"/>
          <w:sz w:val="24"/>
          <w:shd w:fill="auto" w:val="clear"/>
        </w:rPr>
        <w:t xml:space="preserve">Women and Science</w:t>
      </w:r>
      <w:r>
        <w:rPr>
          <w:rFonts w:ascii="Times New Roman" w:hAnsi="Times New Roman" w:cs="Times New Roman" w:eastAsia="Times New Roman"/>
          <w:color w:val="auto"/>
          <w:spacing w:val="0"/>
          <w:position w:val="0"/>
          <w:sz w:val="24"/>
          <w:shd w:fill="auto" w:val="clear"/>
        </w:rPr>
        <w:t xml:space="preserve"> buscando encontrar soluções semelhantes que possam ser adequadas ao caso brasileiro e experimentadas no Brasil para que se possam minimizar as diferenças identificadas na distribuição de gênero na área de tecnologias no nosso país.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w: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CAPURRO, R.; HJØRLAND, B. </w:t>
      </w:r>
      <w:r>
        <w:rPr>
          <w:rFonts w:ascii="Times New Roman" w:hAnsi="Times New Roman" w:cs="Times New Roman" w:eastAsia="Times New Roman"/>
          <w:b/>
          <w:color w:val="000000"/>
          <w:spacing w:val="0"/>
          <w:position w:val="0"/>
          <w:sz w:val="24"/>
          <w:shd w:fill="auto" w:val="clear"/>
        </w:rPr>
        <w:t xml:space="preserve">O conceito de informação.</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i/>
          <w:color w:val="000000"/>
          <w:spacing w:val="0"/>
          <w:position w:val="0"/>
          <w:sz w:val="24"/>
          <w:shd w:fill="auto" w:val="clear"/>
        </w:rPr>
        <w:t xml:space="preserve">Perspectivas em Ciência da Informação</w:t>
      </w:r>
      <w:r>
        <w:rPr>
          <w:rFonts w:ascii="Times New Roman" w:hAnsi="Times New Roman" w:cs="Times New Roman" w:eastAsia="Times New Roman"/>
          <w:color w:val="000000"/>
          <w:spacing w:val="0"/>
          <w:position w:val="0"/>
          <w:sz w:val="24"/>
          <w:shd w:fill="auto" w:val="clear"/>
        </w:rPr>
        <w:t xml:space="preserve">, Belo Horizonte, v.12, n.1, p. 148-207, abr. 2007.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CASTELLS, Mercè. </w:t>
      </w:r>
      <w:r>
        <w:rPr>
          <w:rFonts w:ascii="Times New Roman" w:hAnsi="Times New Roman" w:cs="Times New Roman" w:eastAsia="Times New Roman"/>
          <w:b/>
          <w:color w:val="auto"/>
          <w:spacing w:val="0"/>
          <w:position w:val="0"/>
          <w:sz w:val="24"/>
          <w:shd w:fill="auto" w:val="clear"/>
        </w:rPr>
        <w:t xml:space="preserve">Mujeres em Internet: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uma questión de gênero?</w:t>
      </w:r>
      <w:r>
        <w:rPr>
          <w:rFonts w:ascii="Times New Roman" w:hAnsi="Times New Roman" w:cs="Times New Roman" w:eastAsia="Times New Roman"/>
          <w:color w:val="auto"/>
          <w:spacing w:val="0"/>
          <w:position w:val="0"/>
          <w:sz w:val="24"/>
          <w:shd w:fill="auto" w:val="clear"/>
        </w:rPr>
        <w:t xml:space="preserve">  2001. Disponível em: &lt; </w:t>
      </w:r>
      <w:hyperlink xmlns:r="http://schemas.openxmlformats.org/officeDocument/2006/relationships" r:id="docRId109">
        <w:r>
          <w:rPr>
            <w:rFonts w:ascii="Times New Roman" w:hAnsi="Times New Roman" w:cs="Times New Roman" w:eastAsia="Times New Roman"/>
            <w:color w:val="0000FF"/>
            <w:spacing w:val="0"/>
            <w:position w:val="0"/>
            <w:sz w:val="24"/>
            <w:u w:val="single"/>
            <w:shd w:fill="auto" w:val="clear"/>
          </w:rPr>
          <w:t xml:space="preserve">http://www.afrol.com/es/Categorias/Mujeres/especial_muj_internet.htm</w:t>
        </w:r>
      </w:hyperlink>
      <w:r>
        <w:rPr>
          <w:rFonts w:ascii="Times New Roman" w:hAnsi="Times New Roman" w:cs="Times New Roman" w:eastAsia="Times New Roman"/>
          <w:color w:val="auto"/>
          <w:spacing w:val="0"/>
          <w:position w:val="0"/>
          <w:sz w:val="24"/>
          <w:shd w:fill="auto" w:val="clear"/>
        </w:rPr>
        <w:t xml:space="preserve"> &gt;. Acesso em: 01 ago.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CGEE.</w:t>
      </w:r>
      <w:r>
        <w:rPr>
          <w:rFonts w:ascii="Times New Roman" w:hAnsi="Times New Roman" w:cs="Times New Roman" w:eastAsia="Times New Roman"/>
          <w:b/>
          <w:color w:val="auto"/>
          <w:spacing w:val="0"/>
          <w:position w:val="0"/>
          <w:sz w:val="24"/>
          <w:shd w:fill="auto" w:val="clear"/>
        </w:rPr>
        <w:t xml:space="preserve"> Doutores 2010: estudos da demografia da base técnico-científica brasileira</w:t>
      </w:r>
      <w:r>
        <w:rPr>
          <w:rFonts w:ascii="Times New Roman" w:hAnsi="Times New Roman" w:cs="Times New Roman" w:eastAsia="Times New Roman"/>
          <w:color w:val="auto"/>
          <w:spacing w:val="0"/>
          <w:position w:val="0"/>
          <w:sz w:val="24"/>
          <w:shd w:fill="auto" w:val="clear"/>
        </w:rPr>
        <w:t xml:space="preserve"> - Brasília, DF: Centro de Gestão e Estudos Estratégicos, 2010. Disponível em:&lt; </w:t>
      </w:r>
      <w:hyperlink xmlns:r="http://schemas.openxmlformats.org/officeDocument/2006/relationships" r:id="docRId110">
        <w:r>
          <w:rPr>
            <w:rFonts w:ascii="Times New Roman" w:hAnsi="Times New Roman" w:cs="Times New Roman" w:eastAsia="Times New Roman"/>
            <w:color w:val="0000FF"/>
            <w:spacing w:val="0"/>
            <w:position w:val="0"/>
            <w:sz w:val="24"/>
            <w:u w:val="single"/>
            <w:shd w:fill="auto" w:val="clear"/>
          </w:rPr>
          <w:t xml:space="preserve">http://www.cgee.org.br/atividades/redirect.php?idProduto=6401</w:t>
        </w:r>
      </w:hyperlink>
      <w:r>
        <w:rPr>
          <w:rFonts w:ascii="Times New Roman" w:hAnsi="Times New Roman" w:cs="Times New Roman" w:eastAsia="Times New Roman"/>
          <w:color w:val="auto"/>
          <w:spacing w:val="0"/>
          <w:position w:val="0"/>
          <w:sz w:val="24"/>
          <w:shd w:fill="auto" w:val="clear"/>
        </w:rPr>
        <w:t xml:space="preserve"> &gt;. Acesso em: 23 Jul.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FOLHA.COM. </w:t>
      </w:r>
      <w:r>
        <w:rPr>
          <w:rFonts w:ascii="Times New Roman" w:hAnsi="Times New Roman" w:cs="Times New Roman" w:eastAsia="Times New Roman"/>
          <w:b/>
          <w:color w:val="auto"/>
          <w:spacing w:val="0"/>
          <w:position w:val="0"/>
          <w:sz w:val="24"/>
          <w:shd w:fill="auto" w:val="clear"/>
        </w:rPr>
        <w:t xml:space="preserve">Mesmo pós-graduadas, mulheres ganham até 51% menos que homens. (22/09/2010)</w:t>
      </w:r>
      <w:r>
        <w:rPr>
          <w:rFonts w:ascii="Tahoma" w:hAnsi="Tahoma" w:cs="Tahoma" w:eastAsia="Tahoma"/>
          <w:b/>
          <w:color w:val="auto"/>
          <w:spacing w:val="0"/>
          <w:position w:val="0"/>
          <w:sz w:val="37"/>
          <w:shd w:fill="auto" w:val="clear"/>
        </w:rPr>
        <w:t xml:space="preserve"> </w:t>
      </w:r>
      <w:r>
        <w:rPr>
          <w:rFonts w:ascii="Times New Roman" w:hAnsi="Times New Roman" w:cs="Times New Roman" w:eastAsia="Times New Roman"/>
          <w:color w:val="auto"/>
          <w:spacing w:val="0"/>
          <w:position w:val="0"/>
          <w:sz w:val="24"/>
          <w:shd w:fill="auto" w:val="clear"/>
        </w:rPr>
        <w:t xml:space="preserve">Disponível em: </w:t>
      </w:r>
      <w:hyperlink xmlns:r="http://schemas.openxmlformats.org/officeDocument/2006/relationships" r:id="docRId111">
        <w:r>
          <w:rPr>
            <w:rFonts w:ascii="Times New Roman" w:hAnsi="Times New Roman" w:cs="Times New Roman" w:eastAsia="Times New Roman"/>
            <w:color w:val="0000FF"/>
            <w:spacing w:val="0"/>
            <w:position w:val="0"/>
            <w:sz w:val="24"/>
            <w:u w:val="single"/>
            <w:shd w:fill="auto" w:val="clear"/>
          </w:rPr>
          <w:t xml:space="preserve">http://www1.folha.uol.com.br/mercado/802639-mesmo-pos-graduadas-mulheres-ganham-ate-51-menos-que-homens.shtml</w:t>
        </w:r>
      </w:hyperlink>
      <w:r>
        <w:rPr>
          <w:rFonts w:ascii="Times New Roman" w:hAnsi="Times New Roman" w:cs="Times New Roman" w:eastAsia="Times New Roman"/>
          <w:color w:val="auto"/>
          <w:spacing w:val="0"/>
          <w:position w:val="0"/>
          <w:sz w:val="24"/>
          <w:shd w:fill="auto" w:val="clear"/>
        </w:rPr>
        <w:t xml:space="preserve">. Acesso em: 22 set.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GIL, Antonio Carlos. </w:t>
      </w:r>
      <w:r>
        <w:rPr>
          <w:rFonts w:ascii="Times New Roman" w:hAnsi="Times New Roman" w:cs="Times New Roman" w:eastAsia="Times New Roman"/>
          <w:b/>
          <w:color w:val="auto"/>
          <w:spacing w:val="0"/>
          <w:position w:val="0"/>
          <w:sz w:val="24"/>
          <w:shd w:fill="auto" w:val="clear"/>
        </w:rPr>
        <w:t xml:space="preserve">Métodos e técnicas de pesquisa social</w:t>
      </w:r>
      <w:r>
        <w:rPr>
          <w:rFonts w:ascii="Times New Roman" w:hAnsi="Times New Roman" w:cs="Times New Roman" w:eastAsia="Times New Roman"/>
          <w:color w:val="auto"/>
          <w:spacing w:val="0"/>
          <w:position w:val="0"/>
          <w:sz w:val="24"/>
          <w:shd w:fill="auto" w:val="clear"/>
        </w:rPr>
        <w:t xml:space="preserve">. São Paulo: Atlas, 1999.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HAYASHI, M. C. P. I.; CABRERO, R. de C.; COSTA M. da P. R.; HAYASHI, C. R. M. </w:t>
      </w:r>
      <w:r>
        <w:rPr>
          <w:rFonts w:ascii="Times New Roman" w:hAnsi="Times New Roman" w:cs="Times New Roman" w:eastAsia="Times New Roman"/>
          <w:b/>
          <w:color w:val="auto"/>
          <w:spacing w:val="0"/>
          <w:position w:val="0"/>
          <w:sz w:val="24"/>
          <w:shd w:fill="auto" w:val="clear"/>
        </w:rPr>
        <w:t xml:space="preserve">Indicadores da participação feminina em Ciência e Tecnologia</w:t>
      </w:r>
      <w:r>
        <w:rPr>
          <w:rFonts w:ascii="Times New Roman" w:hAnsi="Times New Roman" w:cs="Times New Roman" w:eastAsia="Times New Roman"/>
          <w:color w:val="auto"/>
          <w:spacing w:val="0"/>
          <w:position w:val="0"/>
          <w:sz w:val="24"/>
          <w:shd w:fill="auto" w:val="clear"/>
        </w:rPr>
        <w:t xml:space="preserve">. Transinformação, v.19, n.2, p.169-187, maio/ago. 2007. Disponível em &lt;</w:t>
      </w:r>
      <w:hyperlink xmlns:r="http://schemas.openxmlformats.org/officeDocument/2006/relationships" r:id="docRId112">
        <w:r>
          <w:rPr>
            <w:rFonts w:ascii="Times New Roman" w:hAnsi="Times New Roman" w:cs="Times New Roman" w:eastAsia="Times New Roman"/>
            <w:color w:val="0000FF"/>
            <w:spacing w:val="0"/>
            <w:position w:val="0"/>
            <w:sz w:val="24"/>
            <w:u w:val="single"/>
            <w:shd w:fill="auto" w:val="clear"/>
          </w:rPr>
          <w:t xml:space="preserve">http://revista.ibict.br/pbcib/index.php/pbcib/article/view/679</w:t>
        </w:r>
      </w:hyperlink>
      <w:r>
        <w:rPr>
          <w:rFonts w:ascii="Times New Roman" w:hAnsi="Times New Roman" w:cs="Times New Roman" w:eastAsia="Times New Roman"/>
          <w:color w:val="auto"/>
          <w:spacing w:val="0"/>
          <w:position w:val="0"/>
          <w:sz w:val="24"/>
          <w:shd w:fill="auto" w:val="clear"/>
        </w:rPr>
        <w:t xml:space="preserve">&gt;. Acesso em 01 set. 2010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Lei 9.100/95 de 29 de setembro de 1995</w:t>
      </w:r>
      <w:r>
        <w:rPr>
          <w:rFonts w:ascii="Times New Roman" w:hAnsi="Times New Roman" w:cs="Times New Roman" w:eastAsia="Times New Roman"/>
          <w:color w:val="auto"/>
          <w:spacing w:val="0"/>
          <w:position w:val="0"/>
          <w:sz w:val="24"/>
          <w:shd w:fill="auto" w:val="clear"/>
        </w:rPr>
        <w:t xml:space="preserve">. Disponível em: &lt; </w:t>
      </w:r>
      <w:hyperlink xmlns:r="http://schemas.openxmlformats.org/officeDocument/2006/relationships" r:id="docRId113">
        <w:r>
          <w:rPr>
            <w:rFonts w:ascii="Times New Roman" w:hAnsi="Times New Roman" w:cs="Times New Roman" w:eastAsia="Times New Roman"/>
            <w:color w:val="0000FF"/>
            <w:spacing w:val="0"/>
            <w:position w:val="0"/>
            <w:sz w:val="24"/>
            <w:u w:val="single"/>
            <w:shd w:fill="auto" w:val="clear"/>
          </w:rPr>
          <w:t xml:space="preserve">http://www.planalto.gov.br/ccivil/leis/L9100.htm</w:t>
        </w:r>
      </w:hyperlink>
      <w:r>
        <w:rPr>
          <w:rFonts w:ascii="Times New Roman" w:hAnsi="Times New Roman" w:cs="Times New Roman" w:eastAsia="Times New Roman"/>
          <w:color w:val="auto"/>
          <w:spacing w:val="0"/>
          <w:position w:val="0"/>
          <w:sz w:val="24"/>
          <w:shd w:fill="auto" w:val="clear"/>
        </w:rPr>
        <w:t xml:space="preserve">&gt;. Acesso em 27 ago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31F20"/>
          <w:spacing w:val="0"/>
          <w:position w:val="0"/>
          <w:sz w:val="24"/>
          <w:shd w:fill="auto" w:val="clear"/>
        </w:rPr>
        <w:t xml:space="preserve">MESQUITA,  Nyuara A. S., SOARES, Márlon H. F. B.</w:t>
      </w:r>
      <w:r>
        <w:rPr>
          <w:rFonts w:ascii="Times New Roman" w:hAnsi="Times New Roman" w:cs="Times New Roman" w:eastAsia="Times New Roman"/>
          <w:i/>
          <w:color w:val="231F20"/>
          <w:spacing w:val="0"/>
          <w:position w:val="0"/>
          <w:sz w:val="24"/>
          <w:shd w:fill="auto" w:val="clear"/>
        </w:rPr>
        <w:t xml:space="preserve"> </w:t>
      </w:r>
      <w:r>
        <w:rPr>
          <w:rFonts w:ascii="Times New Roman" w:hAnsi="Times New Roman" w:cs="Times New Roman" w:eastAsia="Times New Roman"/>
          <w:b/>
          <w:color w:val="231F20"/>
          <w:spacing w:val="0"/>
          <w:position w:val="0"/>
          <w:sz w:val="24"/>
          <w:shd w:fill="auto" w:val="clear"/>
        </w:rPr>
        <w:t xml:space="preserve">Visões de ciência em desenhos animados: uma alternativa para o debate sobre a construção do conhecimento científico em sala de aula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Ciência &amp; Educação, v. 14, n. 3, p. 417-29, 2008. Disponível em: &lt;</w:t>
      </w:r>
      <w:hyperlink xmlns:r="http://schemas.openxmlformats.org/officeDocument/2006/relationships" r:id="docRId114">
        <w:r>
          <w:rPr>
            <w:rFonts w:ascii="Times New Roman" w:hAnsi="Times New Roman" w:cs="Times New Roman" w:eastAsia="Times New Roman"/>
            <w:color w:val="0000FF"/>
            <w:spacing w:val="0"/>
            <w:position w:val="0"/>
            <w:sz w:val="24"/>
            <w:u w:val="single"/>
            <w:shd w:fill="auto" w:val="clear"/>
          </w:rPr>
          <w:t xml:space="preserve">http://www.scielo.br/pdf/ciedu/v14n3/a04v14n3.pdf</w:t>
        </w:r>
        <w:r>
          <w:rPr>
            <w:rFonts w:ascii="Times New Roman" w:hAnsi="Times New Roman" w:cs="Times New Roman" w:eastAsia="Times New Roman"/>
            <w:color w:val="0000FF"/>
            <w:spacing w:val="0"/>
            <w:position w:val="0"/>
            <w:sz w:val="24"/>
            <w:u w:val="single"/>
            <w:shd w:fill="auto" w:val="clear"/>
          </w:rPr>
          <w:t xml:space="preserve"> </w:t>
        </w:r>
      </w:hyperlink>
      <w:r>
        <w:rPr>
          <w:rFonts w:ascii="Times New Roman" w:hAnsi="Times New Roman" w:cs="Times New Roman" w:eastAsia="Times New Roman"/>
          <w:color w:val="auto"/>
          <w:spacing w:val="0"/>
          <w:position w:val="0"/>
          <w:sz w:val="24"/>
          <w:shd w:fill="auto" w:val="clear"/>
        </w:rPr>
        <w:t xml:space="preserve">&gt;. Acesso em 30 ago 2010.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Museu do computador.</w:t>
      </w:r>
      <w:r>
        <w:rPr>
          <w:rFonts w:ascii="Times New Roman" w:hAnsi="Times New Roman" w:cs="Times New Roman" w:eastAsia="Times New Roman"/>
          <w:color w:val="auto"/>
          <w:spacing w:val="0"/>
          <w:position w:val="0"/>
          <w:sz w:val="24"/>
          <w:shd w:fill="auto" w:val="clear"/>
        </w:rPr>
        <w:t xml:space="preserve"> Disponível em: &lt; </w:t>
      </w:r>
      <w:hyperlink xmlns:r="http://schemas.openxmlformats.org/officeDocument/2006/relationships" r:id="docRId115">
        <w:r>
          <w:rPr>
            <w:rFonts w:ascii="Times New Roman" w:hAnsi="Times New Roman" w:cs="Times New Roman" w:eastAsia="Times New Roman"/>
            <w:color w:val="0000FF"/>
            <w:spacing w:val="0"/>
            <w:position w:val="0"/>
            <w:sz w:val="24"/>
            <w:u w:val="single"/>
            <w:shd w:fill="auto" w:val="clear"/>
          </w:rPr>
          <w:t xml:space="preserve">http://www.museudocomputador.com.br/</w:t>
        </w:r>
      </w:hyperlink>
      <w:r>
        <w:rPr>
          <w:rFonts w:ascii="Times New Roman" w:hAnsi="Times New Roman" w:cs="Times New Roman" w:eastAsia="Times New Roman"/>
          <w:color w:val="auto"/>
          <w:spacing w:val="0"/>
          <w:position w:val="0"/>
          <w:sz w:val="24"/>
          <w:shd w:fill="auto" w:val="clear"/>
        </w:rPr>
        <w:t xml:space="preserve">&gt;. Acesso em: 28 Ago. 2010.</w:t>
      </w:r>
    </w:p>
    <w:p>
      <w:pPr>
        <w:spacing w:before="0" w:after="0" w:line="240"/>
        <w:ind w:right="0" w:left="0" w:firstLine="0"/>
        <w:jc w:val="left"/>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NOGUEIRA FILHO, Octaciano da C. </w:t>
      </w:r>
      <w:r>
        <w:rPr>
          <w:rFonts w:ascii="Times New Roman" w:hAnsi="Times New Roman" w:cs="Times New Roman" w:eastAsia="Times New Roman"/>
          <w:b/>
          <w:color w:val="auto"/>
          <w:spacing w:val="2"/>
          <w:position w:val="0"/>
          <w:sz w:val="24"/>
          <w:shd w:fill="auto" w:val="clear"/>
        </w:rPr>
        <w:t xml:space="preserve">Mulheres na política e no poder</w:t>
      </w:r>
      <w:r>
        <w:rPr>
          <w:rFonts w:ascii="Times New Roman" w:hAnsi="Times New Roman" w:cs="Times New Roman" w:eastAsia="Times New Roman"/>
          <w:color w:val="auto"/>
          <w:spacing w:val="2"/>
          <w:position w:val="0"/>
          <w:sz w:val="24"/>
          <w:shd w:fill="auto" w:val="clear"/>
        </w:rPr>
        <w:t xml:space="preserve">. UnB Agência. Disponível em &lt;</w:t>
      </w:r>
      <w:hyperlink xmlns:r="http://schemas.openxmlformats.org/officeDocument/2006/relationships" r:id="docRId116">
        <w:r>
          <w:rPr>
            <w:rFonts w:ascii="Times New Roman" w:hAnsi="Times New Roman" w:cs="Times New Roman" w:eastAsia="Times New Roman"/>
            <w:color w:val="0000FF"/>
            <w:spacing w:val="2"/>
            <w:position w:val="0"/>
            <w:sz w:val="24"/>
            <w:u w:val="single"/>
            <w:shd w:fill="auto" w:val="clear"/>
          </w:rPr>
          <w:t xml:space="preserve">http://www.unb.br/noticias/unbagencia/artigo.php?id=299</w:t>
        </w:r>
      </w:hyperlink>
      <w:r>
        <w:rPr>
          <w:rFonts w:ascii="Times New Roman" w:hAnsi="Times New Roman" w:cs="Times New Roman" w:eastAsia="Times New Roman"/>
          <w:color w:val="auto"/>
          <w:spacing w:val="2"/>
          <w:position w:val="0"/>
          <w:sz w:val="24"/>
          <w:shd w:fill="auto" w:val="clear"/>
        </w:rPr>
        <w:t xml:space="preserve">&gt;. Acesso em 30 ago. 2010.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PÉREZ. Antonio C. Colino. </w:t>
      </w:r>
      <w:r>
        <w:rPr>
          <w:rFonts w:ascii="Times New Roman" w:hAnsi="Times New Roman" w:cs="Times New Roman" w:eastAsia="Times New Roman"/>
          <w:b/>
          <w:color w:val="auto"/>
          <w:spacing w:val="0"/>
          <w:position w:val="0"/>
          <w:sz w:val="24"/>
          <w:shd w:fill="auto" w:val="clear"/>
        </w:rPr>
        <w:t xml:space="preserve">Las Mujeres en la Ciencia</w:t>
      </w:r>
      <w:r>
        <w:rPr>
          <w:rFonts w:ascii="Times New Roman" w:hAnsi="Times New Roman" w:cs="Times New Roman" w:eastAsia="Times New Roman"/>
          <w:color w:val="auto"/>
          <w:spacing w:val="0"/>
          <w:position w:val="0"/>
          <w:sz w:val="24"/>
          <w:shd w:fill="auto" w:val="clear"/>
        </w:rPr>
        <w:t xml:space="preserve">. 2007. Disponível em:&lt; </w:t>
      </w:r>
      <w:hyperlink xmlns:r="http://schemas.openxmlformats.org/officeDocument/2006/relationships" r:id="docRId117">
        <w:r>
          <w:rPr>
            <w:rFonts w:ascii="Times New Roman" w:hAnsi="Times New Roman" w:cs="Times New Roman" w:eastAsia="Times New Roman"/>
            <w:color w:val="0000FF"/>
            <w:spacing w:val="0"/>
            <w:position w:val="0"/>
            <w:sz w:val="24"/>
            <w:u w:val="single"/>
            <w:shd w:fill="auto" w:val="clear"/>
          </w:rPr>
          <w:t xml:space="preserve">http://www.miljardines.es/pdf/texto/13.pdf</w:t>
        </w:r>
      </w:hyperlink>
      <w:r>
        <w:rPr>
          <w:rFonts w:ascii="Times New Roman" w:hAnsi="Times New Roman" w:cs="Times New Roman" w:eastAsia="Times New Roman"/>
          <w:color w:val="auto"/>
          <w:spacing w:val="0"/>
          <w:position w:val="0"/>
          <w:sz w:val="24"/>
          <w:shd w:fill="auto" w:val="clear"/>
        </w:rPr>
        <w:t xml:space="preserve"> &gt;. Acesso em: 26 Jul.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Plano Nacional de Políticas para as Mulheres - PNPM</w:t>
      </w:r>
      <w:r>
        <w:rPr>
          <w:rFonts w:ascii="Times New Roman" w:hAnsi="Times New Roman" w:cs="Times New Roman" w:eastAsia="Times New Roman"/>
          <w:color w:val="auto"/>
          <w:spacing w:val="0"/>
          <w:position w:val="0"/>
          <w:sz w:val="24"/>
          <w:shd w:fill="auto" w:val="clear"/>
        </w:rPr>
        <w:t xml:space="preserve">. Disponível em: &lt;</w:t>
      </w:r>
      <w:hyperlink xmlns:r="http://schemas.openxmlformats.org/officeDocument/2006/relationships" r:id="docRId118">
        <w:r>
          <w:rPr>
            <w:rFonts w:ascii="Times New Roman" w:hAnsi="Times New Roman" w:cs="Times New Roman" w:eastAsia="Times New Roman"/>
            <w:color w:val="0000FF"/>
            <w:spacing w:val="0"/>
            <w:position w:val="0"/>
            <w:sz w:val="24"/>
            <w:u w:val="single"/>
            <w:shd w:fill="auto" w:val="clear"/>
          </w:rPr>
          <w:t xml:space="preserve">http://200.130.7.5/spmu/docs/PNPM.pdf</w:t>
        </w:r>
      </w:hyperlink>
      <w:r>
        <w:rPr>
          <w:rFonts w:ascii="Times New Roman" w:hAnsi="Times New Roman" w:cs="Times New Roman" w:eastAsia="Times New Roman"/>
          <w:color w:val="auto"/>
          <w:spacing w:val="0"/>
          <w:position w:val="0"/>
          <w:sz w:val="24"/>
          <w:shd w:fill="auto" w:val="clear"/>
        </w:rPr>
        <w:t xml:space="preserve">&gt;. Acesso em: 29 jul. 2010.</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ROLKA, Gail M. </w:t>
      </w:r>
      <w:r>
        <w:rPr>
          <w:rFonts w:ascii="Times New Roman" w:hAnsi="Times New Roman" w:cs="Times New Roman" w:eastAsia="Times New Roman"/>
          <w:b/>
          <w:color w:val="auto"/>
          <w:spacing w:val="0"/>
          <w:position w:val="0"/>
          <w:sz w:val="24"/>
          <w:shd w:fill="auto" w:val="clear"/>
        </w:rPr>
        <w:t xml:space="preserve">100 mulheres que mudaram a história do mundo. </w:t>
      </w:r>
      <w:r>
        <w:rPr>
          <w:rFonts w:ascii="Times New Roman" w:hAnsi="Times New Roman" w:cs="Times New Roman" w:eastAsia="Times New Roman"/>
          <w:color w:val="auto"/>
          <w:spacing w:val="0"/>
          <w:position w:val="0"/>
          <w:sz w:val="24"/>
          <w:shd w:fill="auto" w:val="clear"/>
        </w:rPr>
        <w:t xml:space="preserve">Rio de Janeiro: Ediouro, 2004.</w:t>
        <w:br/>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SOARES, Thereza A.</w:t>
      </w:r>
      <w:r>
        <w:rPr>
          <w:rFonts w:ascii="Times New Roman" w:hAnsi="Times New Roman" w:cs="Times New Roman" w:eastAsia="Times New Roman"/>
          <w:b/>
          <w:color w:val="auto"/>
          <w:spacing w:val="0"/>
          <w:position w:val="0"/>
          <w:sz w:val="24"/>
          <w:shd w:fill="auto" w:val="clear"/>
        </w:rPr>
        <w:t xml:space="preserve"> Mulheres em ciência e tecnologia: ascensão limitada. </w:t>
      </w:r>
      <w:r>
        <w:rPr>
          <w:rFonts w:ascii="Times New Roman" w:hAnsi="Times New Roman" w:cs="Times New Roman" w:eastAsia="Times New Roman"/>
          <w:i/>
          <w:color w:val="auto"/>
          <w:spacing w:val="0"/>
          <w:position w:val="0"/>
          <w:sz w:val="22"/>
          <w:shd w:fill="auto" w:val="clear"/>
        </w:rPr>
        <w:t xml:space="preserve">Quim. Nova, </w:t>
      </w:r>
      <w:r>
        <w:rPr>
          <w:rFonts w:ascii="Times New Roman" w:hAnsi="Times New Roman" w:cs="Times New Roman" w:eastAsia="Times New Roman"/>
          <w:color w:val="auto"/>
          <w:spacing w:val="0"/>
          <w:position w:val="0"/>
          <w:sz w:val="22"/>
          <w:shd w:fill="auto" w:val="clear"/>
        </w:rPr>
        <w:t xml:space="preserve">Vol. 24, No. 2, 281-285, 2001.</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Secretaria de Políticas para as Mulheres - SPM</w:t>
      </w:r>
      <w:r>
        <w:rPr>
          <w:rFonts w:ascii="Times New Roman" w:hAnsi="Times New Roman" w:cs="Times New Roman" w:eastAsia="Times New Roman"/>
          <w:color w:val="auto"/>
          <w:spacing w:val="0"/>
          <w:position w:val="0"/>
          <w:sz w:val="24"/>
          <w:shd w:fill="auto" w:val="clear"/>
        </w:rPr>
        <w:t xml:space="preserve">. Disponível em:&lt;</w:t>
      </w:r>
      <w:r>
        <w:rPr>
          <w:rFonts w:ascii="Times New Roman" w:hAnsi="Times New Roman" w:cs="Times New Roman" w:eastAsia="Times New Roman"/>
          <w:color w:val="auto"/>
          <w:spacing w:val="0"/>
          <w:position w:val="0"/>
          <w:sz w:val="24"/>
          <w:shd w:fill="auto" w:val="clear"/>
        </w:rPr>
        <w:t xml:space="preserve">http://www.sepm.gov.br/</w:t>
      </w:r>
      <w:r>
        <w:rPr>
          <w:rFonts w:ascii="Times New Roman" w:hAnsi="Times New Roman" w:cs="Times New Roman" w:eastAsia="Times New Roman"/>
          <w:color w:val="auto"/>
          <w:spacing w:val="0"/>
          <w:position w:val="0"/>
          <w:sz w:val="24"/>
          <w:shd w:fill="auto" w:val="clear"/>
        </w:rPr>
        <w:t xml:space="preserve">&gt;. Acesso em: 20 ago. 2010.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A MARIA POLITIZADA NO ESPAÇO DA CASA: </w:t>
      </w: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RELAÇÕES DE PODER NO ÂMBITO PÚBLICO E PRIVADO.</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Érika Oliveira Amorim, Mestranda em Extensão Rural – bolsista CAPES</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Universidade Federal de Viçosa – UFV</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hyperlink xmlns:r="http://schemas.openxmlformats.org/officeDocument/2006/relationships" r:id="docRId119">
        <w:r>
          <w:rPr>
            <w:rFonts w:ascii="Times New Roman" w:hAnsi="Times New Roman" w:cs="Times New Roman" w:eastAsia="Times New Roman"/>
            <w:b/>
            <w:color w:val="0000FF"/>
            <w:spacing w:val="0"/>
            <w:position w:val="0"/>
            <w:sz w:val="24"/>
            <w:u w:val="single"/>
            <w:shd w:fill="auto" w:val="clear"/>
          </w:rPr>
          <w:t xml:space="preserve">erikaoamorim@hotmail.com</w:t>
        </w:r>
      </w:hyperlink>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Ana Louise de Carvalho Fiúza, Orientadora, Coordenadora do Programa de Pós-Graduação em Extensão Rural</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Universidade Federal de Viçosa – UFV - Brasil </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hyperlink xmlns:r="http://schemas.openxmlformats.org/officeDocument/2006/relationships" r:id="docRId120">
        <w:r>
          <w:rPr>
            <w:rFonts w:ascii="Times New Roman" w:hAnsi="Times New Roman" w:cs="Times New Roman" w:eastAsia="Times New Roman"/>
            <w:b/>
            <w:color w:val="0000FF"/>
            <w:spacing w:val="0"/>
            <w:position w:val="0"/>
            <w:sz w:val="24"/>
            <w:u w:val="single"/>
            <w:shd w:fill="auto" w:val="clear"/>
          </w:rPr>
          <w:t xml:space="preserve">louisefiuza@ufv.br</w:t>
        </w:r>
      </w:hyperlink>
      <w:r>
        <w:rPr>
          <w:rFonts w:ascii="Times New Roman" w:hAnsi="Times New Roman" w:cs="Times New Roman" w:eastAsia="Times New Roman"/>
          <w:b/>
          <w:color w:val="auto"/>
          <w:spacing w:val="0"/>
          <w:position w:val="0"/>
          <w:sz w:val="24"/>
          <w:shd w:fill="auto" w:val="clear"/>
        </w:rPr>
        <w:t xml:space="preserve"> </w:t>
      </w: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RESUMO</w:t>
      </w:r>
    </w:p>
    <w:p>
      <w:pPr>
        <w:spacing w:before="0" w:after="0" w:line="360"/>
        <w:ind w:right="0" w:left="0" w:firstLine="709"/>
        <w:jc w:val="both"/>
        <w:rPr>
          <w:rFonts w:ascii="Times New Roman" w:hAnsi="Times New Roman" w:cs="Times New Roman" w:eastAsia="Times New Roman"/>
          <w:color w:val="auto"/>
          <w:spacing w:val="0"/>
          <w:position w:val="0"/>
          <w:sz w:val="24"/>
          <w:shd w:fill="FFFF00" w:val="clear"/>
        </w:rPr>
      </w:pPr>
    </w:p>
    <w:p>
      <w:pPr>
        <w:tabs>
          <w:tab w:val="left" w:pos="7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O presente trabalho analisa a influência da atuação política da mulher rural sobre as relações de poder em seu ambiente doméstico. </w:t>
      </w:r>
      <w:r>
        <w:rPr>
          <w:rFonts w:ascii="Times New Roman" w:hAnsi="Times New Roman" w:cs="Times New Roman" w:eastAsia="Times New Roman"/>
          <w:color w:val="auto"/>
          <w:spacing w:val="0"/>
          <w:position w:val="0"/>
          <w:sz w:val="24"/>
          <w:shd w:fill="auto" w:val="clear"/>
        </w:rPr>
        <w:t xml:space="preserve">Pretende investigar a perspectiva de empoderamento entre mulheres sindicalizadas e ativistas políticas no âmbito privado. Buscamos identificar como a condição da mulher rural como trabalhadora pode alterar as suas relações de poder no espaço doméstico e de que forma o acesso às esferas de representação coletiva pode contribuir para a construção de novas identidades femininas no meio rural. </w:t>
      </w:r>
    </w:p>
    <w:p>
      <w:pPr>
        <w:tabs>
          <w:tab w:val="left" w:pos="720"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O engajamento em movimentos sociais abre espaço para o processo de ressignificação da posição da mulher no estabelecimento de suas relações familiares? O intuito desse trabalho não é o de eleger o empoderamento de mulheres como </w:t>
      </w:r>
      <w:r>
        <w:rPr>
          <w:rFonts w:ascii="Times New Roman" w:hAnsi="Times New Roman" w:cs="Times New Roman" w:eastAsia="Times New Roman"/>
          <w:color w:val="auto"/>
          <w:spacing w:val="0"/>
          <w:position w:val="0"/>
          <w:sz w:val="24"/>
          <w:shd w:fill="auto" w:val="clear"/>
        </w:rPr>
        <w:t xml:space="preserve">panacéia para solucionar situações de subalternidade. </w:t>
      </w:r>
      <w:r>
        <w:rPr>
          <w:rFonts w:ascii="Times New Roman" w:hAnsi="Times New Roman" w:cs="Times New Roman" w:eastAsia="Times New Roman"/>
          <w:color w:val="000000"/>
          <w:spacing w:val="0"/>
          <w:position w:val="0"/>
          <w:sz w:val="24"/>
          <w:shd w:fill="auto" w:val="clear"/>
        </w:rPr>
        <w:t xml:space="preserve">Nem mesmo pretendemos banalizar o uso do termo, que tem crescido nos últimos tempos e estado presente nos debates </w:t>
      </w:r>
      <w:r>
        <w:rPr>
          <w:rFonts w:ascii="Times New Roman" w:hAnsi="Times New Roman" w:cs="Times New Roman" w:eastAsia="Times New Roman"/>
          <w:color w:val="auto"/>
          <w:spacing w:val="0"/>
          <w:position w:val="0"/>
          <w:sz w:val="24"/>
          <w:shd w:fill="auto" w:val="clear"/>
        </w:rPr>
        <w:t xml:space="preserve">acerca do reconhecimento da mulher como sujeito atuante nas dinâmicas sociais. O que nos interessa de fato é reconhecer que através de pequenos ganhos a mulher galga degraus rumo à sua emancipação e isso que consideramos empoderar-se.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Poder decidir os rumos de sua vida, fazer escolhas, ter autonomia financeira, reconhecer direitos e saber reivindicá-los, assumir posturas no lar e na comunidade identificando reveses e lutando contra eles.</w:t>
      </w:r>
    </w:p>
    <w:p>
      <w:pPr>
        <w:tabs>
          <w:tab w:val="left" w:pos="7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Inúmeros debates têm sido levantados acerca da inserção das mulheres nos espaços públicos e as implicações que podem trazer para suas relações na família e na comunidade.</w:t>
      </w:r>
    </w:p>
    <w:p>
      <w:pPr>
        <w:tabs>
          <w:tab w:val="left" w:pos="720" w:leader="none"/>
        </w:tabs>
        <w:spacing w:before="0" w:after="0" w:line="36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A expansão desses estudos está relacionada à luta pela inserção no mercado de trabalho, aos movimentos feministas e também a novos paradigmas associados às dinâmicas das relações entre os sexos. Novas perspectivas e olhares são traçados ao longo de pesquisas e construções do conhecimento histórico e a noção de gênero pode ser entendida como instrumento de análise que nos permite compreender as diferenças socialmente construídas entre o feminino e o masculino. </w:t>
      </w:r>
      <w:r>
        <w:rPr>
          <w:rFonts w:ascii="Times New Roman" w:hAnsi="Times New Roman" w:cs="Times New Roman" w:eastAsia="Times New Roman"/>
          <w:color w:val="auto"/>
          <w:spacing w:val="0"/>
          <w:position w:val="0"/>
          <w:sz w:val="24"/>
          <w:shd w:fill="auto" w:val="clear"/>
        </w:rPr>
        <w:t xml:space="preserve">Um olhar voltado para a participação feminina em instâncias coletivas como movimentos sociais e sindicatos possibilita identificar a dinâmica de novas relações de poder, sobretudo relacionadas às relações de gênero </w:t>
      </w:r>
      <w:r>
        <w:rPr>
          <w:rFonts w:ascii="Times-Roman" w:hAnsi="Times-Roman" w:cs="Times-Roman" w:eastAsia="Times-Roman"/>
          <w:color w:val="auto"/>
          <w:spacing w:val="0"/>
          <w:position w:val="0"/>
          <w:sz w:val="24"/>
          <w:shd w:fill="auto" w:val="clear"/>
        </w:rPr>
        <w:t xml:space="preserve">no tocante à</w:t>
      </w:r>
      <w:r>
        <w:rPr>
          <w:rFonts w:ascii="Times New Roman" w:hAnsi="Times New Roman" w:cs="Times New Roman" w:eastAsia="Times New Roman"/>
          <w:color w:val="auto"/>
          <w:spacing w:val="0"/>
          <w:position w:val="0"/>
          <w:sz w:val="24"/>
          <w:shd w:fill="auto" w:val="clear"/>
        </w:rPr>
        <w:t xml:space="preserve"> ampliação dos direitos sociais, na esfera pública, e da autonomia e de direito de escolha, na esfera privada. </w:t>
      </w:r>
    </w:p>
    <w:p>
      <w:pPr>
        <w:tabs>
          <w:tab w:val="left" w:pos="7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O referencial teórico foi construído através das abordagens oferecidas pelas disciplinas do programa de Mestrado em Extensão Rural da Universidade Federal de Viçosa, que dentre outros autores, traz as contribuições de Deere e Léon (2002), Romano (2008), Fischer (2006), Pinto (2002), Brumer (2004) que abordam as questões de democracia de gênero, empoderamento, acesso à propriedade da terra e participação no espaço público. Visa contribuir para os debates acerca do reconhecimento da mulher não só como responsável pelos papéis que lhe são tradicionalmente atribuídos, como esposa e mãe, mas como trabalhadora politicamente atuante e suas implicações nas relações no espaço doméstico com o objetivo de construir uma nova identidade da mulher rural, como trabalhadora politicamente atuante, discutindo a desigualdade de gênero e, dessa forma, entendendo e superando outras desigualdades como o acesso a terra, a redistribuição de renda e à políticas públicas voltadas para a agricultura familiar.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 </w:t>
      </w:r>
      <w:r>
        <w:rPr>
          <w:rFonts w:ascii="Times New Roman" w:hAnsi="Times New Roman" w:cs="Times New Roman" w:eastAsia="Times New Roman"/>
          <w:color w:val="auto"/>
          <w:spacing w:val="0"/>
          <w:position w:val="0"/>
          <w:sz w:val="24"/>
          <w:shd w:fill="auto" w:val="clear"/>
        </w:rPr>
        <w:t xml:space="preserve">gênero – empoderamento – sindicalismo rural </w:t>
      </w:r>
    </w:p>
    <w:p>
      <w:pPr>
        <w:tabs>
          <w:tab w:val="left" w:pos="7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INTRODUÇÃO</w:t>
      </w: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720"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Até a década de 1980 o movimento sindical rural era majoritariamente formado por homens. Nos últimos anos a participação de mulheres na direção dos sindicatos tem aumentado conjuntamente com a organização de movimentos sociais como o MAB (Movimento dos Atingidos por Barragens), MST (Movimento dos Trabalhadores Rurais Sem Terra) e MMTR (Movimento de Mulheres Trabalhadoras Rurais). Nos anos 1990, principalmente à partir de 1995 com a abertura do espaço sindical para as mulheres e o estabelecimento da cota mínima de 30% de participação feminina pela CUT (Central Única dos Trabalhadores),  </w:t>
      </w:r>
    </w:p>
    <w:p>
      <w:pPr>
        <w:tabs>
          <w:tab w:val="left" w:pos="720"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tem início a atuação mais efetiva por parte das mulheres como membros ou na diretoria dos sindicatos. A maioria dessas mulheres teve sua militância iniciada nos movimentos sociais, partidos políticos, movimentos organizados pela Igreja Católica (catequeses, pastorais) ou associações de agricultores. Contudo, essa participação e o fato de as mulheres terem ocupado cargos na diretoria e presidência dos sindicatos não significa que não haja discriminação quanto à tomadas de decisão e reivindicação por igualdade de gênero e poder. Ainda se faz presente em instituições, organizações e sindicatos, enfim, nos espaços públicos da sociedade, a oposição binária dos gêneros masculino e feminino a qual proporciona a dicotomização de outros conceitos como público x privado, produção x reprodução, razão x sentimento, forte x fraco e a cultura da dominação masculina (Bourdieu, 2005).</w:t>
      </w:r>
    </w:p>
    <w:p>
      <w:pPr>
        <w:tabs>
          <w:tab w:val="left" w:pos="7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PROCEDIMENTOS METODOLÓGICOS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buscas pela compreensão e explicação das ressignificações que têm surgido no meio rural levantam discussões sobre o papel da mulher nesse processo. O principal aspecto desta pesquisa refere-se ao trabalho teórico que se deu com aprofundamento bibliográfico sobre os principais debates acerca do empoderamento entre mulheres rurais sindicalizadas e ativistas políticas. Em conjunto com a varredura teórica, muito contribuíram as abordagens das disciplinas oferecidas pelo programa de Mestrado em Extensão Rural da Universidade Federal de Viçosa.</w:t>
      </w: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MULHER RURAL E EMPODERAMENTO</w:t>
      </w:r>
    </w:p>
    <w:p>
      <w:pPr>
        <w:tabs>
          <w:tab w:val="center"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center"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valorização do tema voltado para a democracia de gênero tem intensificado estudos e discussões nas últimas décadas em praticamente todos os países do mundo ocidental e, principalmente, na América Latina. </w:t>
        <w:tab/>
        <w:t xml:space="preserve">Nessas abordagens despontam conceitos e categorias de análise que passam a ser apropriados nos discursos e estudos adquirindo vários sentidos, necessitando de melhor operacionalização em sua utilização. Isso tem ocorrido com o conceito de empoderamento. Originado da língua inglesa – </w:t>
      </w:r>
      <w:r>
        <w:rPr>
          <w:rFonts w:ascii="Times New Roman" w:hAnsi="Times New Roman" w:cs="Times New Roman" w:eastAsia="Times New Roman"/>
          <w:i/>
          <w:color w:val="auto"/>
          <w:spacing w:val="0"/>
          <w:position w:val="0"/>
          <w:sz w:val="24"/>
          <w:shd w:fill="auto" w:val="clear"/>
        </w:rPr>
        <w:t xml:space="preserve">empowerment</w:t>
      </w:r>
      <w:r>
        <w:rPr>
          <w:rFonts w:ascii="Times New Roman" w:hAnsi="Times New Roman" w:cs="Times New Roman" w:eastAsia="Times New Roman"/>
          <w:color w:val="auto"/>
          <w:spacing w:val="0"/>
          <w:position w:val="0"/>
          <w:sz w:val="24"/>
          <w:shd w:fill="auto" w:val="clear"/>
        </w:rPr>
        <w:t xml:space="preserve"> – o termo vem sendo usado com freqüência e seu sentido apropriado de forma a legitimar práticas diversas. No Brasil, são empregados dois sentidos para o conceito de empoderamento: um se referindo a ações destinadas à integração dos excluídos e demandatários de serviços públicos, programas e projetos promovidos pelos governos, bancos, agências de desenvolvimento e ONG´s assumindo um caráter de dádiva, de assistencialismo, despolitizado do processo de mudança (Romano, 2008) e o outro se referindo a um processo de mobilizações e práticas que objetivam promover e impulsionar o crescimento e autonomia de grupos e comunidades e a melhoria gradual e progressiva de suas vidas (Gohn, 2004). Assumindo posicionamento em favor do segundo sentido, no qual autores consideram que o empoderamento não pode ser feito a alguém por outra pessoa, mas se realiza num processo à medida que as relações sociais mudam (Deere e Léon, 2002; Romano, 2008) o presente trabalho constrói sua abordagem no caráter processual do empoderamento compreendendo que estamos lidando com relações de poder que envolvem conflitos no que diz respeito às rupturas com situações de dominação. Processo o qual coloca as pessoas, as organizações, as comunidades e o poder no centro dos mecanismos de desenvolvimento fazendo com que os atores sociais tomem consciência da sua habilidade e competência para produzir, criar e gerir, tornando-se capazes de transformar as relações de poder. </w:t>
      </w:r>
    </w:p>
    <w:p>
      <w:pPr>
        <w:tabs>
          <w:tab w:val="center"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No movimento de mulheres, o conceito de empoderamento passou a ser utilizado na II Conferência Mundial sobre as Mulheres, realizada pela ONU em 1985 na cidade de Nairóbi, no Quênia, onde aparece para designar uma estratégia conquistada por mulheres do Terceiro Mundo para mudar as próprias vidas. Em 1987, no 4º. Encontro Feminista Latino-Americano, em Taxco, no México foi iniciado um processo de movimento das mulheres na América Latina que permitiu um pensamento construtivo sobre outras formas de poder: poder para, poder com e poder de dentro (Deere e Léon, 2002) e atualmente, o termo tem sido usado em múltiplos sentidos, tanto na abordagem de desenvolvimento quanto nas relações sociais, como econômicas, políticas e cognitivas.</w:t>
      </w: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Deere e Léon (2002), essas outras formas de poder representam características positivas e aditivas relacionadas ao conceito. O “poder para” representa um poder criativo, catalisador de mudanças, promovendo o entusiasmo e a ação de todos, sem o uso da dominação do “poder sobre”, no qual o empoderamento de um designa a perda do poder de outrem. O “poder com” é a forma de poder que permite o compartilhamento, obtido quando um grupo gera uma solução coletiva que beneficia a todos, demonstrando que os interesses da coletividade são superiores aos interesses individuais dos membros deste grupo. A outra forma de poder positivo é “poder de dentro” que aparece quando alguém resiste e não se rejeita a se submeter a exigências impostas e indesejadas. O empoderamento irá ocorrer quando acontece uma mudança na tradicional dominação masculina sobre a mulher, sobre suas opiniões, sua sexualidade, seus valores.</w:t>
      </w: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 perspectiva das autoras, o empoderamento da mulher também empodera o homem nos campos materiais e psicológicos porque a mulher passa a dividir responsabilidades anteriormente assumidas por ele, como o sustento da casa. </w:t>
      </w:r>
    </w:p>
    <w:p>
      <w:pPr>
        <w:tabs>
          <w:tab w:val="center"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Identificamos os trabalhos de Gohn (2004) e Kleba e Wendausen (2009) que seguem essa mesma linha e caracterizam esses poderes em três níveis: pessoal ou psicológico, grupal ou organizacional e estrutural ou político. No nível pessoal temos o indivíduo como sendo o principal responsável por se sentir ativo e exercer influência sobre o meio, de tomar o destino em suas próprias mãos. Em sentido grupal ou organizacional situam-se as organizações sociais, associações, grupos de bairros e grupos religiosos organizados em experiências e decisões compartilhadas, onde são criados laços de pertencimento e identidade (GOHN, 2004). Em nível estrutural ou político, estão organizações mais amplas, associações políticas de maior amplitude, movimentos sociais, sindicatos e partidos políticos utilizando apoios externos, promovendo inserção nos projetos sociais e políticos, criando e conquistando espaços de participação (KLEBA E WENDAUSEN, 2009).</w:t>
      </w:r>
    </w:p>
    <w:p>
      <w:pPr>
        <w:tabs>
          <w:tab w:val="center"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Reiterando que o empoderamento abarca um processo relacional e conflituoso de ruptura com as estruturas existentes na sociedade, os estudos de Foucault sobre como se estruturam as relações de poder e os de Bourdieu (2005) sobre as relações de dominação a partir do conceito de </w:t>
      </w:r>
      <w:r>
        <w:rPr>
          <w:rFonts w:ascii="Times New Roman" w:hAnsi="Times New Roman" w:cs="Times New Roman" w:eastAsia="Times New Roman"/>
          <w:i/>
          <w:color w:val="auto"/>
          <w:spacing w:val="0"/>
          <w:position w:val="0"/>
          <w:sz w:val="24"/>
          <w:shd w:fill="auto" w:val="clear"/>
        </w:rPr>
        <w:t xml:space="preserve">habitus </w:t>
      </w:r>
      <w:r>
        <w:rPr>
          <w:rFonts w:ascii="Times New Roman" w:hAnsi="Times New Roman" w:cs="Times New Roman" w:eastAsia="Times New Roman"/>
          <w:color w:val="auto"/>
          <w:spacing w:val="0"/>
          <w:position w:val="0"/>
          <w:sz w:val="24"/>
          <w:shd w:fill="auto" w:val="clear"/>
        </w:rPr>
        <w:t xml:space="preserve">tornam-se importantes para lidarmos com o conceito de empoderamento. Segundo Foucault (2007) o poder é uma prática social e por isso mesmo é constituído historicamente articulado com a estrutura econômica, funcionando em rede (escola, igreja, família, Estado), encontrando exercício nas micro-relações de poder, envolvendo forças que se chocam e se contrapõem. Há nas relações de poder um constante enfrentamento que corrobora para o aspecto relacional e processual do empoderamento e com o embate constante com aspectos de dominação e vigilância. Os mecanismos que tendem a manter os cidadãos dependentes de serviços públicos e projetos de ações sociais de fundo assistencialista impossibilitam que o indivíduo vislumbre esse processo de enfrentamento e o rompimento com relações de poder verticais e alcancem seu empoderamento. </w:t>
      </w:r>
    </w:p>
    <w:p>
      <w:pPr>
        <w:tabs>
          <w:tab w:val="center"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Para Bourdieu (2005), o conceito de </w:t>
      </w:r>
      <w:r>
        <w:rPr>
          <w:rFonts w:ascii="Times New Roman" w:hAnsi="Times New Roman" w:cs="Times New Roman" w:eastAsia="Times New Roman"/>
          <w:i/>
          <w:color w:val="auto"/>
          <w:spacing w:val="0"/>
          <w:position w:val="0"/>
          <w:sz w:val="24"/>
          <w:shd w:fill="auto" w:val="clear"/>
        </w:rPr>
        <w:t xml:space="preserve">habitus </w:t>
      </w:r>
      <w:r>
        <w:rPr>
          <w:rFonts w:ascii="Times New Roman" w:hAnsi="Times New Roman" w:cs="Times New Roman" w:eastAsia="Times New Roman"/>
          <w:color w:val="auto"/>
          <w:spacing w:val="0"/>
          <w:position w:val="0"/>
          <w:sz w:val="24"/>
          <w:shd w:fill="auto" w:val="clear"/>
        </w:rPr>
        <w:t xml:space="preserve">sob a perspectiva das relações de dominação consiste num sistema socialmente constituído no qual a divisão entre os sexos se incorpora nos “</w:t>
      </w:r>
      <w:r>
        <w:rPr>
          <w:rFonts w:ascii="Times New Roman" w:hAnsi="Times New Roman" w:cs="Times New Roman" w:eastAsia="Times New Roman"/>
          <w:i/>
          <w:color w:val="auto"/>
          <w:spacing w:val="0"/>
          <w:position w:val="0"/>
          <w:sz w:val="24"/>
          <w:shd w:fill="auto" w:val="clear"/>
        </w:rPr>
        <w:t xml:space="preserve">habitus</w:t>
      </w:r>
      <w:r>
        <w:rPr>
          <w:rFonts w:ascii="Times New Roman" w:hAnsi="Times New Roman" w:cs="Times New Roman" w:eastAsia="Times New Roman"/>
          <w:color w:val="auto"/>
          <w:spacing w:val="0"/>
          <w:position w:val="0"/>
          <w:sz w:val="24"/>
          <w:shd w:fill="auto" w:val="clear"/>
        </w:rPr>
        <w:t xml:space="preserve"> dos agentes” e é continuamente realimentada e reforçada em relações sociais de dominação e exploração dentro de uma organização social baseada na divisão de gênero.</w:t>
      </w:r>
    </w:p>
    <w:p>
      <w:pPr>
        <w:tabs>
          <w:tab w:val="center"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noção de </w:t>
      </w:r>
      <w:r>
        <w:rPr>
          <w:rFonts w:ascii="Times New Roman" w:hAnsi="Times New Roman" w:cs="Times New Roman" w:eastAsia="Times New Roman"/>
          <w:i/>
          <w:color w:val="auto"/>
          <w:spacing w:val="0"/>
          <w:position w:val="0"/>
          <w:sz w:val="24"/>
          <w:shd w:fill="auto" w:val="clear"/>
        </w:rPr>
        <w:t xml:space="preserve">habitus </w:t>
      </w:r>
      <w:r>
        <w:rPr>
          <w:rFonts w:ascii="Times New Roman" w:hAnsi="Times New Roman" w:cs="Times New Roman" w:eastAsia="Times New Roman"/>
          <w:color w:val="auto"/>
          <w:spacing w:val="0"/>
          <w:position w:val="0"/>
          <w:sz w:val="24"/>
          <w:shd w:fill="auto" w:val="clear"/>
        </w:rPr>
        <w:t xml:space="preserve">internalizada pelo indivíduo na forma de comportamento corporal e esquemas de percepção e ação representa um mecanismo estruturante na dinâmica social e na construção das categorias homem e mulher. Dessa forma, a construção social do significado de homem e mulher é entendida como efeito de uma ordem social masculina que é objetivada, inscrita na “ordem das coisas”, na organização da vida social e absorvida pelos atores sociais como um sistema de interpretação na rotina da divisão do trabalho e nos rituais coletivos e privados.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dominação masculina se faz presente na identidade minoritária da mulher à qual lhe é sempre reservado o que é menor, fútil, mesquinho. Manifesta-se, inclusive no que é tido como especificidade positiva da mulher: a intuição. Essa característica, tida como especial, torna-se inseparável da submissão objetiva e subjetiva que obriga à vigilância, à atenção, à observação para pressentir, como forma de se precaver, de se proteger. O </w:t>
      </w:r>
      <w:r>
        <w:rPr>
          <w:rFonts w:ascii="Times New Roman" w:hAnsi="Times New Roman" w:cs="Times New Roman" w:eastAsia="Times New Roman"/>
          <w:i/>
          <w:color w:val="auto"/>
          <w:spacing w:val="0"/>
          <w:position w:val="0"/>
          <w:sz w:val="24"/>
          <w:shd w:fill="auto" w:val="clear"/>
        </w:rPr>
        <w:t xml:space="preserve">habitus </w:t>
      </w:r>
      <w:r>
        <w:rPr>
          <w:rFonts w:ascii="Times New Roman" w:hAnsi="Times New Roman" w:cs="Times New Roman" w:eastAsia="Times New Roman"/>
          <w:color w:val="auto"/>
          <w:spacing w:val="0"/>
          <w:position w:val="0"/>
          <w:sz w:val="24"/>
          <w:shd w:fill="auto" w:val="clear"/>
        </w:rPr>
        <w:t xml:space="preserve">sexual dominador está presente na violência simbólica por meios de esquemas de ações e percepções que fazem com que a pessoa não tenha o domínio do seu ser (submissão encantada). O fundamento da violência simbólica está nas estruturas de dominação que produzem o </w:t>
      </w:r>
      <w:r>
        <w:rPr>
          <w:rFonts w:ascii="Times New Roman" w:hAnsi="Times New Roman" w:cs="Times New Roman" w:eastAsia="Times New Roman"/>
          <w:i/>
          <w:color w:val="auto"/>
          <w:spacing w:val="0"/>
          <w:position w:val="0"/>
          <w:sz w:val="24"/>
          <w:shd w:fill="auto" w:val="clear"/>
        </w:rPr>
        <w:t xml:space="preserve">habitus</w:t>
      </w:r>
      <w:r>
        <w:rPr>
          <w:rFonts w:ascii="Times New Roman" w:hAnsi="Times New Roman" w:cs="Times New Roman" w:eastAsia="Times New Roman"/>
          <w:color w:val="auto"/>
          <w:spacing w:val="0"/>
          <w:position w:val="0"/>
          <w:sz w:val="24"/>
          <w:shd w:fill="auto" w:val="clear"/>
        </w:rPr>
        <w:t xml:space="preserve"> (disposições) até mesmo nas posições femininas na divisão do trabalho, como por exemplo, a dicotomia chefe/secretária no qual o chefe representa o poder, uma autoridade paternalista. Em função da negação do reconhecimento da mulher como profissional, alguns mecanismos como a sedução são utilizados para se impor e representar um recurso para obtenção de reconhecimento, reforçando os estereótipos existentes e a dominação simbólica, na qual as mulheres são constituídas como objetos simbólicos. Bourdieu (2005) considera que a unidade doméstica é o local onde a dominação masculina se manifesta de forma mais forte, inclusive através da violência física. Igreja, Escola e Estado também contribuem, através de ações oficiais e oficiosas, com mecanismos de dominação. Nesse contexto, Foucault (2007) e Bourdieu (2005) convergem para o sentido de redes de relações sociais onde o poder e a dominação simbólica residem.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às condutas sociais, Bourdieu (2005) observa que a sociedade lida com a identidade sexual binária, separada rigidamente entre masculino e feminino com características pré-definidas e que se situam “na ordem das coisas”, num sexismo essencialista justificado pela diferença biológica entre masculino e feminino. Essa separação androcêntrica é que determina a separação entre o espaço público e o privado e a participação feminina em cada um desses espaços. </w:t>
      </w:r>
    </w:p>
    <w:p>
      <w:pPr>
        <w:spacing w:before="0" w:after="0" w:line="240"/>
        <w:ind w:right="0" w:left="0" w:firstLine="360"/>
        <w:jc w:val="both"/>
        <w:rPr>
          <w:rFonts w:ascii="Arial" w:hAnsi="Arial" w:cs="Arial" w:eastAsia="Arial"/>
          <w:color w:val="auto"/>
          <w:spacing w:val="0"/>
          <w:position w:val="0"/>
          <w:sz w:val="10"/>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Nessa perspectiva de dominação a divisão social dos sexos se fez legítima ao longo dos tempos. </w:t>
      </w:r>
      <w:r>
        <w:rPr>
          <w:rFonts w:ascii="Times New Roman" w:hAnsi="Times New Roman" w:cs="Times New Roman" w:eastAsia="Times New Roman"/>
          <w:color w:val="000000"/>
          <w:spacing w:val="0"/>
          <w:position w:val="0"/>
          <w:sz w:val="24"/>
          <w:shd w:fill="auto" w:val="clear"/>
        </w:rPr>
        <w:t xml:space="preserve">Na Europa, no começo do século XX, influenciada pelas idéias do filósofo francês Jean-Jacques Rousseau, a sociedade busca uma definição para o espaço ocupado pelas mulheres através de uma perspectiva essencialista, na qual o diferencial entre homem e mulher baseia-se no fato de que “um deve ser ativo e forte, o outro passivo e fraco” (ROUSSEAU, 1995). No Brasil não foi diferente. A mulher brasileira também deveria se restringir ao ambiente privado evitando qualquer contato com o mundo público e esse discurso recebia amplo apoio de diversos setores da sociedade (Igreja, industriais, médicos e operários). Uma das matrizes teóricas que explicam essa dominação é a teoria do patriarcado. Weber (1977) define o patriarcado como uma situação em que a dominação econômica e familiar é exercida normalmente por uma só pessoa, uma forma de dominação fundada nas crenças, nas tradições, na autoridade, na obediência que se faz de forma espontânea, sem relação com princípios jurídicos. No Brasil, Freyre (2004) faz uma análise da história patriarcal do país e aponta como um dos vícios de nossa cultura a atmosfera da monocultura escravocrata e </w:t>
      </w:r>
      <w:r>
        <w:rPr>
          <w:rFonts w:ascii="Times New Roman" w:hAnsi="Times New Roman" w:cs="Times New Roman" w:eastAsia="Times New Roman"/>
          <w:color w:val="auto"/>
          <w:spacing w:val="0"/>
          <w:position w:val="0"/>
          <w:sz w:val="24"/>
          <w:shd w:fill="auto" w:val="clear"/>
        </w:rPr>
        <w:t xml:space="preserve">da família patriarcal, que interferia diretamente no mando político e estende-se a outras esferas da vida social, como a família. Sob a concepção do patriarcado a mulher é vista como patrimônio e juntamente com os bens da família, deve ser administrado pelo patriarca. Saffioti e Ferrante (1982) consideram o patriarcado não apenas um sistema de poder, mas também econômico: os homens trocam sustento e afeto por trabalho doméstico.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justamente na família patriarcal que estará a mediação entre o público e o privado e também nela se baseiam os princípios da autoridade do homem sobre a mulher, sua submissão consentida em respeito aos costumes, valores e tradições, a distribuição dos papéis entre os sexos, a resignação da mulher ao âmbito privado e à divisão sexual do trabalho.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Assim, se desenvolve o histórico de dominação, subordinação e exclusão das mulheres em várias formas de direito que ainda fazem com que os estudos sobre as relações de gênero ocupem relevante espaço no meio acadêmico.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Bourdieu (2005) aponta que a ruptura no quadro da dominação masculina nas sociedades pressupõe mudanças na consciência dos dominados e dos dominantes porque a dicotomia entre os sexos está fortemente presente nas práticas cotidianas e no </w:t>
      </w:r>
      <w:r>
        <w:rPr>
          <w:rFonts w:ascii="Times New Roman" w:hAnsi="Times New Roman" w:cs="Times New Roman" w:eastAsia="Times New Roman"/>
          <w:i/>
          <w:color w:val="000000"/>
          <w:spacing w:val="0"/>
          <w:position w:val="0"/>
          <w:sz w:val="24"/>
          <w:shd w:fill="auto" w:val="clear"/>
        </w:rPr>
        <w:t xml:space="preserve">habitus</w:t>
      </w:r>
      <w:r>
        <w:rPr>
          <w:rFonts w:ascii="Times New Roman" w:hAnsi="Times New Roman" w:cs="Times New Roman" w:eastAsia="Times New Roman"/>
          <w:color w:val="000000"/>
          <w:spacing w:val="0"/>
          <w:position w:val="0"/>
          <w:sz w:val="24"/>
          <w:shd w:fill="auto" w:val="clear"/>
        </w:rPr>
        <w:t xml:space="preserve"> de cada indivíduo de forma que pareça natural. Deriva desse fato a dificuldade da mulher rural se socializar e ocupar espaços públicos pois demanda romper o </w:t>
      </w:r>
      <w:r>
        <w:rPr>
          <w:rFonts w:ascii="Times New Roman" w:hAnsi="Times New Roman" w:cs="Times New Roman" w:eastAsia="Times New Roman"/>
          <w:i/>
          <w:color w:val="000000"/>
          <w:spacing w:val="0"/>
          <w:position w:val="0"/>
          <w:sz w:val="24"/>
          <w:shd w:fill="auto" w:val="clear"/>
        </w:rPr>
        <w:t xml:space="preserve">habitus </w:t>
      </w:r>
      <w:r>
        <w:rPr>
          <w:rFonts w:ascii="Times New Roman" w:hAnsi="Times New Roman" w:cs="Times New Roman" w:eastAsia="Times New Roman"/>
          <w:color w:val="000000"/>
          <w:spacing w:val="0"/>
          <w:position w:val="0"/>
          <w:sz w:val="24"/>
          <w:shd w:fill="auto" w:val="clear"/>
        </w:rPr>
        <w:t xml:space="preserve">de ser dominada e o de fazer com que os homens deixem de ser dominadores. Nesse aspecto que a noção de empoderamento se enquadra na medida em que representa pequenos ganhos e conquistas para a mulher rural se tornando mecanismo de ruptura e mudança em suas perspectivas de vida. </w:t>
      </w: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MULHER RURAL: EMPODERAMENTO ATRAVÉS DA PARTICIPAÇÃO NO ESPAÇO PÚBLICO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mecanismo de atuação das mulheres em organismos de participação representa uma forma de reconstruir esse processo cultural de dominação masculina que ainda permeia nossa sociedade.  O movimento feminista tem obtido fortalecimento com o direcionamento de movimento de mulheres voltadas para a questão rural e uma das constantes reivindicações diz respeito à propriedade da terra e capital. Segundo Fischer (2006) os grupos que questionam o caráter fundiário discutem especialmente a condição da mulher e seu direito a terra como parceira (a mulher casada figurava como dependente do homem) e como solteira a quem era vedada a posse da terra. Paralelamente, buscam formas de organização no órgão da classe e aderem a movimentos sociais para reivindicar o direito ao acesso aos meios de produção, terra e capital. Através do engajamento nos movimentos, as mulheres rurais alcançam novas significações tanto no âmbito privado quanto no público e essa nova posição se dá logo no momento de sua adesão.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adesão das mulheres ao movimento sindical é analisada por Pinto (2002) que  considera como sendo um rito de passagem do mundo privado para o mundo público, colocando o sujeito frente a novas relações de poder e, conseqüentemente, de tensão no interior da família, do local de trabalho, nas relações de afeto e vizinhança. De fato, tal atitude rompe tabus e preconceitos e coloca em voga novos valores e comportamentos desafiando relações de poder, principalmente em locais resistentes à participação da mulher no espaço público. Além disso, a autora nos diz que a participação das mulheres em movimentos sociais não as tornam necessariamente feministas, mas modifica sua inserção na rede de poderes de sua comunidade, através de novas práticas sociais.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 abertura do espaço sindical para as mulheres e a instauração da cota mínima de 30% de participação feminina estabelecida pela CUT e implantada à partir de 1995, não há muitas mulheres ocupando cargos de direção nos sindicatos. Boni (2004) e Sartori (2001) estudam a adoção das cotas e as mudanças nas relações de gênero entre sindicalizadas, ambos tendo o estado de Santa Catarina como campo de análise. Os autores buscaram compreender a visão tanto entre os dirigentes homens quanto entre as dirigentes mulheres com relação às cotas de participação feminina e encontraram opiniões divergentes: há quem concorde e quem discorde das cotas, mas todos assumem que ela é um forte instrumento de garantia para a democratização dos sindicatos, partidos políticos e demais movimentos. Destacam que quando ocorre resistência surge geralmente por parte das próprias mulheres. </w:t>
      </w:r>
    </w:p>
    <w:p>
      <w:pPr>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Sobre a instauração da cota de participação feminina, Boni (2004) pesquisa </w:t>
      </w:r>
      <w:r>
        <w:rPr>
          <w:rFonts w:ascii="Times New Roman" w:hAnsi="Times New Roman" w:cs="Times New Roman" w:eastAsia="Times New Roman"/>
          <w:color w:val="000000"/>
          <w:spacing w:val="0"/>
          <w:position w:val="0"/>
          <w:sz w:val="24"/>
          <w:shd w:fill="auto" w:val="clear"/>
        </w:rPr>
        <w:t xml:space="preserve">sob várias perspectivas e argumentos, dentre eles o que sustenta que a política de cotas pode representar uma formalidade para conquistar espaços, não significando poder. Apesar disso, considera as cotas o primeiro movimento significativo que motivou a organização das mulheres rurais no mundo sindical. A autora destaca que as mulheres agricultoras têm diferentes militâncias, que vão desde a comunidade, passando pela Igreja, até os movimentos sociais. Essas tarefas na esfera pública se acumulam com as atribuições da esfera privada, ou seja, conciliar atribuições de militância, educação dos filhos, afazeres domésticos, a criação de animais e o trabalho na lavoura, não é nada fácil, além de serem atividades tradicionalmente mais cobradas por serem consideradas atividades femininas de reprodução.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Deere e Léon (2002) corroboram com a análise de Boni no sentido em que, muitas das vezes ocorre a inclusão da mulher mas não sua aceitação. Dessa forma, nos leva a pensar que a questão da igualdade entre homens e mulheres requer uma transformação no acesso pela mulher tanto aos bens econômicos quanto ao poder, transformação essa que depende de um processo de empoderamento da mulher.</w:t>
      </w: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acesso à reivindicação pela igualdade de direitos e a visibilidade da mulher rural no espaço público representa uma ruptura com o nosso passado patriarcal e a estrutura androcêntrica que persiste há tempos. O movimento feminista tem ampliado discussões sobre a importância da participação da mulher no espaço público e o empoderamento surge como forma de legitimar a ação política na qual somente as mulheres serão capazes de derrubar o mecanismo de subalternidade feminina.</w:t>
      </w: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preciso destacar que a contestação dessa ruptura dominante que alimenta a invisibilidade feminina, seja no âmbito público ou privado, pode trazer algumas conseqüências, como relações de tensão na família e na comunidade. Como bem destaca Fischer (2006) essa contestação é encarada como desvio de identidade e mesmo com conquistas obtidas através de movimentos pagam um preço alto pela iniciativa de implementar mudanças nas regras sociais.</w:t>
      </w:r>
    </w:p>
    <w:p>
      <w:pPr>
        <w:tabs>
          <w:tab w:val="left" w:pos="720" w:leader="none"/>
          <w:tab w:val="left" w:pos="1695"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Mas é na elaboração dessas experiências que se dá o processo de construção de sujeitos inseridos no espaço coletivo. Não há mudança sem ruptura e as relações sociais estão impregnadas de valores objetivos e subjetivos nos quais, através deles, a sociedade é continuamente reelaborada e dessa forma, a ação das mulheres em movimentos de representação coletiva fornecem ferramentas para seu empoderamento capaz de expressar demandas, reivindicar direitos e ampliar sua cidadania. Assim as mulheres abrem possibilidades de ganharem visibilidade política construindo espaços de autonomia, inserindo-se nas relações de mercado, reorientando a divisão sexual do trabalho tanto no espaço privado quanto no público dividindo com o marido a condição de provedor do lar, conquistando pequenos espaços de liberdade para fazer escolhas, expor opiniões, traçando metas, enfim reconstruindo identidades.</w:t>
      </w: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A INVISIBILIDADE DA MÃO-DE-OBRA FEMININA NO CAMPO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influência do marxismo, iniciam-se discussões na década de 1970 voltadas para diferenciar “trabalho produtivo” de “trabalho improdutivo”. Nicholson (2000) chama atenção para o fato de que Marx ao demonstrar que, na emergente sociedade capitalista, a realização de atividades para a geração de renda se desloca da esfera da casa e acaba por assumir que o significado daquilo que é produtivo está relacionado ao realizado na esfera do mercado e pelo homem, e as atividades que se realizam na esfera doméstica dizem respeito às atividades reprodutivas, realizadas pelas mulheres. Dessa forma, na teoria marxista assume-se uma dissociação entre as esferas ditas produtivas e reprodutivas, desconsiderando-se, além disso, que a mulher está presente em ambas as esferas, só que de forma subjugada.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aspecto apontado por Nicholson (2000) diz respeito ao fato de que as tarefas realizadas pelas mulheres, de cuidado com os filhos, de limpeza da casa, das roupas, de preparação dos alimentos, dentre outras tarefas, são fundamentais para a reprodução do capital, visto que são realizadas gratuitamente pela “esposa”, mãe de família. Caso estas atividades tivessem que serem pagas, os salários pagos aos trabalhadores teriam que ser muito mais altos para que eles conseguissem manterem-se sadios e produtivos, e as crianças limpas, alimentadas, tratadas e educadas. Assim, se dentro da teoria marxista que se preocupa com a luta de classes e as formas de exploração dos proletários, falta contemplar a exploração de aproximadamente metade da população mundial, as mulheres, que têm a sua força de trabalho explorada e não paga. Desta forma, conclui Nicholson (2000), que mesmo que a reivindicação pela remuneração dos trabalhos domésticos das mulheres significasse a inclusão no mundo dos explorados proletários, como criticam aqueles marxistas que são contra as lutas feministas, elas estariam muito melhor em termos de autonomia econômica, face aos seus maridos e companheiros que na sua atual situação de dependência, desvalorização e invisibilidade do seu trabalho.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 participação considerada “invisível” na divisão do trabalho, a mulher rural desempenha relevante importância na produção agrícola. Desde a Idade Média, participam de espaços públicos assumindo papéis ocupados por seus maridos, que guerreavam em inúmeros conflitos. Assim, iniciam o acúmulo de funções que abarcam desde o cuidado dos filhos até a produção de alimentos e os espaços públicos e privados representam a divisão sexual do trabalho cabendo ao espaço público o local da supremacia masculina e da produção e o privado destinado ao âmbito da família, da reprodução e manutenção da propriedade. Embora simbolicamente separados, espaços públicos e privados, representam para as mulheres rurais locais imbricados onde, inconscientemente dessa bipartição, constantemente atuam desde tenra idade trabalhando e ajudando sua família na produção, sem reconhecimento do seu trabalho. Ao assumirem o matrimônio, essa “ajuda” é transferida ao trabalho com o marido e a posição subordinada da mulher não seria definida por uma relação de trabalho, mas por uma situação decorrente da relação conjugal (CARNEIRO, 1995).</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múltipla jornada de trabalho da mulher rural engloba praticamente todas as atividades domésticas, o trato dos animais, principalmente os menores (galinhas, porcos e animais domésticos), a ordenha das vacas, o cuidado do quintal e as</w:t>
      </w:r>
      <w:r>
        <w:rPr>
          <w:rFonts w:ascii="Times New Roman" w:hAnsi="Times New Roman" w:cs="Times New Roman" w:eastAsia="Times New Roman"/>
          <w:color w:val="231F2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vendas de produtos cultivados por elas, como ovos, natas e queijos (Brumer, 2004), cuja renda obtida, comumente é entregue ao marido. </w:t>
      </w:r>
      <w:r>
        <w:rPr>
          <w:rFonts w:ascii="Times New Roman" w:hAnsi="Times New Roman" w:cs="Times New Roman" w:eastAsia="Times New Roman"/>
          <w:color w:val="auto"/>
          <w:spacing w:val="0"/>
          <w:position w:val="0"/>
          <w:sz w:val="24"/>
          <w:shd w:fill="auto" w:val="clear"/>
        </w:rPr>
        <w:t xml:space="preserve">Sacralizada sob a ideologia patriarcal da mulher vitimizada, fraca, frágil, e que não teria forças para realizar trabalhos considerados “pesados” a invisibilidade do trabalho feminino no campo se reforçou.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das conseqüências dessa invisibilidade se relaciona ao reconhecimento de sua condição de trabalhadora assim como o acesso à terra e políticas públicas voltadas para a agricultura familiar, direito à aposentadoria e à sindicalização, o que bem reflete ainda nos dias de hoje, o essencialismo de Rousseau (1995) que representava, com sua personagem Sofia, as concepções de homem e mulher na qual “um deve ser ativo e forte, o outro passivo e fraco”.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nosso estudo, a questão central é o empoderamento de mulheres rurais através de atuação em sindicatos e movimentos políticos e sociais, e para tanto faz-se necessário analisarmos além da importância do trabalho feminino no meio rural, onde sabemos que a relevância de seu papel produtivo é inegável, como o caráter de mobilização dessas mulheres no espaço público a fim de reivindicar direitos. A construção da identidade de trabalhadora é vista como um instrumento capaz de transformá-la num sujeito político, conquistando espaços públicos e ao mesmo tempo essa inserção pode representar um obstáculo à socialização da mulher como sujeito coletivo (Carneiro, 1995). Nesse sentido, a autora aponta que surgiriam duas perspectivas: transformar a produção familiar em formas assalariadas de produção e reconhecimento do estatuto profissional da mulher como “agricultora” em detrimento a identidade de “esposa de agricultor”. O acesso da mulher ao trabalho remunerado ou alguma forma de renda própria poderia torná-la independente do marido, inserindo-se nas relações de mercado, reorientado a divisão sexual do trabalho e dividindo com o marido a condição de provedor do lar, conquistando pequenos espaços de liberdade para fazer escolhas, expor opiniões, traçando metas, enfim reconstruindo identidades.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Questionar a tradicional condição feminina, particularmente no meio rural representa romper amarras da realidade da dominação masculina e redefinir regras sociais e mudanças nos valores que regem a sociedade, possibilitando a construção de uma nova identidade da mulher rural. Papel esse, que só a mulher pode representar.  Nas relações estabelecidas no contexto de partidos políticos, sindicatos ou movimentos sociais, emerge uma nova relação de poder na medida em que a mulher, atuante no espaço coletivo, torna-se sujeito de sua própria história.</w:t>
      </w:r>
    </w:p>
    <w:p>
      <w:pPr>
        <w:spacing w:before="0" w:after="0" w:line="360"/>
        <w:ind w:right="0" w:left="0" w:firstLine="35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35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35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35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357"/>
        <w:jc w:val="both"/>
        <w:rPr>
          <w:rFonts w:ascii="Times New Roman" w:hAnsi="Times New Roman" w:cs="Times New Roman" w:eastAsia="Times New Roman"/>
          <w:color w:val="auto"/>
          <w:spacing w:val="0"/>
          <w:position w:val="0"/>
          <w:sz w:val="24"/>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TERRA, PREVIDÊNCIA SOCIAL E POLÍTICAS PÚBLICAS: EMPODERAMENTO PARA MULHERES RURAIS</w:t>
      </w:r>
    </w:p>
    <w:p>
      <w:pPr>
        <w:spacing w:before="0" w:after="0" w:line="360"/>
        <w:ind w:right="0" w:left="0" w:firstLine="708"/>
        <w:jc w:val="center"/>
        <w:rPr>
          <w:rFonts w:ascii="Times New Roman" w:hAnsi="Times New Roman" w:cs="Times New Roman" w:eastAsia="Times New Roman"/>
          <w:b/>
          <w:color w:val="auto"/>
          <w:spacing w:val="0"/>
          <w:position w:val="0"/>
          <w:sz w:val="20"/>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Deere e Léon (2002) destacam que os movimentos de mulheres da América Latina têm dado menos importância à defesa dos direitos de propriedade em comparação às reivindicações de direitos reprodutivos e o fim da violência praticada contra a mulher. Consideram ainda que as questões de redistribuição de posse são fundamentais para transformar as relações de gênero e acabar com a subordinação da mulher ao homem. As autoras argumentam que a forma pela qual a herança era distribuída contribui para a defasagem de distribuição de terras entre os sexos.</w:t>
      </w:r>
    </w:p>
    <w:p>
      <w:pPr>
        <w:spacing w:before="0" w:after="0" w:line="360"/>
        <w:ind w:right="0" w:left="0" w:firstLine="708"/>
        <w:jc w:val="both"/>
        <w:rPr>
          <w:rFonts w:ascii="Times New Roman" w:hAnsi="Times New Roman" w:cs="Times New Roman" w:eastAsia="Times New Roman"/>
          <w:color w:val="auto"/>
          <w:spacing w:val="0"/>
          <w:position w:val="0"/>
          <w:sz w:val="10"/>
          <w:shd w:fill="auto" w:val="clear"/>
        </w:rPr>
      </w:pPr>
    </w:p>
    <w:p>
      <w:pPr>
        <w:spacing w:before="0" w:after="0" w:line="240"/>
        <w:ind w:right="0" w:left="141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a herança houvesse seguido a norma legal de herança igualitária entre todos os filhos, independentemente de gênero, a distribuição de bens na América Latina hoje seria relativamente equilibrada entre os sexos, uma situação que dificilmente ocorre. As regras sociais que governam a transmissão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0"/>
          <w:shd w:fill="auto" w:val="clear"/>
        </w:rPr>
        <w:t xml:space="preserve">de bens produtivos – ou seja, a construção social de masculinidade e feminilidade em que os homens são definidos como os produtores e principais ganhadores de renda e as mulheres como donas de casa dependentes – tem gerado uma considerável desigualdade de gênero na posse de bens.” (Deere e Léon, 2002: P. 41)</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desigualdade de gênero na posse das terras, como as autoras apontam, assim como a desigualdade e a dificuldade no acesso à renda, compõem a realidade rural brasileira. A sucessão das terras ainda é um assunto delicado no seio da família e constantemente velado, circula pelo imaginário dos filhos aguardando a definição final do patriarca. Paulilo (2009) aborda o aspecto da sucessão familiar nas propriedades rurais do sul do Brasil, região de colonização italiana e alemã na qual a sucessão se dá em grande maioria, aos filhos homens. As mulheres se tornam agricultoras através do casamento, ou quando o casal não possui descendência masculina ou quando uma filha casada irá cuidar dos pais na velhice. O que se destaca é que se for necessário excluir alguém da sucessão, certamente será a mulher. Destaca ainda que mesmo a terra pertencendo à mulher por herança, o marido é considerado responsável. É também de Paulilo (2004) a reflexão de que assim como ocorre a exclusão feminina ao acesso à terra elas também são alijadas de políticas públicas voltadas para a agricultura familiar e previdência social.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Brumer (2002) destaca para a tardia inclusão dos trabalhadores rurais familiares no sistema previdenciário, com relação a outras categorias de trabalhadores, e principalmente, com relação a inclusão das mulheres rurais trabalhadoras, que ocorreu ainda mais tarde. Segundo a autora isso deve principalmente pelo fato de que para poder receber os benefícios da previdência social as mulheres deviam, antes de mais nada, ser reconhecidas como trabalhadoras rurais:</w:t>
      </w:r>
    </w:p>
    <w:p>
      <w:pPr>
        <w:spacing w:before="0" w:after="0" w:line="360"/>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40"/>
        <w:ind w:right="0" w:left="141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“Esse reconhecimento, por sua vez, era de difícil comprovação, tendo em vista que grande parte do trabalho feito por elas é invisível, sendo geralmente declarado como ‘ajuda’ às tarefas executadas pelos homens e, com freqüência, restrito às atividades domésticas, mesmo que essas incluam atividades vinculadas à produção.” (Brumer, 2002, p. 3)</w:t>
      </w:r>
    </w:p>
    <w:p>
      <w:pPr>
        <w:spacing w:before="0" w:after="0" w:line="360"/>
        <w:ind w:right="0" w:left="708" w:firstLine="708"/>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aponta a autora, o fato de a trabalhadora rural receber a aposentadoria, pensão ou licença-maternidade diretamente em seu nome através de conta bancária e poder definir a forma de gastar e gerir esse dinheiro aumenta seu poder pessoal podendo se tornar provedoras contribuindo com recursos financeiros da unidade familiar. Como também destaca Brumer (2002), o outro valor simbólico do acesso das mulheres à previdência social rural como beneficiárias diretas é a noção de que conquistaram direitos, aumentando sua consciência sobre participação e garantia de direitos. Considera também que o movimento das mulheres do campo foi bem sucedido haja vista o atendimento da maioria de suas reivindicações relativas à Previdência Social, pela Constituição Federal de 1988, apesar de nem todas terem sido colocadas em prática ainda.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REVESES DO EMPODERAMENTO</w:t>
      </w:r>
    </w:p>
    <w:p>
      <w:pPr>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contestação dessa estrutura dominante que alimenta a invisibilidade feminina, seja no âmbito público ou privado, pode trazer alguns reveses como relações de tensão na família e na comunidade e a criação de estereótipos depreciativos. Apontam para esse sentido os trabalhos de Antunes (2006), Cortez e Souza (2008) e Sartori (2001).  Na pesquisa de Antunes (2006) com o movimento das babaçueiras do Maranhão a autora questiona como transferir o empoderamento coletivo, alcançado na esfera pública na luta pelo direito ao livre acesso e proteção do recurso natural babaçu, para o empoderamento individual da mulher na esfera privada. Ela constatou em seu trabalho a existência de lideranças empoderadas e esposas desempoderadas, demonstrando que essas mulheres mudam de papéis ao entrarem em suas casas, deixando todo o poder alcançado na esfera coletiva do lado de fora.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mesmo sentido, Cortez e Souza (2008) destacam as</w:t>
      </w:r>
      <w:r>
        <w:rPr>
          <w:rFonts w:ascii="Times-Roman" w:hAnsi="Times-Roman" w:cs="Times-Roman" w:eastAsia="Times-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implicações do empoderamento de mulheres em suas relações conjugais e a repercussão que isso tem causado nos índices de violência conjugal. Aspectos como trabalho assalariado, questionamentos sobre a vida sexual e maior participação no âmbito público são sinalizadores do empoderamento das mulheres e se tornam “ameaçadores” à tradicional dominação masculina.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Dessa forma, os homens tentam proteger sua masculinidade através da violência praticada contra a mulher o que também representa mecanismo de suprimir manifestações femininas de poder.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aspecto que consideramos como revés do empoderamento é a deturpação da imagem da mulher engajada nos movimentos. Sartori (2001) localiza quatro estereótipos relacionados ao lugar da mulher na política sindical. Há os que as consideram “mulheres ponderadas e responsáveis”, os que acham que não são qualificadas para a política e “nasceram para cuidar dos filhos”, os que vêem a participação das mulheres como um atrativo para o sindicato, pois as mulheres “ornamentam” o sindicato, “uma coisa boa ter bastante mulher” e os que pensam que as mulheres “se masculinizam”, se “embrutecem” e que as mulheres participantes do movimento sindical são “feias, mal amadas e estão no movimento para conseguir marido” ou que são “liberadas sexualmente”, não têm compromissos familiares.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podemos constatar que a luta pela autonomia e direito de participação das mulheres nos espaços públicos implica em rupturas diárias. Mas é na elaboração dessas experiências que se dá o processo de construção de sujeitos inseridos no espaço coletivo. O próprio conceito de empoderamento abarca o sentido conflituoso, de rupturas e embates. Não há mudança sem ruptura e as relações sociais estão impregnadas de valores objetivos e subjetivos nos quais, através deles, a sociedade é continuamente reelaborada e dessa forma, a ação das mulheres em movimentos de representação coletiva fornecem ferramentas para seu empoderamento capazes de expressar demandas, reivindicar direitos e ampliar sua cidadania. Dessa forma as mulheres sindicalizadas rurais abrem possibilidades de ganharem visibilidade política construindo espaços de autonomia, inserindo-se nas relações de mercado, reorientando a divisão sexual do trabalho tanto no espaço privado quanto no público dividindo com o marido a condição de provedor do lar, conquistando pequenos espaços de liberdade para fazer escolhas, expor opiniões, traçando metas, enfim reconstruindo identidades.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Transformá-las em sujeitos coletivos atuantes, através da mobilização é uma necessidade para se construir uma nova identidade da mulher rural conferindo visibilidade e participação nos processos de produção, gerando o empoderamento. Através dessa perspectiva o empoderamento pode ser considerado, segundo perspectivas feministas, como uma mudança radical dos processos e das estruturas que reproduzem a posição subordinada da mulher como um gênero, e no âmbito do desenvolvimento, considerado sinônimo de participação ou integração das pessoas no planejamento e desenvolvimento, pois como bem aponta Deere e Léon (2002), implícita nos diferentes usos da palavra está a noção de pessoas obtendo poder sobre suas próprias vidas.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CONSIDERAÇÕES FINAIS</w:t>
      </w: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720"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As mulheres rurais que atuam em sindicatos, partidos políticos e em movimentos sociais vêm conquistando uma maior visibilidade enquanto sujeitos políticos ao lutar pela melhoria das condições de vida das trabalhadoras. O engajamento em movimentos sociais abre espaço para o processo de ressignificação de sua posição nas relações familiares, matrimoniais, comunitárias, enfraquecendo as estruturas patriarcais presentes no meio rural.</w:t>
      </w:r>
    </w:p>
    <w:p>
      <w:pPr>
        <w:tabs>
          <w:tab w:val="left" w:pos="7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atuação política em torno do reconhecimento e reivindicação de direitos não pode ser vista como um fator causal de influência direta sobre novas posturas da mulher rural no lar, mas a colocaram em contato com mecanismos proporcionam à mulher identificar elementos de sua subalternidade nas relações de gênero no âmbito público e privado. </w:t>
      </w: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7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REFERÊNCIAS BIBLIOGRÁFICAS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ANTUNES, M. As guardiãs da floresta do babaçu e o tortuoso caminho do empoderamento. In: WOORTMANN, E.; HEREDIA, B.; MENASCHE, R. (Orgs.). </w:t>
      </w:r>
      <w:r>
        <w:rPr>
          <w:rFonts w:ascii="Times New Roman" w:hAnsi="Times New Roman" w:cs="Times New Roman" w:eastAsia="Times New Roman"/>
          <w:b/>
          <w:i/>
          <w:color w:val="auto"/>
          <w:spacing w:val="0"/>
          <w:position w:val="0"/>
          <w:sz w:val="24"/>
          <w:shd w:fill="auto" w:val="clear"/>
        </w:rPr>
        <w:t xml:space="preserve">Margarida Alves: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coletânea sobre estudos rurais e gênero. Brasília: NEAD/MDA/IICA, 2006.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BONI, V. Poder e igualdade: as relações de gênero entre sindicalistas rurais. In: PAULILO, M. I. S.; AUED, B. W.  (Orgs.). </w:t>
      </w:r>
      <w:r>
        <w:rPr>
          <w:rFonts w:ascii="Times New Roman" w:hAnsi="Times New Roman" w:cs="Times New Roman" w:eastAsia="Times New Roman"/>
          <w:b/>
          <w:color w:val="auto"/>
          <w:spacing w:val="0"/>
          <w:position w:val="0"/>
          <w:sz w:val="24"/>
          <w:shd w:fill="auto" w:val="clear"/>
        </w:rPr>
        <w:t xml:space="preserve">A agricultura familiar.</w:t>
      </w:r>
      <w:r>
        <w:rPr>
          <w:rFonts w:ascii="Times New Roman" w:hAnsi="Times New Roman" w:cs="Times New Roman" w:eastAsia="Times New Roman"/>
          <w:color w:val="auto"/>
          <w:spacing w:val="0"/>
          <w:position w:val="0"/>
          <w:sz w:val="24"/>
          <w:shd w:fill="auto" w:val="clear"/>
        </w:rPr>
        <w:t xml:space="preserve"> Florianópolis: Insular, 2004.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Pierre.</w:t>
      </w:r>
      <w:r>
        <w:rPr>
          <w:rFonts w:ascii="Times New Roman" w:hAnsi="Times New Roman" w:cs="Times New Roman" w:eastAsia="Times New Roman"/>
          <w:b/>
          <w:color w:val="auto"/>
          <w:spacing w:val="0"/>
          <w:position w:val="0"/>
          <w:sz w:val="24"/>
          <w:shd w:fill="auto" w:val="clear"/>
        </w:rPr>
        <w:t xml:space="preserve"> A Dominação Masculina.</w:t>
      </w:r>
      <w:r>
        <w:rPr>
          <w:rFonts w:ascii="Times New Roman" w:hAnsi="Times New Roman" w:cs="Times New Roman" w:eastAsia="Times New Roman"/>
          <w:color w:val="auto"/>
          <w:spacing w:val="0"/>
          <w:position w:val="0"/>
          <w:sz w:val="24"/>
          <w:shd w:fill="auto" w:val="clear"/>
        </w:rPr>
        <w:t xml:space="preserve"> Tradução de Maria Helena Kühner. Rio de Janeiro: Bertrand Brasil, 2005.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BRUMER, Anita. Gênero e Agricultura: a situação da mulher na agricultura do Rio Grande do Sul In: </w:t>
      </w:r>
      <w:r>
        <w:rPr>
          <w:rFonts w:ascii="Times New Roman" w:hAnsi="Times New Roman" w:cs="Times New Roman" w:eastAsia="Times New Roman"/>
          <w:b/>
          <w:color w:val="000000"/>
          <w:spacing w:val="0"/>
          <w:position w:val="0"/>
          <w:sz w:val="24"/>
          <w:shd w:fill="auto" w:val="clear"/>
        </w:rPr>
        <w:t xml:space="preserve">Revistas Estudos Feministas</w:t>
      </w:r>
      <w:r>
        <w:rPr>
          <w:rFonts w:ascii="Times New Roman" w:hAnsi="Times New Roman" w:cs="Times New Roman" w:eastAsia="Times New Roman"/>
          <w:color w:val="000000"/>
          <w:spacing w:val="0"/>
          <w:position w:val="0"/>
          <w:sz w:val="24"/>
          <w:shd w:fill="auto" w:val="clear"/>
        </w:rPr>
        <w:t xml:space="preserve">, Florianópolis, 12(1): 360, janeiro-abril/2004.</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_____________. Previdência Social Rural e Gênero</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In: </w:t>
      </w:r>
      <w:r>
        <w:rPr>
          <w:rFonts w:ascii="Times New Roman" w:hAnsi="Times New Roman" w:cs="Times New Roman" w:eastAsia="Times New Roman"/>
          <w:b/>
          <w:color w:val="000000"/>
          <w:spacing w:val="0"/>
          <w:position w:val="0"/>
          <w:sz w:val="24"/>
          <w:shd w:fill="auto" w:val="clear"/>
        </w:rPr>
        <w:t xml:space="preserve">Sociologias</w:t>
      </w:r>
      <w:r>
        <w:rPr>
          <w:rFonts w:ascii="Times New Roman" w:hAnsi="Times New Roman" w:cs="Times New Roman" w:eastAsia="Times New Roman"/>
          <w:color w:val="000000"/>
          <w:spacing w:val="0"/>
          <w:position w:val="0"/>
          <w:sz w:val="24"/>
          <w:shd w:fill="auto" w:val="clear"/>
        </w:rPr>
        <w:t xml:space="preserve">, Porto Alegre, ano 4, número 7, p. 50-81, jan-jun (2002).</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BRUMER, Anita; FREIRE, Nádia Maria Schuch. O trabalho da mulher na pequena produção agrícola. </w:t>
      </w:r>
      <w:r>
        <w:rPr>
          <w:rFonts w:ascii="Times New Roman" w:hAnsi="Times New Roman" w:cs="Times New Roman" w:eastAsia="Times New Roman"/>
          <w:b/>
          <w:color w:val="000000"/>
          <w:spacing w:val="0"/>
          <w:position w:val="0"/>
          <w:sz w:val="24"/>
          <w:shd w:fill="auto" w:val="clear"/>
        </w:rPr>
        <w:t xml:space="preserve">Revista do Instituto de Filosofia e Ciências Humanas</w:t>
      </w:r>
      <w:r>
        <w:rPr>
          <w:rFonts w:ascii="Times New Roman" w:hAnsi="Times New Roman" w:cs="Times New Roman" w:eastAsia="Times New Roman"/>
          <w:b/>
          <w:i/>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da Universidade Federal do Rio Grande do Sul</w:t>
      </w:r>
      <w:r>
        <w:rPr>
          <w:rFonts w:ascii="Times New Roman" w:hAnsi="Times New Roman" w:cs="Times New Roman" w:eastAsia="Times New Roman"/>
          <w:color w:val="000000"/>
          <w:spacing w:val="0"/>
          <w:position w:val="0"/>
          <w:sz w:val="24"/>
          <w:shd w:fill="auto" w:val="clear"/>
        </w:rPr>
        <w:t xml:space="preserve">, ano XI/XI, p. 305-322, 1983/1984.</w:t>
      </w:r>
    </w:p>
    <w:p>
      <w:pPr>
        <w:spacing w:before="0" w:after="0" w:line="360"/>
        <w:ind w:right="0" w:left="0" w:firstLine="680"/>
        <w:jc w:val="left"/>
        <w:rPr>
          <w:rFonts w:ascii="Times New Roman" w:hAnsi="Times New Roman" w:cs="Times New Roman" w:eastAsia="Times New Roman"/>
          <w:b/>
          <w:color w:val="000000"/>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CARNEIRO, Maria José. </w:t>
      </w:r>
      <w:r>
        <w:rPr>
          <w:rFonts w:ascii="Times New Roman" w:hAnsi="Times New Roman" w:cs="Times New Roman" w:eastAsia="Times New Roman"/>
          <w:b/>
          <w:color w:val="auto"/>
          <w:spacing w:val="0"/>
          <w:position w:val="0"/>
          <w:sz w:val="24"/>
          <w:shd w:fill="auto" w:val="clear"/>
        </w:rPr>
        <w:t xml:space="preserve">Ajuda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 trabalho: </w:t>
      </w:r>
      <w:r>
        <w:rPr>
          <w:rFonts w:ascii="Times New Roman" w:hAnsi="Times New Roman" w:cs="Times New Roman" w:eastAsia="Times New Roman"/>
          <w:color w:val="auto"/>
          <w:spacing w:val="0"/>
          <w:position w:val="0"/>
          <w:sz w:val="24"/>
          <w:shd w:fill="auto" w:val="clear"/>
        </w:rPr>
        <w:t xml:space="preserve">a subordinação da mulher no campo.</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1981. ANPOCS </w:t>
      </w:r>
    </w:p>
    <w:p>
      <w:pPr>
        <w:spacing w:before="0" w:after="0" w:line="360"/>
        <w:ind w:right="0" w:left="567" w:hanging="567"/>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 A pluriatividade na agricultura familiar. In: </w:t>
      </w:r>
      <w:r>
        <w:rPr>
          <w:rFonts w:ascii="Times New Roman" w:hAnsi="Times New Roman" w:cs="Times New Roman" w:eastAsia="Times New Roman"/>
          <w:b/>
          <w:color w:val="auto"/>
          <w:spacing w:val="0"/>
          <w:position w:val="0"/>
          <w:sz w:val="24"/>
          <w:shd w:fill="auto" w:val="clear"/>
        </w:rPr>
        <w:t xml:space="preserve">Revista Estudos Sociedade e Agricultura</w:t>
      </w:r>
      <w:r>
        <w:rPr>
          <w:rFonts w:ascii="Times New Roman" w:hAnsi="Times New Roman" w:cs="Times New Roman" w:eastAsia="Times New Roman"/>
          <w:color w:val="auto"/>
          <w:spacing w:val="0"/>
          <w:position w:val="0"/>
          <w:sz w:val="24"/>
          <w:shd w:fill="auto" w:val="clear"/>
        </w:rPr>
        <w:t xml:space="preserve">, 19, outubro, p.176-183, 2002.</w:t>
      </w:r>
    </w:p>
    <w:p>
      <w:pPr>
        <w:spacing w:before="0" w:after="0" w:line="360"/>
        <w:ind w:right="0" w:left="567" w:hanging="567"/>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 Mulheres no campo: notas sobre sua participação política e a condição social do gênero. In: </w:t>
      </w:r>
      <w:r>
        <w:rPr>
          <w:rFonts w:ascii="Times New Roman" w:hAnsi="Times New Roman" w:cs="Times New Roman" w:eastAsia="Times New Roman"/>
          <w:b/>
          <w:color w:val="auto"/>
          <w:spacing w:val="0"/>
          <w:position w:val="0"/>
          <w:sz w:val="24"/>
          <w:shd w:fill="auto" w:val="clear"/>
        </w:rPr>
        <w:t xml:space="preserve">Revista Estudos Sociedade e Agricultura</w:t>
      </w:r>
      <w:r>
        <w:rPr>
          <w:rFonts w:ascii="Times New Roman" w:hAnsi="Times New Roman" w:cs="Times New Roman" w:eastAsia="Times New Roman"/>
          <w:color w:val="auto"/>
          <w:spacing w:val="0"/>
          <w:position w:val="0"/>
          <w:sz w:val="24"/>
          <w:shd w:fill="auto" w:val="clear"/>
        </w:rPr>
        <w:t xml:space="preserve">, 2, junho, 11-22, 1994</w:t>
      </w:r>
    </w:p>
    <w:p>
      <w:pPr>
        <w:spacing w:before="0" w:after="0" w:line="360"/>
        <w:ind w:right="0" w:left="567" w:hanging="567"/>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 Pluriatividade: uma resposta à crise da exploração familiar? In.: Projeto de Intercâmbio de Pesquisa Social em Agricultura. Associação PIPSA. Anais do XVII Encontro Nacional. Vol. 1. Programa Pós-graduação Sociologia / Instituto de Filosofia e Ciências Humanas. UFRS. Porto Alegre, 1995.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 Ruralidades: novas identidades em construção. In: </w:t>
      </w:r>
      <w:r>
        <w:rPr>
          <w:rFonts w:ascii="Times New Roman" w:hAnsi="Times New Roman" w:cs="Times New Roman" w:eastAsia="Times New Roman"/>
          <w:b/>
          <w:color w:val="auto"/>
          <w:spacing w:val="0"/>
          <w:position w:val="0"/>
          <w:sz w:val="24"/>
          <w:shd w:fill="auto" w:val="clear"/>
        </w:rPr>
        <w:t xml:space="preserve">Revista Estudos Sociedade e Agricultura.</w:t>
      </w:r>
      <w:r>
        <w:rPr>
          <w:rFonts w:ascii="Times New Roman" w:hAnsi="Times New Roman" w:cs="Times New Roman" w:eastAsia="Times New Roman"/>
          <w:color w:val="auto"/>
          <w:spacing w:val="0"/>
          <w:position w:val="0"/>
          <w:sz w:val="24"/>
          <w:shd w:fill="auto" w:val="clear"/>
        </w:rPr>
        <w:t xml:space="preserve"> No. 11, 1998.</w:t>
      </w:r>
    </w:p>
    <w:p>
      <w:pPr>
        <w:spacing w:before="0" w:after="0" w:line="360"/>
        <w:ind w:right="0" w:left="567" w:hanging="567"/>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CARNEIRO, Maria José e TEIXEIRA, Vanessa Lopes. Mulher rural nos discursos dos mediadores.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In: </w:t>
      </w:r>
      <w:r>
        <w:rPr>
          <w:rFonts w:ascii="Times New Roman" w:hAnsi="Times New Roman" w:cs="Times New Roman" w:eastAsia="Times New Roman"/>
          <w:b/>
          <w:color w:val="auto"/>
          <w:spacing w:val="0"/>
          <w:position w:val="0"/>
          <w:sz w:val="24"/>
          <w:shd w:fill="auto" w:val="clear"/>
        </w:rPr>
        <w:t xml:space="preserve">Revista Estudos Sociedade e Agricultura</w:t>
      </w:r>
      <w:r>
        <w:rPr>
          <w:rFonts w:ascii="Times New Roman" w:hAnsi="Times New Roman" w:cs="Times New Roman" w:eastAsia="Times New Roman"/>
          <w:color w:val="auto"/>
          <w:spacing w:val="0"/>
          <w:position w:val="0"/>
          <w:sz w:val="24"/>
          <w:shd w:fill="auto" w:val="clear"/>
        </w:rPr>
        <w:t xml:space="preserve">, 05, novembro, 45-57, 2005.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CORTEZ, Mirian Béccheri; SOUZA, Lídio de. Mulheres (in) Subordinadas: o empoderamento feminino e suas repercussões nas ocorrências de violência conjugal. </w:t>
      </w:r>
      <w:r>
        <w:rPr>
          <w:rFonts w:ascii="Times New Roman" w:hAnsi="Times New Roman" w:cs="Times New Roman" w:eastAsia="Times New Roman"/>
          <w:b/>
          <w:color w:val="auto"/>
          <w:spacing w:val="0"/>
          <w:position w:val="0"/>
          <w:sz w:val="24"/>
          <w:shd w:fill="auto" w:val="clear"/>
        </w:rPr>
        <w:t xml:space="preserve">Revista Psicologia: Teoria e Pesquisa</w:t>
      </w:r>
      <w:r>
        <w:rPr>
          <w:rFonts w:ascii="Times New Roman" w:hAnsi="Times New Roman" w:cs="Times New Roman" w:eastAsia="Times New Roman"/>
          <w:color w:val="auto"/>
          <w:spacing w:val="0"/>
          <w:position w:val="0"/>
          <w:sz w:val="24"/>
          <w:shd w:fill="auto" w:val="clear"/>
        </w:rPr>
        <w:t xml:space="preserve">, Vitória, v. 24, n◦ 2, p. 171-180, 2008.</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DEERE, Carmen D.; LEÓN, Magdalena. </w:t>
      </w:r>
      <w:r>
        <w:rPr>
          <w:rFonts w:ascii="Times New Roman" w:hAnsi="Times New Roman" w:cs="Times New Roman" w:eastAsia="Times New Roman"/>
          <w:b/>
          <w:color w:val="auto"/>
          <w:spacing w:val="0"/>
          <w:position w:val="0"/>
          <w:sz w:val="24"/>
          <w:shd w:fill="auto" w:val="clear"/>
        </w:rPr>
        <w:t xml:space="preserve">O empoderamento da mulher: </w:t>
      </w:r>
      <w:r>
        <w:rPr>
          <w:rFonts w:ascii="Times New Roman" w:hAnsi="Times New Roman" w:cs="Times New Roman" w:eastAsia="Times New Roman"/>
          <w:color w:val="auto"/>
          <w:spacing w:val="0"/>
          <w:position w:val="0"/>
          <w:sz w:val="24"/>
          <w:shd w:fill="auto" w:val="clear"/>
        </w:rPr>
        <w:t xml:space="preserve">direitos à terra e direitos de propriedade na América Latina.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Porto Alegre: Editora da UFRGS, 2002.</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ENGELS, Friedrich. </w:t>
      </w:r>
      <w:r>
        <w:rPr>
          <w:rFonts w:ascii="Times New Roman" w:hAnsi="Times New Roman" w:cs="Times New Roman" w:eastAsia="Times New Roman"/>
          <w:b/>
          <w:color w:val="auto"/>
          <w:spacing w:val="0"/>
          <w:position w:val="0"/>
          <w:sz w:val="24"/>
          <w:shd w:fill="auto" w:val="clear"/>
        </w:rPr>
        <w:t xml:space="preserve">A Origem da Família, da Propriedade Privada e do Estado.</w:t>
      </w:r>
      <w:r>
        <w:rPr>
          <w:rFonts w:ascii="Times New Roman" w:hAnsi="Times New Roman" w:cs="Times New Roman" w:eastAsia="Times New Roman"/>
          <w:color w:val="auto"/>
          <w:spacing w:val="0"/>
          <w:position w:val="0"/>
          <w:sz w:val="24"/>
          <w:shd w:fill="auto" w:val="clear"/>
        </w:rPr>
        <w:t xml:space="preserve"> Tradução de Leandro Konder. Rio de Janeiro: Civilização Brasileira, 1980.</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FISCHER, Izaura Rufino. </w:t>
      </w:r>
      <w:r>
        <w:rPr>
          <w:rFonts w:ascii="Times New Roman" w:hAnsi="Times New Roman" w:cs="Times New Roman" w:eastAsia="Times New Roman"/>
          <w:b/>
          <w:color w:val="auto"/>
          <w:spacing w:val="0"/>
          <w:position w:val="0"/>
          <w:sz w:val="24"/>
          <w:shd w:fill="auto" w:val="clear"/>
        </w:rPr>
        <w:t xml:space="preserve">O protagonismo da mulher rural no contexto da dominação.</w:t>
      </w:r>
      <w:r>
        <w:rPr>
          <w:rFonts w:ascii="Times New Roman" w:hAnsi="Times New Roman" w:cs="Times New Roman" w:eastAsia="Times New Roman"/>
          <w:color w:val="auto"/>
          <w:spacing w:val="0"/>
          <w:position w:val="0"/>
          <w:sz w:val="24"/>
          <w:shd w:fill="auto" w:val="clear"/>
        </w:rPr>
        <w:t xml:space="preserve"> Recife: Fundação Joaquim Nabuco, Editora Massangana, 2006.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FOUCAULT, Michel. </w:t>
      </w:r>
      <w:r>
        <w:rPr>
          <w:rFonts w:ascii="Times New Roman" w:hAnsi="Times New Roman" w:cs="Times New Roman" w:eastAsia="Times New Roman"/>
          <w:b/>
          <w:color w:val="auto"/>
          <w:spacing w:val="0"/>
          <w:position w:val="0"/>
          <w:sz w:val="24"/>
          <w:shd w:fill="auto" w:val="clear"/>
        </w:rPr>
        <w:t xml:space="preserve">Microfísica do Poder. </w:t>
      </w:r>
      <w:r>
        <w:rPr>
          <w:rFonts w:ascii="Times New Roman" w:hAnsi="Times New Roman" w:cs="Times New Roman" w:eastAsia="Times New Roman"/>
          <w:color w:val="auto"/>
          <w:spacing w:val="0"/>
          <w:position w:val="0"/>
          <w:sz w:val="24"/>
          <w:shd w:fill="auto" w:val="clear"/>
        </w:rPr>
        <w:t xml:space="preserve">Rio de Janeiro: Graal, 2007.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 </w:t>
      </w:r>
      <w:r>
        <w:rPr>
          <w:rFonts w:ascii="Times New Roman" w:hAnsi="Times New Roman" w:cs="Times New Roman" w:eastAsia="Times New Roman"/>
          <w:b/>
          <w:color w:val="auto"/>
          <w:spacing w:val="0"/>
          <w:position w:val="0"/>
          <w:sz w:val="24"/>
          <w:shd w:fill="auto" w:val="clear"/>
        </w:rPr>
        <w:t xml:space="preserve">História da Sexualidade I:</w:t>
      </w:r>
      <w:r>
        <w:rPr>
          <w:rFonts w:ascii="Times New Roman" w:hAnsi="Times New Roman" w:cs="Times New Roman" w:eastAsia="Times New Roman"/>
          <w:color w:val="auto"/>
          <w:spacing w:val="0"/>
          <w:position w:val="0"/>
          <w:sz w:val="24"/>
          <w:shd w:fill="auto" w:val="clear"/>
        </w:rPr>
        <w:t xml:space="preserve"> A vontade de saber. Rio de Janeiro: Graal, 1997.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FREYRE, Gilberto. </w:t>
      </w:r>
      <w:r>
        <w:rPr>
          <w:rFonts w:ascii="Times New Roman" w:hAnsi="Times New Roman" w:cs="Times New Roman" w:eastAsia="Times New Roman"/>
          <w:b/>
          <w:color w:val="auto"/>
          <w:spacing w:val="0"/>
          <w:position w:val="0"/>
          <w:sz w:val="24"/>
          <w:shd w:fill="auto" w:val="clear"/>
        </w:rPr>
        <w:t xml:space="preserve">Casa-Grande &amp; Senzala: </w:t>
      </w:r>
      <w:r>
        <w:rPr>
          <w:rFonts w:ascii="Times New Roman" w:hAnsi="Times New Roman" w:cs="Times New Roman" w:eastAsia="Times New Roman"/>
          <w:color w:val="auto"/>
          <w:spacing w:val="0"/>
          <w:position w:val="0"/>
          <w:sz w:val="24"/>
          <w:shd w:fill="auto" w:val="clear"/>
        </w:rPr>
        <w:t xml:space="preserve">formação da família brasileira sob o regime da economia patriarcal.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49 ed. São Paulo: Global, 2004.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GOHN, Maria da Glória. Empoderamento e participação da comunidade em políticas públicas. </w:t>
      </w:r>
      <w:r>
        <w:rPr>
          <w:rFonts w:ascii="Times New Roman" w:hAnsi="Times New Roman" w:cs="Times New Roman" w:eastAsia="Times New Roman"/>
          <w:b/>
          <w:color w:val="auto"/>
          <w:spacing w:val="0"/>
          <w:position w:val="0"/>
          <w:sz w:val="24"/>
          <w:shd w:fill="auto" w:val="clear"/>
        </w:rPr>
        <w:t xml:space="preserve">Revista Saúde e sociedade,</w:t>
      </w:r>
      <w:r>
        <w:rPr>
          <w:rFonts w:ascii="Times New Roman" w:hAnsi="Times New Roman" w:cs="Times New Roman" w:eastAsia="Times New Roman"/>
          <w:color w:val="auto"/>
          <w:spacing w:val="0"/>
          <w:position w:val="0"/>
          <w:sz w:val="24"/>
          <w:shd w:fill="auto" w:val="clear"/>
        </w:rPr>
        <w:t xml:space="preserve"> São Paulo, v.13, n ◦ 2, p. 20-31, maio-agosto/2004.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LACELLE, Elisabeth J. As ciências religiosas feministas: estado da questão. </w:t>
      </w:r>
      <w:r>
        <w:rPr>
          <w:rFonts w:ascii="Times New Roman" w:hAnsi="Times New Roman" w:cs="Times New Roman" w:eastAsia="Times New Roman"/>
          <w:b/>
          <w:color w:val="auto"/>
          <w:spacing w:val="0"/>
          <w:position w:val="0"/>
          <w:sz w:val="24"/>
          <w:shd w:fill="auto" w:val="clear"/>
        </w:rPr>
        <w:t xml:space="preserve">Revistas de Estudos da Religião</w:t>
      </w:r>
      <w:r>
        <w:rPr>
          <w:rFonts w:ascii="Times New Roman" w:hAnsi="Times New Roman" w:cs="Times New Roman" w:eastAsia="Times New Roman"/>
          <w:color w:val="auto"/>
          <w:spacing w:val="0"/>
          <w:position w:val="0"/>
          <w:sz w:val="24"/>
          <w:shd w:fill="auto" w:val="clear"/>
        </w:rPr>
        <w:t xml:space="preserve">. São Paulo, n◦ 1, p. 12-55, 2002. Disponível em: </w:t>
      </w:r>
      <w:hyperlink xmlns:r="http://schemas.openxmlformats.org/officeDocument/2006/relationships" r:id="docRId121">
        <w:r>
          <w:rPr>
            <w:rFonts w:ascii="Times New Roman" w:hAnsi="Times New Roman" w:cs="Times New Roman" w:eastAsia="Times New Roman"/>
            <w:color w:val="0000FF"/>
            <w:spacing w:val="0"/>
            <w:position w:val="0"/>
            <w:sz w:val="24"/>
            <w:u w:val="single"/>
            <w:shd w:fill="auto" w:val="clear"/>
          </w:rPr>
          <w:t xml:space="preserve">http://www4.pucsp.br/rever/rv1_2002/p_lacell.pdf</w:t>
        </w:r>
      </w:hyperlink>
      <w:r>
        <w:rPr>
          <w:rFonts w:ascii="Times New Roman" w:hAnsi="Times New Roman" w:cs="Times New Roman" w:eastAsia="Times New Roman"/>
          <w:color w:val="auto"/>
          <w:spacing w:val="0"/>
          <w:position w:val="0"/>
          <w:sz w:val="24"/>
          <w:shd w:fill="auto" w:val="clear"/>
        </w:rPr>
        <w:t xml:space="preserve">. Acessado em 15/09/2010.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KLEBA, Maria Elisabeth; WENDAUSEN, Agueda.  Empoderamento: processo de fortalecimento dos sujeitos nos espaços de participação social e democratização política. </w:t>
      </w:r>
      <w:r>
        <w:rPr>
          <w:rFonts w:ascii="Times New Roman" w:hAnsi="Times New Roman" w:cs="Times New Roman" w:eastAsia="Times New Roman"/>
          <w:b/>
          <w:color w:val="auto"/>
          <w:spacing w:val="0"/>
          <w:position w:val="0"/>
          <w:sz w:val="24"/>
          <w:shd w:fill="auto" w:val="clear"/>
        </w:rPr>
        <w:t xml:space="preserve">Saúde e sociedade</w:t>
      </w:r>
      <w:r>
        <w:rPr>
          <w:rFonts w:ascii="Times New Roman" w:hAnsi="Times New Roman" w:cs="Times New Roman" w:eastAsia="Times New Roman"/>
          <w:color w:val="auto"/>
          <w:spacing w:val="0"/>
          <w:position w:val="0"/>
          <w:sz w:val="24"/>
          <w:shd w:fill="auto" w:val="clear"/>
        </w:rPr>
        <w:t xml:space="preserve">, São Paulo, v.18, n °4, p. 1-10, 2009.</w:t>
      </w:r>
    </w:p>
    <w:p>
      <w:pPr>
        <w:spacing w:before="0" w:after="0" w:line="240"/>
        <w:ind w:right="-45" w:left="0" w:firstLine="0"/>
        <w:jc w:val="both"/>
        <w:rPr>
          <w:rFonts w:ascii="Arial" w:hAnsi="Arial" w:cs="Arial" w:eastAsia="Arial"/>
          <w:color w:val="000000"/>
          <w:spacing w:val="0"/>
          <w:position w:val="0"/>
          <w:sz w:val="20"/>
          <w:shd w:fill="auto" w:val="clear"/>
        </w:rPr>
      </w:pPr>
    </w:p>
    <w:p>
      <w:pPr>
        <w:spacing w:before="0" w:after="0" w:line="240"/>
        <w:ind w:right="-45"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NICHOLSON, Linda. Feminismo e Marx: Integrando o parentesco com o econômico. In: BENHABIB, Seyla, CORNELL, Drucilla. </w:t>
      </w:r>
      <w:r>
        <w:rPr>
          <w:rFonts w:ascii="Times New Roman" w:hAnsi="Times New Roman" w:cs="Times New Roman" w:eastAsia="Times New Roman"/>
          <w:b/>
          <w:color w:val="000000"/>
          <w:spacing w:val="0"/>
          <w:position w:val="0"/>
          <w:sz w:val="24"/>
          <w:shd w:fill="auto" w:val="clear"/>
        </w:rPr>
        <w:t xml:space="preserve">Feminismo como crítica da modernidade</w:t>
      </w:r>
      <w:r>
        <w:rPr>
          <w:rFonts w:ascii="Times New Roman" w:hAnsi="Times New Roman" w:cs="Times New Roman" w:eastAsia="Times New Roman"/>
          <w:color w:val="000000"/>
          <w:spacing w:val="0"/>
          <w:position w:val="0"/>
          <w:sz w:val="24"/>
          <w:shd w:fill="auto" w:val="clear"/>
        </w:rPr>
        <w:t xml:space="preserve">. Rio de Janeiro: Editora Rosa dos Tempos, 2000.</w:t>
      </w:r>
    </w:p>
    <w:p>
      <w:pPr>
        <w:spacing w:before="100" w:after="10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PAULILO, Maria Ignez S. Trabalho Familiar: uma categoria esquecida de análise.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 </w:t>
      </w:r>
      <w:r>
        <w:rPr>
          <w:rFonts w:ascii="Times New Roman" w:hAnsi="Times New Roman" w:cs="Times New Roman" w:eastAsia="Times New Roman"/>
          <w:b/>
          <w:color w:val="auto"/>
          <w:spacing w:val="0"/>
          <w:position w:val="0"/>
          <w:sz w:val="24"/>
          <w:shd w:fill="auto" w:val="clear"/>
        </w:rPr>
        <w:t xml:space="preserve">Revistas Estudos Feministas</w:t>
      </w:r>
      <w:r>
        <w:rPr>
          <w:rFonts w:ascii="Times New Roman" w:hAnsi="Times New Roman" w:cs="Times New Roman" w:eastAsia="Times New Roman"/>
          <w:color w:val="auto"/>
          <w:spacing w:val="0"/>
          <w:position w:val="0"/>
          <w:sz w:val="24"/>
          <w:shd w:fill="auto" w:val="clear"/>
        </w:rPr>
        <w:t xml:space="preserve">, Florianópolis, v. 12(1), p. 229-252, 2004. </w:t>
      </w:r>
    </w:p>
    <w:p>
      <w:pPr>
        <w:spacing w:before="100" w:after="10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 </w:t>
      </w:r>
      <w:r>
        <w:rPr>
          <w:rFonts w:ascii="Times New Roman" w:hAnsi="Times New Roman" w:cs="Times New Roman" w:eastAsia="Times New Roman"/>
          <w:b/>
          <w:color w:val="auto"/>
          <w:spacing w:val="0"/>
          <w:position w:val="0"/>
          <w:sz w:val="24"/>
          <w:shd w:fill="auto" w:val="clear"/>
        </w:rPr>
        <w:t xml:space="preserve">Movimentos das mulheres agricultoras e os muitos sentidos da “igualdade de gênero”. </w:t>
      </w:r>
      <w:r>
        <w:rPr>
          <w:rFonts w:ascii="Times New Roman" w:hAnsi="Times New Roman" w:cs="Times New Roman" w:eastAsia="Times New Roman"/>
          <w:color w:val="auto"/>
          <w:spacing w:val="0"/>
          <w:position w:val="0"/>
          <w:sz w:val="24"/>
          <w:shd w:fill="auto" w:val="clear"/>
        </w:rPr>
        <w:t xml:space="preserve">In: FERNANDES, Bernardo Mançano; MEDEIROS, Leonilde Sérvolo de; PAULILO, Maria Ignez S. Lutas camponesas contemporâneas: condições, dilemas e conquistas. v.2: a diversidade das formas das lutas no campo. São Paulo: Editora UNESP; Brasília, DF: Núcleo de Estudos Agrários e Desenvolvimento Rural, 2009.</w:t>
      </w:r>
    </w:p>
    <w:p>
      <w:pPr>
        <w:spacing w:before="100" w:after="10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PINTO, Céli R. </w:t>
      </w:r>
      <w:r>
        <w:rPr>
          <w:rFonts w:ascii="Times New Roman" w:hAnsi="Times New Roman" w:cs="Times New Roman" w:eastAsia="Times New Roman"/>
          <w:b/>
          <w:color w:val="auto"/>
          <w:spacing w:val="0"/>
          <w:position w:val="0"/>
          <w:sz w:val="24"/>
          <w:shd w:fill="auto" w:val="clear"/>
        </w:rPr>
        <w:t xml:space="preserve">Movimento sociais:</w:t>
      </w:r>
      <w:r>
        <w:rPr>
          <w:rFonts w:ascii="Times New Roman" w:hAnsi="Times New Roman" w:cs="Times New Roman" w:eastAsia="Times New Roman"/>
          <w:color w:val="auto"/>
          <w:spacing w:val="0"/>
          <w:position w:val="0"/>
          <w:sz w:val="24"/>
          <w:shd w:fill="auto" w:val="clear"/>
        </w:rPr>
        <w:t xml:space="preserve"> espaços privilegiados da mulher enquanto sujeito político. In: COSTA, Albertina de Oliveira; BRUSCHINI, Cristina (Orgs.). Uma questão de gênero. Rio de Janeiro: Rosa dos Ventos; São Paulo: Fundação Carlos Chagas, 1992. p. 127-150. </w:t>
      </w:r>
    </w:p>
    <w:p>
      <w:pPr>
        <w:spacing w:before="100" w:after="10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ROMANO, Jorge O. ‘Empoderamento’ e poder no enfrentamento da pobreza. In.: COSTA, Luiz Flávio de Carvalho; FLEXOR, Georges; SANTOS, Raimundo (Orgs.). </w:t>
      </w:r>
      <w:r>
        <w:rPr>
          <w:rFonts w:ascii="Times New Roman" w:hAnsi="Times New Roman" w:cs="Times New Roman" w:eastAsia="Times New Roman"/>
          <w:b/>
          <w:color w:val="auto"/>
          <w:spacing w:val="0"/>
          <w:position w:val="0"/>
          <w:sz w:val="24"/>
          <w:shd w:fill="auto" w:val="clear"/>
        </w:rPr>
        <w:t xml:space="preserve">Mundo rural brasileiro</w:t>
      </w:r>
      <w:r>
        <w:rPr>
          <w:rFonts w:ascii="Times New Roman" w:hAnsi="Times New Roman" w:cs="Times New Roman" w:eastAsia="Times New Roman"/>
          <w:color w:val="auto"/>
          <w:spacing w:val="0"/>
          <w:position w:val="0"/>
          <w:sz w:val="24"/>
          <w:shd w:fill="auto" w:val="clear"/>
        </w:rPr>
        <w:t xml:space="preserve">: ensaios interdisciplinares. Rio de Janeiro: Mauad; Seropédica: EDUR, 2008. P.239-253.</w:t>
      </w:r>
    </w:p>
    <w:p>
      <w:pPr>
        <w:spacing w:before="100" w:after="10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ROUSSEAU, J. J. </w:t>
      </w:r>
      <w:r>
        <w:rPr>
          <w:rFonts w:ascii="Times New Roman" w:hAnsi="Times New Roman" w:cs="Times New Roman" w:eastAsia="Times New Roman"/>
          <w:b/>
          <w:color w:val="auto"/>
          <w:spacing w:val="0"/>
          <w:position w:val="0"/>
          <w:sz w:val="24"/>
          <w:shd w:fill="auto" w:val="clear"/>
        </w:rPr>
        <w:t xml:space="preserve">Emílio ou Da Educação</w:t>
      </w:r>
      <w:r>
        <w:rPr>
          <w:rFonts w:ascii="Times New Roman" w:hAnsi="Times New Roman" w:cs="Times New Roman" w:eastAsia="Times New Roman"/>
          <w:color w:val="auto"/>
          <w:spacing w:val="0"/>
          <w:position w:val="0"/>
          <w:sz w:val="24"/>
          <w:shd w:fill="auto" w:val="clear"/>
        </w:rPr>
        <w:t xml:space="preserve">. Tradução Roberto Leal Ferreira – São Paulo: Martins Fontes, 1995</w:t>
      </w:r>
    </w:p>
    <w:p>
      <w:pPr>
        <w:spacing w:before="100" w:after="10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SAFFIOTI, Heleieth I. B. </w:t>
      </w:r>
      <w:r>
        <w:rPr>
          <w:rFonts w:ascii="Times New Roman" w:hAnsi="Times New Roman" w:cs="Times New Roman" w:eastAsia="Times New Roman"/>
          <w:b/>
          <w:color w:val="auto"/>
          <w:spacing w:val="0"/>
          <w:position w:val="0"/>
          <w:sz w:val="24"/>
          <w:shd w:fill="auto" w:val="clear"/>
        </w:rPr>
        <w:t xml:space="preserve">Rearticulando gênero e classe social</w:t>
      </w:r>
      <w:r>
        <w:rPr>
          <w:rFonts w:ascii="Times New Roman" w:hAnsi="Times New Roman" w:cs="Times New Roman" w:eastAsia="Times New Roman"/>
          <w:color w:val="auto"/>
          <w:spacing w:val="0"/>
          <w:position w:val="0"/>
          <w:sz w:val="24"/>
          <w:shd w:fill="auto" w:val="clear"/>
        </w:rPr>
        <w:t xml:space="preserve">. In: COSTA, Albertina de Oliveira; BRUSCHINI, Cristina (Orgs.). Uma questão de gênero. Rio de Janeiro: Rosa dos Ventos; São Paulo: Fundação Carlos Chagas, 1992. p. 183-215.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SAFFIOTI, Heleieth, FERRANTE, Vera B. </w:t>
      </w:r>
      <w:r>
        <w:rPr>
          <w:rFonts w:ascii="Times New Roman" w:hAnsi="Times New Roman" w:cs="Times New Roman" w:eastAsia="Times New Roman"/>
          <w:b/>
          <w:color w:val="auto"/>
          <w:spacing w:val="0"/>
          <w:position w:val="0"/>
          <w:sz w:val="24"/>
          <w:shd w:fill="auto" w:val="clear"/>
        </w:rPr>
        <w:t xml:space="preserve">Trabalhadoras rurais: </w:t>
      </w:r>
      <w:r>
        <w:rPr>
          <w:rFonts w:ascii="Times New Roman" w:hAnsi="Times New Roman" w:cs="Times New Roman" w:eastAsia="Times New Roman"/>
          <w:color w:val="auto"/>
          <w:spacing w:val="0"/>
          <w:position w:val="0"/>
          <w:sz w:val="24"/>
          <w:shd w:fill="auto" w:val="clear"/>
        </w:rPr>
        <w:t xml:space="preserve">exclusão e contradição, 1982. ANPOCS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SALES, Celecina de Maria Veras. Mulheres rurais: tecendo novas relações e reconhecendo direitos. </w:t>
      </w:r>
      <w:r>
        <w:rPr>
          <w:rFonts w:ascii="Times New Roman" w:hAnsi="Times New Roman" w:cs="Times New Roman" w:eastAsia="Times New Roman"/>
          <w:b/>
          <w:color w:val="auto"/>
          <w:spacing w:val="0"/>
          <w:position w:val="0"/>
          <w:sz w:val="24"/>
          <w:shd w:fill="auto" w:val="clear"/>
        </w:rPr>
        <w:t xml:space="preserve">Revista Estudos Feministas</w:t>
      </w:r>
      <w:r>
        <w:rPr>
          <w:rFonts w:ascii="Times New Roman" w:hAnsi="Times New Roman" w:cs="Times New Roman" w:eastAsia="Times New Roman"/>
          <w:color w:val="auto"/>
          <w:spacing w:val="0"/>
          <w:position w:val="0"/>
          <w:sz w:val="24"/>
          <w:shd w:fill="auto" w:val="clear"/>
        </w:rPr>
        <w:t xml:space="preserve">, Florianópolis, v.15, n ° 2, mai/ago 2007.</w:t>
      </w:r>
    </w:p>
    <w:p>
      <w:pPr>
        <w:spacing w:before="100" w:after="10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WEBER, Max. </w:t>
      </w:r>
      <w:r>
        <w:rPr>
          <w:rFonts w:ascii="Times New Roman" w:hAnsi="Times New Roman" w:cs="Times New Roman" w:eastAsia="Times New Roman"/>
          <w:b/>
          <w:color w:val="auto"/>
          <w:spacing w:val="0"/>
          <w:position w:val="0"/>
          <w:sz w:val="24"/>
          <w:shd w:fill="auto" w:val="clear"/>
        </w:rPr>
        <w:t xml:space="preserve">Economia y Sociedad. </w:t>
      </w:r>
      <w:r>
        <w:rPr>
          <w:rFonts w:ascii="Times New Roman" w:hAnsi="Times New Roman" w:cs="Times New Roman" w:eastAsia="Times New Roman"/>
          <w:color w:val="auto"/>
          <w:spacing w:val="0"/>
          <w:position w:val="0"/>
          <w:sz w:val="24"/>
          <w:shd w:fill="auto" w:val="clear"/>
        </w:rPr>
        <w:t xml:space="preserve">Esbozo de sociología comprensiva. Fondo de Cultura Económica. México, 1977.</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39" w:after="0" w:line="240"/>
        <w:ind w:right="109" w:left="11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Gênero e Esporte: Representatividade de Maria Lenk na História da Natação Feminina Brasileira</w:t>
      </w:r>
    </w:p>
    <w:p>
      <w:pPr>
        <w:spacing w:before="0" w:after="0" w:line="240"/>
        <w:ind w:right="0" w:left="0" w:firstLine="0"/>
        <w:jc w:val="left"/>
        <w:rPr>
          <w:rFonts w:ascii="Times New Roman" w:hAnsi="Times New Roman" w:cs="Times New Roman" w:eastAsia="Times New Roman"/>
          <w:b/>
          <w:color w:val="auto"/>
          <w:spacing w:val="0"/>
          <w:position w:val="0"/>
          <w:sz w:val="4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4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4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40"/>
          <w:shd w:fill="auto" w:val="clear"/>
        </w:rPr>
      </w:pPr>
    </w:p>
    <w:p>
      <w:pPr>
        <w:spacing w:before="277" w:after="0" w:line="240"/>
        <w:ind w:right="109" w:left="107"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Pollyanna Regina Brambilla Gracino de Oliveira</w:t>
      </w: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44"/>
          <w:shd w:fill="auto" w:val="clear"/>
        </w:rPr>
      </w:pPr>
    </w:p>
    <w:p>
      <w:pPr>
        <w:spacing w:before="1" w:after="0" w:line="240"/>
        <w:ind w:right="108" w:left="11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UNIVERSIDADE ESTADUAL PAULISTA</w:t>
      </w:r>
    </w:p>
    <w:p>
      <w:pPr>
        <w:spacing w:before="1" w:after="0" w:line="364"/>
        <w:ind w:right="109" w:left="107"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FACULDADE DE CIÊNCIAS E TECNOLOGIA</w:t>
      </w:r>
    </w:p>
    <w:p>
      <w:pPr>
        <w:spacing w:before="0" w:after="0" w:line="364"/>
        <w:ind w:right="109" w:left="108" w:firstLine="0"/>
        <w:jc w:val="center"/>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32"/>
          <w:shd w:fill="auto" w:val="clear"/>
        </w:rPr>
        <w:t xml:space="preserve">C</w:t>
      </w:r>
      <w:r>
        <w:rPr>
          <w:rFonts w:ascii="Times New Roman" w:hAnsi="Times New Roman" w:cs="Times New Roman" w:eastAsia="Times New Roman"/>
          <w:color w:val="auto"/>
          <w:spacing w:val="0"/>
          <w:position w:val="0"/>
          <w:sz w:val="26"/>
          <w:shd w:fill="auto" w:val="clear"/>
        </w:rPr>
        <w:t xml:space="preserve">AMPUS DE PRESIDENTE PRUDENTE</w:t>
      </w: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283" w:after="0" w:line="240"/>
        <w:ind w:right="109" w:left="109"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Orientadora: Profª. Drª. Arilda Inês Miranda Ribeiro.</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57" w:after="0" w:line="240"/>
        <w:ind w:right="28" w:left="18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1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1" w:after="0" w:line="240"/>
        <w:ind w:right="28" w:left="118"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24"/>
          <w:shd w:fill="auto" w:val="clear"/>
        </w:rPr>
        <w:t xml:space="preserve">Gênero: contexto histórico, origem e desdobramentos no esporte</w:t>
      </w:r>
      <w:r>
        <w:rPr>
          <w:rFonts w:ascii="Times New Roman" w:hAnsi="Times New Roman" w:cs="Times New Roman" w:eastAsia="Times New Roman"/>
          <w:b/>
          <w:color w:val="auto"/>
          <w:spacing w:val="0"/>
          <w:position w:val="0"/>
          <w:sz w:val="36"/>
          <w:shd w:fill="auto" w:val="clear"/>
        </w:rPr>
        <w:t xml:space="preserve">.</w:t>
      </w:r>
    </w:p>
    <w:p>
      <w:pPr>
        <w:numPr>
          <w:ilvl w:val="0"/>
          <w:numId w:val="2497"/>
        </w:numPr>
        <w:tabs>
          <w:tab w:val="left" w:pos="674" w:leader="none"/>
        </w:tabs>
        <w:spacing w:before="241" w:after="0" w:line="240"/>
        <w:ind w:right="0" w:left="673" w:hanging="555"/>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Gênero no contexto</w:t>
      </w:r>
      <w:r>
        <w:rPr>
          <w:rFonts w:ascii="Times New Roman" w:hAnsi="Times New Roman" w:cs="Times New Roman" w:eastAsia="Times New Roman"/>
          <w:b/>
          <w:i/>
          <w:color w:val="auto"/>
          <w:spacing w:val="-11"/>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social</w:t>
      </w:r>
    </w:p>
    <w:p>
      <w:pPr>
        <w:spacing w:before="7" w:after="0" w:line="24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compreendermos o contexto social de gênero e sua origem, precisamos estudar os desdobramentos da história das mulheres no interior da história humana em geral.</w:t>
      </w:r>
    </w:p>
    <w:p>
      <w:pPr>
        <w:spacing w:before="4" w:after="0" w:line="362"/>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sabemos a espécie humana passou por várias culturas e sociedades diferentes. Entre essas sociedades, está a de coleta e caça aos pequenos animais.</w:t>
      </w:r>
    </w:p>
    <w:p>
      <w:pPr>
        <w:spacing w:before="1"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grupo, onde não era necessária a utilização da força física para a sobrevivência, a mulher era considerada um ser sagrado, porque podia dar a vida e ajudar na fertilidade da terra e dos pequenos animais. Essas sociedades tinham que ser cooperativas  para poderem sobreviver em condições hostis. Como afirma Muraro (2002, p. 6) “não havia centralização de poder, mas rodízio de lideranças, as relações eram fluidas entre homens e mulheres”.</w:t>
      </w: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autora relata ainda que nestes grupos matricêntricos, a convivência entre homens e mulheres não incluía a transmissão de poder. Quase não havia guerra, pois não existia grande pressão populacional pela conquista de novos territórios.</w:t>
      </w:r>
    </w:p>
    <w:p>
      <w:pPr>
        <w:spacing w:before="6"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Muraro:</w:t>
      </w:r>
    </w:p>
    <w:p>
      <w:pPr>
        <w:spacing w:before="135" w:after="0" w:line="240"/>
        <w:ind w:right="121"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Nesses grupos, o principio masculino e feminino governavam juntos. Havia divisão de trabalho entre os sexos, mas não havia desigualdade. A vida corria mansa e paradisíaca (2002, p. 5).</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2"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é nas regiões aonde vão esgotando os recursos naturais, vegetais e os pequenos animais que se inicia a caça aos grandes animais e a competitividade por novos territórios. Muraro afirma que “nas sociedades de caça aos grandes animais, em que é necessário o uso da força física se inicia a supremacia masculina” (2002, p.6).</w:t>
      </w:r>
    </w:p>
    <w:p>
      <w:pPr>
        <w:spacing w:before="4" w:after="0" w:line="360"/>
        <w:ind w:right="119" w:left="118" w:firstLine="176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a mulher possuía o poder de dar a vida, ou seja, o poder biológico, e o homem o poder cultural, constituído conforme os avanços da tecnologia.</w:t>
      </w:r>
    </w:p>
    <w:p>
      <w:pPr>
        <w:spacing w:before="4"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por causa da competitividade por novos territórios que faz com que as guerras se tornem constantes e que os homens sejam mais valorizados em  detrimento  à mulher por serem os heróis guerreiros.</w:t>
      </w:r>
    </w:p>
    <w:p>
      <w:pPr>
        <w:spacing w:before="6"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Muraro, nesta época:</w:t>
      </w:r>
    </w:p>
    <w:p>
      <w:pPr>
        <w:spacing w:before="135" w:after="0" w:line="240"/>
        <w:ind w:right="114"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harmonia que ligava a espécie humana começa a se romper, mas ainda não se instala a lei do mais forte, pois o homem não conhece sua função reprodutora e crê que a mulher fica grávida dos deuses, é por isso que ela ainda conserva poder de decisão. ( MURARO, 2002, p.6).</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4"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poder de decisão da mulher é eliminado no decorrer do neolítico, pois o homem conhece sua função reprodutora, aprende a fundir metais e começa a fabricar armas sofisticadas e instrumentos como o arado para a terra ser cultivada.</w:t>
      </w:r>
    </w:p>
    <w:p>
      <w:pPr>
        <w:spacing w:before="4" w:after="0" w:line="360"/>
        <w:ind w:right="114"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Muraro (2002, p.7) é só “a partir da invenção do arado, que os homens iniciam a era agrária e deixam de ser nômades”. A autora relata ainda que eles dividem a terra e as primeiras plantações, começam a estabelecer as primeiras aldeias, depois as cidades e os estados. Observa-se que nesta perspectiva as sociedades se tornam patriarcais, ou seja, os portadores de poder e de sua transmissão são os homens.</w:t>
      </w:r>
    </w:p>
    <w:p>
      <w:pPr>
        <w:spacing w:before="7" w:after="0" w:line="360"/>
        <w:ind w:right="114"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disso Muraro (2002, p.7) revela que “... já não existe o feminino e o masculino que governam o mundo juntos, mas a lei do mais forte”.</w:t>
      </w:r>
    </w:p>
    <w:p>
      <w:pPr>
        <w:spacing w:before="6"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cenário o importante era ter filhos, pois, quanto mais filhos, mais soldados, mais mão de obra barata para arar a terra. Neste contexto surge a única função da mulher: gerar filhos.</w:t>
      </w:r>
    </w:p>
    <w:p>
      <w:pPr>
        <w:spacing w:before="4" w:after="0" w:line="360"/>
        <w:ind w:right="120"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afirma Ribeiro (1996, p.46) “o valor social da mulher ao longo da história sempre esteve diretamente ligado à limitação do seu espaço ao mundo doméstico”.</w:t>
      </w:r>
    </w:p>
    <w:p>
      <w:pPr>
        <w:spacing w:before="4"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Observa-se, então, que a mulher fica reduzida ao âmbito doméstico, perdendo qualquer capacidade de decisão no domínio público, que fica inteiramente reservado ao homem.</w:t>
      </w:r>
    </w:p>
    <w:p>
      <w:pPr>
        <w:spacing w:before="6"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explicita Muraro (2002, p. 8):</w:t>
      </w:r>
    </w:p>
    <w:p>
      <w:pPr>
        <w:spacing w:before="135" w:after="0" w:line="240"/>
        <w:ind w:right="116"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dicotomia entre privado e público torna-se a origem da dependência econômica da mulher, e esta dependência, gera, no decorrer das gerações, uma submissão psicológica que dura até hoje.</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só no final da década de 1960, através de vários estudos feministas que começa a se tornar visível o ocultamento das mulheres e a segregação social e política que  elas viviam. E isso acontece porque o feminismo irá se voltar para as construções teóricas, onde será problematizado o conceito de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gênero.</w:t>
      </w:r>
    </w:p>
    <w:p>
      <w:pPr>
        <w:spacing w:before="4"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Louro (1997, p. 19):</w:t>
      </w:r>
    </w:p>
    <w:p>
      <w:pPr>
        <w:spacing w:before="138" w:after="0" w:line="240"/>
        <w:ind w:right="117"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Assumia-se com esses estudos, que as questões eram interessadas, e que elas tinham origem em uma trajetória histórica específica que constitui o lugar social das mulheres e que o estudo de tais questões tinham (e tem) pretensões de mudança.</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que, a principal argumentação que tenta explicar a desigualdade social existente entre homens e mulheres, ou seja, a inferioridade da mulher em relação ao homem está embasada na justificativa das diferenças biológicas entre os gêneros. Como afirma Castellani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Filho:</w:t>
      </w:r>
    </w:p>
    <w:p>
      <w:pPr>
        <w:spacing w:before="1" w:after="0" w:line="360"/>
        <w:ind w:right="116" w:left="118" w:firstLine="1701"/>
        <w:jc w:val="both"/>
        <w:rPr>
          <w:rFonts w:ascii="Times New Roman" w:hAnsi="Times New Roman" w:cs="Times New Roman" w:eastAsia="Times New Roman"/>
          <w:color w:val="auto"/>
          <w:spacing w:val="0"/>
          <w:position w:val="0"/>
          <w:sz w:val="24"/>
          <w:shd w:fill="auto" w:val="clear"/>
        </w:rPr>
      </w:pPr>
    </w:p>
    <w:p>
      <w:pPr>
        <w:spacing w:before="1" w:after="0" w:line="360"/>
        <w:ind w:right="116" w:left="118" w:firstLine="1701"/>
        <w:jc w:val="both"/>
        <w:rPr>
          <w:rFonts w:ascii="Times New Roman" w:hAnsi="Times New Roman" w:cs="Times New Roman" w:eastAsia="Times New Roman"/>
          <w:color w:val="auto"/>
          <w:spacing w:val="0"/>
          <w:position w:val="0"/>
          <w:sz w:val="24"/>
          <w:shd w:fill="auto" w:val="clear"/>
        </w:rPr>
      </w:pPr>
    </w:p>
    <w:p>
      <w:pPr>
        <w:spacing w:before="1" w:after="0" w:line="360"/>
        <w:ind w:right="116" w:left="118" w:firstLine="1701"/>
        <w:jc w:val="both"/>
        <w:rPr>
          <w:rFonts w:ascii="Times New Roman" w:hAnsi="Times New Roman" w:cs="Times New Roman" w:eastAsia="Times New Roman"/>
          <w:color w:val="auto"/>
          <w:spacing w:val="0"/>
          <w:position w:val="0"/>
          <w:sz w:val="24"/>
          <w:shd w:fill="auto" w:val="clear"/>
        </w:rPr>
      </w:pPr>
    </w:p>
    <w:p>
      <w:pPr>
        <w:spacing w:before="3" w:after="0" w:line="240"/>
        <w:ind w:right="115"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compreensão de que as atitudes femininas são determinadas, como que exclusivamente, pela influência de suas características biológicas, serviu de anteparo</w:t>
      </w:r>
    </w:p>
    <w:p>
      <w:pPr>
        <w:spacing w:before="53" w:after="0" w:line="240"/>
        <w:ind w:right="122"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à idéia dominante da superioridade do sexo masculino, sendo afastada qualquer alusão ao fato de estar tal superioridade calcada essencialmente em determinantes sócio-culturais e não em bio-fisiologicos. (1991, p. 59).</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0" w:left="118" w:firstLine="1701"/>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disto, essas argumentações são contrapostas, para que de acordo com Louro (1997, p.21) “se compreenda que o papel que homens e mulheres desempenham na sociedade não é pelos seus sexos, mas tudo o que se construiu socialmente sobre os sexos”. O conceito de gênero foi utilizado pela primeira vez por feministas anglo-</w:t>
      </w:r>
    </w:p>
    <w:p>
      <w:pPr>
        <w:spacing w:before="4" w:after="0" w:line="362"/>
        <w:ind w:right="28"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saxãs, que passa a ser usado como distinto de sexo (LOURO, 1997). Visando rejeitar o determinismo biológico e adotando gênero como o caráter social das distinções sobre o sexo.</w:t>
      </w:r>
    </w:p>
    <w:p>
      <w:pPr>
        <w:spacing w:before="1"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Louro (1997, p. 21)</w:t>
      </w:r>
    </w:p>
    <w:p>
      <w:pPr>
        <w:spacing w:before="138" w:after="0" w:line="240"/>
        <w:ind w:right="123"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conceito pretende se referir ao modo como as características sexuais são compreendidas e representadas ou, então, como são “trazidas para a prática social e tornada parte do processo histórico”.</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é a partir de Joan Scott, historiadora norte-americana, que em 1986 escreve um artigo traduzido e divulgado no Brasil em 1988, que as feministas passaram a utilizar o termo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gênero.</w:t>
      </w:r>
    </w:p>
    <w:p>
      <w:pPr>
        <w:spacing w:before="4" w:after="0" w:line="240"/>
        <w:ind w:right="12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Scott (1988) ”gênero é a organização social da diferença</w:t>
      </w:r>
    </w:p>
    <w:p>
      <w:pPr>
        <w:spacing w:before="139" w:after="0" w:line="240"/>
        <w:ind w:right="28"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sexual”.</w:t>
      </w:r>
    </w:p>
    <w:p>
      <w:pPr>
        <w:spacing w:before="137"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Observa-se  que  homens  e  mulheres  não  são  diferenciados  apenas   pela</w:t>
      </w:r>
    </w:p>
    <w:p>
      <w:pPr>
        <w:spacing w:before="139" w:after="0" w:line="360"/>
        <w:ind w:right="28"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questão biológica, mas pelas relações que são estabelecidas na sociedade, pois é nela que se constroem e se reproduzem às relações entre os sujeitos.</w:t>
      </w:r>
    </w:p>
    <w:p>
      <w:pPr>
        <w:spacing w:before="6"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Nesta perspectiva, gênero surge para visibilizar que esses valores não são reais, que foram socialmente construídos e podem ser reconstruídos, para que as mulheres mostrem seu potencial na participação pública e principalmente na equidade do esporte, onde ainda existe a hegemonia masculina.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9"/>
          <w:shd w:fill="auto" w:val="clear"/>
        </w:rPr>
      </w:pPr>
    </w:p>
    <w:p>
      <w:pPr>
        <w:numPr>
          <w:ilvl w:val="0"/>
          <w:numId w:val="2542"/>
        </w:numPr>
        <w:tabs>
          <w:tab w:val="left" w:pos="612" w:leader="none"/>
        </w:tabs>
        <w:spacing w:before="1" w:after="0" w:line="240"/>
        <w:ind w:right="0" w:left="611" w:hanging="493"/>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Gênero e</w:t>
      </w:r>
      <w:r>
        <w:rPr>
          <w:rFonts w:ascii="Times New Roman" w:hAnsi="Times New Roman" w:cs="Times New Roman" w:eastAsia="Times New Roman"/>
          <w:b/>
          <w:i/>
          <w:color w:val="auto"/>
          <w:spacing w:val="-9"/>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esporte</w:t>
      </w:r>
    </w:p>
    <w:p>
      <w:pPr>
        <w:spacing w:before="0" w:after="0" w:line="240"/>
        <w:ind w:right="0" w:left="0" w:firstLine="0"/>
        <w:jc w:val="left"/>
        <w:rPr>
          <w:rFonts w:ascii="Times New Roman" w:hAnsi="Times New Roman" w:cs="Times New Roman" w:eastAsia="Times New Roman"/>
          <w:b/>
          <w:i/>
          <w:color w:val="auto"/>
          <w:spacing w:val="0"/>
          <w:position w:val="0"/>
          <w:sz w:val="28"/>
          <w:shd w:fill="auto" w:val="clear"/>
        </w:rPr>
      </w:pPr>
    </w:p>
    <w:p>
      <w:pPr>
        <w:spacing w:before="7" w:after="0" w:line="240"/>
        <w:ind w:right="0" w:left="0" w:firstLine="0"/>
        <w:jc w:val="left"/>
        <w:rPr>
          <w:rFonts w:ascii="Times New Roman" w:hAnsi="Times New Roman" w:cs="Times New Roman" w:eastAsia="Times New Roman"/>
          <w:b/>
          <w:i/>
          <w:color w:val="auto"/>
          <w:spacing w:val="0"/>
          <w:position w:val="0"/>
          <w:sz w:val="24"/>
          <w:shd w:fill="auto" w:val="clear"/>
        </w:rPr>
      </w:pPr>
    </w:p>
    <w:p>
      <w:pPr>
        <w:spacing w:before="1" w:after="0" w:line="360"/>
        <w:ind w:right="112"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Gênero por estar imbuído de valores, atitudes, identidades e desempenhos que são construídos socialmente e que determinam a visão que se possui da identidade de homens e mulheres, deve ser parte do estudo sobre mulheres no esporte. Pois, na história do esporte estão gravadas as formas de desigualdades, repressão e submissão que a mulher sofreu.</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4"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Castellani filho (1991) recorda em sua obra sobre a história da educação física que, além de oportunizarem aos homens maiores possibilidades para a prática esportiva, reforçaram o pensamento dominante em relação ao papel restrito da mulher na sociedade, o de prepará-la fisicamente para a maternidade.</w:t>
      </w:r>
    </w:p>
    <w:p>
      <w:pPr>
        <w:spacing w:before="6" w:after="0" w:line="360"/>
        <w:ind w:right="118" w:left="118" w:firstLine="176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acaba por reforçar o pensamento que as atitudes femininas são determinadas por suas características biológicas, e não por fatores sociais. Tornando as mulheres inferiores e as privando de visibilizar o seu potencial esportivo.</w:t>
      </w:r>
    </w:p>
    <w:p>
      <w:pPr>
        <w:spacing w:before="4"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para que se conheça a construção social da prática feminina no  esporte, é necessário estudar a história, pois ela desempenha um papel importante nos estudos sobre gênero. De acordo com Scott (1988, p.13) “ela registra as mudanças da organização social dos sexos e também atua como participante da produção do saber sobre a diferença sexual”.</w:t>
      </w:r>
    </w:p>
    <w:p>
      <w:pPr>
        <w:spacing w:before="6"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isso é importante buscar conhecimentos em outras épocas, para que se compreenda o processo de desigualdade no esporte.</w:t>
      </w:r>
    </w:p>
    <w:p>
      <w:pPr>
        <w:spacing w:before="6"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Grécia antiga, cidades como Atenas e Esparta tratavam as mulheres no esporte de forma distinta. (KLAFS; LYON, 1981).</w:t>
      </w:r>
    </w:p>
    <w:p>
      <w:pPr>
        <w:spacing w:before="6" w:after="0" w:line="360"/>
        <w:ind w:right="114"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Esparta as mulheres participavam de todos os exercícios e trabalhos e não era levado em consideração à diferença entre os sexos. Como para os homens os exercícios procuravam dar à mulher grande fortaleza física, sem complicações sentimentais. (KLAFS; LYON, 1981).</w:t>
      </w:r>
    </w:p>
    <w:p>
      <w:pPr>
        <w:spacing w:before="6"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contrário de Esparta, em Atenas a educação da mulher era essencialmente doméstica. (KLAFS; LYON, 1981).</w:t>
      </w:r>
    </w:p>
    <w:p>
      <w:pPr>
        <w:spacing w:before="7"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Colônia não foi diferente de Atenas. De acordo com Ribeiro (2000, p. 44) “a educação feminina ficou, geralmente, restrita à procriação e ao cuidado com o marido e os filhos”.</w:t>
      </w:r>
    </w:p>
    <w:p>
      <w:pPr>
        <w:spacing w:before="6"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à educação do corpo feminino no Brasil (1500 a 1822), as atividades físicas das mulheres das camadas favorecidas, eram desestimuladas (RIBEIRO 2000).</w:t>
      </w:r>
    </w:p>
    <w:p>
      <w:pPr>
        <w:spacing w:before="4" w:after="0" w:line="360"/>
        <w:ind w:right="28" w:left="118" w:firstLine="1701"/>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Observa-se que nesta época as mulheres eram ociosas e imóveis, o que acarretava a obesidade. Como afirma Ribeiro (2000, p.52):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88" w:after="0" w:line="240"/>
        <w:ind w:right="117"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praticavam o ato de caminhar ou cavalgar. Andavam sempre em cadeirinhas. Em casa viviam quase sempre deitadas ou sentadas. Engravidavam continuamente. Também adquiriram o hábito de comerem muitos doces açucarados, o que lhes tornavam obesas.</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45" w:after="0" w:line="360"/>
        <w:ind w:right="113" w:left="193"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ano de 1874, a prática da Educação Física pelos os homens era valorizada, mas quando se referia à mulher ela era repugnada, como mostra Castellani Filho (1991, p. 46) ao se referir à prática da atividade física:</w:t>
      </w:r>
    </w:p>
    <w:p>
      <w:pPr>
        <w:spacing w:before="3" w:after="0" w:line="240"/>
        <w:ind w:right="122"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...os alunos do sexo masculino (era aceita), por já terem seus pais se acostumado à idéia da ginástica para homens, em razão dos exemplos oriundos das instituições militares, se fazia histérica quando a intenção de sua prática se estendia ao sexo feminino.</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 primórdios do período republicano, surge a eugenia. A preocupação principal dos higienistas era em relação à saúde e a melhora da raça humana e de suas características físicas. A mulher nesta época desempenhava um papel fundamental, como afirma Castellani filho (1991, p.56):</w:t>
      </w:r>
    </w:p>
    <w:p>
      <w:pPr>
        <w:spacing w:before="3" w:after="0" w:line="240"/>
        <w:ind w:right="119"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...mulheres fortes e sadias teriam mais condições de gerarem filhos saudáveis, os quais por sua vez, estariam mais aptos a defenderem e construírem a Pátria, no caso dos homens, e de se tornarem mães robustas, no caso das mulheres.</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é a partir da década de 30 que na natação competitiva feminina, a mulher começa a ter êxito na sociedade e na representação mundial, apesar de não ter grandes incentivos.</w:t>
      </w:r>
    </w:p>
    <w:p>
      <w:pPr>
        <w:spacing w:before="5" w:after="0" w:line="240"/>
        <w:ind w:right="112"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Isso se deu pelo fato de se acreditar que a natação não comprometia a feminilidade, não necessitava de força física e não prejudicava as virtudes ditas femininas da época, tornando-a uma ferramenta importante para a eugenia - um dos interesses do Estado, já que este esporte contribuiria para a formação de mulheres saudáveis e aptas a gerar filhos fortes (LENK, 1942).</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contexto fica evidente o perfil feminino que se desejava pelos higienistas, a figura da mulher associada à figura de mãe.</w:t>
      </w:r>
    </w:p>
    <w:p>
      <w:pPr>
        <w:spacing w:before="6"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Conselho Nacional de Desporto também enfatizou em 1941 o perfil feminino com seu decreto lei em que, não era permitido as mulheres à prática de desportos incompatíveis com sua natureza (Castellani Filho, 1991).</w:t>
      </w:r>
    </w:p>
    <w:p>
      <w:pPr>
        <w:spacing w:before="4" w:after="0" w:line="360"/>
        <w:ind w:right="114"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Observa-se que neste contexto as mulheres não poderiam participar de esportes que ferissem sua natureza frágil, privando-as de mostrarem seu potencial esportivo em várias modalidades.</w:t>
      </w:r>
    </w:p>
    <w:p>
      <w:pPr>
        <w:spacing w:before="6"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1977, surge à lei que determina à aluna que tenha prole facultar nas  aulas de Educação Física. De acordo com Castellani Filho (1991, p.65) este pensamento serviu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somente:</w:t>
      </w:r>
    </w:p>
    <w:p>
      <w:pPr>
        <w:spacing w:before="3" w:after="0" w:line="240"/>
        <w:ind w:right="120"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Para reforçar o pensamento dominante do papel da mulher na sociedade brasileira, preparando-a fisicamente para a maternidade, concebendo a idéia de “mulher” quase que somente associada à de “mãe”, servindo desta forma de suporte para o controle do comportamento feminino.</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4" w:after="0" w:line="360"/>
        <w:ind w:right="9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mulher por vários anos sofreu discriminações e foi privada de participar no âmbito publico sobre o pretexto de ter características biológicas que não a permitiam participar, porém com o conhecimento do conceito de gênero podemos concluir que essas desigualdades existentes são construídas socialmente. E por isso podem ser reconstruídas sobre uma perspectiva de igualdade, para que homens e mulheres tenham as mesmas oportunidades no âmbito esportivo.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96" w:after="0" w:line="240"/>
        <w:ind w:right="28" w:left="118"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OBJETIVOS</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7" w:after="0" w:line="240"/>
        <w:ind w:right="0" w:left="0" w:firstLine="0"/>
        <w:jc w:val="left"/>
        <w:rPr>
          <w:rFonts w:ascii="Times New Roman" w:hAnsi="Times New Roman" w:cs="Times New Roman" w:eastAsia="Times New Roman"/>
          <w:b/>
          <w:color w:val="auto"/>
          <w:spacing w:val="0"/>
          <w:position w:val="0"/>
          <w:sz w:val="41"/>
          <w:shd w:fill="auto" w:val="clear"/>
        </w:rPr>
      </w:pPr>
    </w:p>
    <w:p>
      <w:pPr>
        <w:spacing w:before="0" w:after="0" w:line="240"/>
        <w:ind w:right="28" w:left="118"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Geral</w:t>
      </w:r>
    </w:p>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i/>
          <w:color w:val="auto"/>
          <w:spacing w:val="0"/>
          <w:position w:val="0"/>
          <w:sz w:val="29"/>
          <w:shd w:fill="auto" w:val="clear"/>
        </w:rPr>
      </w:pPr>
    </w:p>
    <w:p>
      <w:pPr>
        <w:spacing w:before="0" w:after="0" w:line="360"/>
        <w:ind w:right="117" w:left="118" w:firstLine="7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Investigar a inserção e a trajetória da mulher no esporte através das relações de gênero e representação social, ou seja, pretendeu-se analisar a vida de Maria Lenk e a sua conquista por espaço no esporte, no intuito de identificar a representação social de sua vida com o desenvolvimento do esporte feminino no Brasil.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7"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0" w:after="0" w:line="240"/>
        <w:ind w:right="28" w:left="118"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Específicos</w:t>
      </w:r>
    </w:p>
    <w:p>
      <w:pPr>
        <w:spacing w:before="0" w:after="0" w:line="240"/>
        <w:ind w:right="0" w:left="0" w:firstLine="0"/>
        <w:jc w:val="left"/>
        <w:rPr>
          <w:rFonts w:ascii="Times New Roman" w:hAnsi="Times New Roman" w:cs="Times New Roman" w:eastAsia="Times New Roman"/>
          <w:b/>
          <w:i/>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b/>
          <w:i/>
          <w:color w:val="auto"/>
          <w:spacing w:val="0"/>
          <w:position w:val="0"/>
          <w:sz w:val="28"/>
          <w:shd w:fill="auto" w:val="clear"/>
        </w:rPr>
      </w:pPr>
    </w:p>
    <w:p>
      <w:pPr>
        <w:spacing w:before="54" w:after="0" w:line="348"/>
        <w:ind w:right="119" w:left="831" w:hanging="356"/>
        <w:jc w:val="both"/>
        <w:rPr>
          <w:rFonts w:ascii="Times New Roman" w:hAnsi="Times New Roman" w:cs="Times New Roman" w:eastAsia="Times New Roman"/>
          <w:color w:val="auto"/>
          <w:spacing w:val="0"/>
          <w:position w:val="0"/>
          <w:sz w:val="24"/>
          <w:shd w:fill="auto" w:val="clear"/>
        </w:rPr>
      </w:pPr>
      <w:r>
        <w:object w:dxaOrig="212" w:dyaOrig="283">
          <v:rect xmlns:o="urn:schemas-microsoft-com:office:office" xmlns:v="urn:schemas-microsoft-com:vml" id="rectole0000000029" style="width:10.600000pt;height:14.15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29" ShapeID="rectole0000000029" r:id="docRId122"/>
        </w:objec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Compreender a representação de gênero e analisar sua importância na prática esportiva feminina;</w:t>
      </w:r>
    </w:p>
    <w:p>
      <w:pPr>
        <w:spacing w:before="20" w:after="0" w:line="348"/>
        <w:ind w:right="113" w:left="831" w:hanging="356"/>
        <w:jc w:val="both"/>
        <w:rPr>
          <w:rFonts w:ascii="Times New Roman" w:hAnsi="Times New Roman" w:cs="Times New Roman" w:eastAsia="Times New Roman"/>
          <w:color w:val="auto"/>
          <w:spacing w:val="0"/>
          <w:position w:val="0"/>
          <w:sz w:val="24"/>
          <w:shd w:fill="auto" w:val="clear"/>
        </w:rPr>
      </w:pPr>
      <w:r>
        <w:object w:dxaOrig="212" w:dyaOrig="283">
          <v:rect xmlns:o="urn:schemas-microsoft-com:office:office" xmlns:v="urn:schemas-microsoft-com:vml" id="rectole0000000030" style="width:10.600000pt;height:14.1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30" ShapeID="rectole0000000030" r:id="docRId124"/>
        </w:objec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Analisar a representação social de Maria Lenk na construção da história do esporte feminino no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w:t>
      </w:r>
    </w:p>
    <w:p>
      <w:pPr>
        <w:spacing w:before="20" w:after="0" w:line="355"/>
        <w:ind w:right="121" w:left="831" w:hanging="356"/>
        <w:jc w:val="both"/>
        <w:rPr>
          <w:rFonts w:ascii="Times New Roman" w:hAnsi="Times New Roman" w:cs="Times New Roman" w:eastAsia="Times New Roman"/>
          <w:color w:val="auto"/>
          <w:spacing w:val="0"/>
          <w:position w:val="0"/>
          <w:sz w:val="24"/>
          <w:shd w:fill="auto" w:val="clear"/>
        </w:rPr>
      </w:pPr>
      <w:r>
        <w:object w:dxaOrig="212" w:dyaOrig="283">
          <v:rect xmlns:o="urn:schemas-microsoft-com:office:office" xmlns:v="urn:schemas-microsoft-com:vml" id="rectole0000000031" style="width:10.600000pt;height:14.1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31" ShapeID="rectole0000000031" r:id="docRId126"/>
        </w:objec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Reunir subsídios teóricos para as pesquisas científicas em torno da prática esportiva feminina, cujo número vem aumentando consideravelmente devido a esforços de vários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pesquisadores.</w:t>
      </w:r>
    </w:p>
    <w:p>
      <w:pPr>
        <w:spacing w:before="39" w:after="0" w:line="240"/>
        <w:ind w:right="28" w:left="118" w:firstLine="0"/>
        <w:jc w:val="left"/>
        <w:rPr>
          <w:rFonts w:ascii="Times New Roman" w:hAnsi="Times New Roman" w:cs="Times New Roman" w:eastAsia="Times New Roman"/>
          <w:b/>
          <w:color w:val="auto"/>
          <w:spacing w:val="0"/>
          <w:position w:val="0"/>
          <w:sz w:val="32"/>
          <w:shd w:fill="auto" w:val="clear"/>
        </w:rPr>
      </w:pPr>
    </w:p>
    <w:p>
      <w:pPr>
        <w:spacing w:before="39" w:after="0" w:line="240"/>
        <w:ind w:right="28" w:left="118" w:firstLine="0"/>
        <w:jc w:val="left"/>
        <w:rPr>
          <w:rFonts w:ascii="Times New Roman" w:hAnsi="Times New Roman" w:cs="Times New Roman" w:eastAsia="Times New Roman"/>
          <w:b/>
          <w:color w:val="auto"/>
          <w:spacing w:val="0"/>
          <w:position w:val="0"/>
          <w:sz w:val="32"/>
          <w:shd w:fill="auto" w:val="clear"/>
        </w:rPr>
      </w:pPr>
    </w:p>
    <w:p>
      <w:pPr>
        <w:spacing w:before="39" w:after="0" w:line="240"/>
        <w:ind w:right="28" w:left="118" w:firstLine="0"/>
        <w:jc w:val="left"/>
        <w:rPr>
          <w:rFonts w:ascii="Times New Roman" w:hAnsi="Times New Roman" w:cs="Times New Roman" w:eastAsia="Times New Roman"/>
          <w:b/>
          <w:color w:val="auto"/>
          <w:spacing w:val="0"/>
          <w:position w:val="0"/>
          <w:sz w:val="32"/>
          <w:shd w:fill="auto" w:val="clear"/>
        </w:rPr>
      </w:pPr>
    </w:p>
    <w:p>
      <w:pPr>
        <w:spacing w:before="39" w:after="0" w:line="240"/>
        <w:ind w:right="28" w:left="118"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METODOLOGIA</w:t>
      </w:r>
    </w:p>
    <w:p>
      <w:pPr>
        <w:spacing w:before="54"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componentes metodológicos privilegiados neste trabalho englobam a pesquisa histórica da participação das mulheres no esporte e das relações de gênero e representação social, aliada à pesquisa de análise documental, com estudo de natureza qualitativa.</w:t>
      </w:r>
    </w:p>
    <w:p>
      <w:pPr>
        <w:spacing w:before="4"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Marconi</w:t>
      </w:r>
    </w:p>
    <w:p>
      <w:pPr>
        <w:spacing w:before="138" w:after="0" w:line="240"/>
        <w:ind w:right="117"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metodologia qualitativa preocupa-se em analisar e interpretar aspectos mais profundos, descrevendo a complexidade do comportamento humano. Fornece  análise mais detalhada sobre as investigações, hábitos, atitudes, tendências de comportamento etc (MARCONI; LAKATOS, 2004, p.</w:t>
      </w:r>
      <w:r>
        <w:rPr>
          <w:rFonts w:ascii="Times New Roman" w:hAnsi="Times New Roman" w:cs="Times New Roman" w:eastAsia="Times New Roman"/>
          <w:color w:val="auto"/>
          <w:spacing w:val="-1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269).</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Thomas e Nelson (2002, p. 322) afirmam que “a característica mais significativa da pesquisa qualitativa é o conteúdo interpretativo em vez de uma preocupação excessiva sobre o procedimento”.</w:t>
      </w:r>
    </w:p>
    <w:p>
      <w:pPr>
        <w:spacing w:before="4" w:after="0" w:line="360"/>
        <w:ind w:right="114"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Lakatos (1991, p. 178) explica que “o levantamento de dados, é o primeiro passo de qualquer pesquisa científica”, sendo assim, a pesquisa bibliográfica, foi a primeira a ser contemplada, pois, de acordo com Lakatos (1991, p.158) a pesquisa bibliográfica “é um apanhado geral sobre os principais trabalhos já realizados, revestidos de importância, por serem capazes de fornecer dados atuais e relevantes relacionadas ao tema”.</w:t>
      </w:r>
    </w:p>
    <w:p>
      <w:pPr>
        <w:spacing w:before="6"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iniciei o trabalho pelo levantamento bibliográfico referente ao histórico da participação das mulheres no esporte e das relações de gênero e representação social. Nesta etapa, realizei pesquisas em materiais teóricos presentes em livros, artigos, monografias, dissertações e teses relacionadas ao estudo.</w:t>
      </w:r>
    </w:p>
    <w:p>
      <w:pPr>
        <w:spacing w:before="6"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Realizado o levantamento bibliográfico, iniciei a coleta de informações, a princípio demarcada na estratégia metodológica da História Oral de conotação etnográfica e biográfica, onde Maria Lenk narraria sua trajetória de vida esportiva,  dificuldades,  resistências 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conquistas.</w:t>
      </w:r>
    </w:p>
    <w:p>
      <w:pPr>
        <w:spacing w:before="4"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com seu súbito falecimento, a estratégia metodológica ficou prejudicada. Ressalto ainda, que eu já havia feito um prévio contato com a nadadora em janeiro de 2007, marcando entrevista com a mesma para julho de 2007. Entretanto, no dia 16 de abril de 2007, Maria Lenk faleceu.</w:t>
      </w:r>
    </w:p>
    <w:p>
      <w:pPr>
        <w:spacing w:before="4" w:after="0" w:line="362"/>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conseqüência de seu desaparecimento, este trabalho passou a adotar a metodologia de análise documental.</w:t>
      </w:r>
    </w:p>
    <w:p>
      <w:pPr>
        <w:spacing w:before="0" w:after="0" w:line="240"/>
        <w:ind w:right="119"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Análise Documental pode se constituir numa técnica valiosa de abordagem de dados qualitativos seja complementando as informações obtidas por outras técnicas, seja desvelando aspectos novos de um tema ou problema (LÜDKE; ANDRÉ, 1986, p.38).</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4"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Holsti (1969) existem situações em que se faz necessário o uso  da Análise Documental, e dentre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eles:</w:t>
      </w:r>
    </w:p>
    <w:p>
      <w:pPr>
        <w:spacing w:before="16" w:after="0" w:line="240"/>
        <w:ind w:right="114" w:left="2387" w:firstLine="0"/>
        <w:jc w:val="both"/>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0"/>
          <w:sz w:val="20"/>
          <w:shd w:fill="auto" w:val="clear"/>
        </w:rPr>
        <w:t xml:space="preserve">...Quando o acesso aos dados é problemático, seja porque o pesquisador tem limitações de tempo ou deslocamento, seja porque o sujeito de investigação não está mais vivo (HOLSTI</w:t>
      </w:r>
      <w:r>
        <w:rPr>
          <w:rFonts w:ascii="Times New Roman" w:hAnsi="Times New Roman" w:cs="Times New Roman" w:eastAsia="Times New Roman"/>
          <w:color w:val="auto"/>
          <w:spacing w:val="0"/>
          <w:position w:val="9"/>
          <w:sz w:val="13"/>
          <w:shd w:fill="auto" w:val="clear"/>
        </w:rPr>
        <w:t xml:space="preserve">1 </w:t>
      </w:r>
      <w:r>
        <w:rPr>
          <w:rFonts w:ascii="Times New Roman" w:hAnsi="Times New Roman" w:cs="Times New Roman" w:eastAsia="Times New Roman"/>
          <w:color w:val="auto"/>
          <w:spacing w:val="0"/>
          <w:position w:val="9"/>
          <w:sz w:val="20"/>
          <w:shd w:fill="auto" w:val="clear"/>
        </w:rPr>
        <w:t xml:space="preserve">apud LÜDKE; ANDRÉ, 1986, p.39).</w:t>
      </w:r>
    </w:p>
    <w:p>
      <w:pPr>
        <w:spacing w:before="4"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disso, percebe-se a importância da análise documental como cunho metodológico deste trabalho. Sendo assim selecionei documentos de fontes primárias que são:</w:t>
      </w:r>
    </w:p>
    <w:p>
      <w:pPr>
        <w:spacing w:before="3" w:after="0" w:line="240"/>
        <w:ind w:right="123"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...indicados nas seguintes categorias: 1) arquivos e documentos públicos; 2) a imprensa; 3) arquivos particulares; 4) documentação indireta e 5) fontes  documentais não escritas (TRUJILLO, 1982, p.</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225).</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da análise documental de fontes primárias, baseadas nos fatos e informações que a imprensa publicou após a morte de Maria Lenk e de livros que  contemplam o resgate de sua memória, foi investigada a sua vida esportiva, analisando sua representação social no meio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esportivo.</w:t>
      </w:r>
    </w:p>
    <w:p>
      <w:pPr>
        <w:spacing w:before="4"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 análise dos dados obtidos, utilizei a técnica de análise de  documentos, que “nos permite determinar a autenticidade do texto, o seu valor, seu grau de veracidade, seu sentido e seu alcance” (TRUJILLO, 1982, p.</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227).</w:t>
      </w:r>
    </w:p>
    <w:p>
      <w:pPr>
        <w:spacing w:before="6"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o processo de análise e interpretação das informações registradas e sistematizadas, dei início à teorização dos dados. Lüdke; André (1986, p.49) afirmam que “para apresentar os dados de forma clara e coerente, ele (pesquisador) provavelmente terá que rever as suas idéias iniciais, repensá-las, reavaliá-las e novas idéias poderão surgir nesse processo”.</w:t>
      </w:r>
    </w:p>
    <w:p>
      <w:pPr>
        <w:spacing w:before="4" w:after="0" w:line="360"/>
        <w:ind w:right="112"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com a realização da pesquisa histórica, da análise documental, e da análise e interpretações dos dados obtidos, foram recolhidos subsídios que auxiliaram, de forma qualitativa, na elaboração do “cenário” histórico da inserção e participação das mulheres no esporte aliado as relações de gênero e representação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social.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44" w:after="0" w:line="240"/>
        <w:ind w:right="28" w:left="118" w:firstLine="0"/>
        <w:jc w:val="left"/>
        <w:rPr>
          <w:rFonts w:ascii="Arial" w:hAnsi="Arial" w:cs="Arial" w:eastAsia="Arial"/>
          <w:color w:val="auto"/>
          <w:spacing w:val="0"/>
          <w:position w:val="10"/>
          <w:sz w:val="20"/>
          <w:shd w:fill="auto" w:val="clear"/>
        </w:rPr>
      </w:pPr>
      <w:r>
        <w:rPr>
          <w:rFonts w:ascii="Arial" w:hAnsi="Arial" w:cs="Arial" w:eastAsia="Arial"/>
          <w:color w:val="auto"/>
          <w:spacing w:val="0"/>
          <w:position w:val="10"/>
          <w:sz w:val="13"/>
          <w:shd w:fill="auto" w:val="clear"/>
        </w:rPr>
        <w:t xml:space="preserve">1 </w:t>
      </w:r>
      <w:r>
        <w:rPr>
          <w:rFonts w:ascii="Arial" w:hAnsi="Arial" w:cs="Arial" w:eastAsia="Arial"/>
          <w:color w:val="auto"/>
          <w:spacing w:val="0"/>
          <w:position w:val="10"/>
          <w:sz w:val="20"/>
          <w:shd w:fill="auto" w:val="clear"/>
        </w:rPr>
        <w:t xml:space="preserve">HOLSTI, O. R. Content Analysis for the Social Sciences and Humanities. Reading, Mass., Addison- Wesley, 1969.</w:t>
      </w:r>
    </w:p>
    <w:p>
      <w:pPr>
        <w:spacing w:before="0" w:after="0" w:line="240"/>
        <w:ind w:right="0" w:left="0" w:firstLine="0"/>
        <w:jc w:val="left"/>
        <w:rPr>
          <w:rFonts w:ascii="Arial" w:hAnsi="Arial" w:cs="Arial" w:eastAsia="Arial"/>
          <w:color w:val="auto"/>
          <w:spacing w:val="0"/>
          <w:position w:val="0"/>
          <w:sz w:val="20"/>
          <w:shd w:fill="auto" w:val="clear"/>
        </w:rPr>
      </w:pPr>
    </w:p>
    <w:p>
      <w:pPr>
        <w:spacing w:before="39" w:after="0" w:line="240"/>
        <w:ind w:right="28" w:left="118"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Resultados da Pesquisa e Discussão</w:t>
      </w:r>
    </w:p>
    <w:p>
      <w:pPr>
        <w:spacing w:before="240" w:after="0" w:line="240"/>
        <w:ind w:right="28" w:left="118"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1. Maria Lenk: história de vida</w:t>
      </w:r>
    </w:p>
    <w:p>
      <w:pPr>
        <w:spacing w:before="7" w:after="0" w:line="240"/>
        <w:ind w:right="0" w:left="0" w:firstLine="0"/>
        <w:jc w:val="left"/>
        <w:rPr>
          <w:rFonts w:ascii="Times New Roman" w:hAnsi="Times New Roman" w:cs="Times New Roman" w:eastAsia="Times New Roman"/>
          <w:b/>
          <w:i/>
          <w:color w:val="auto"/>
          <w:spacing w:val="0"/>
          <w:position w:val="0"/>
          <w:sz w:val="32"/>
          <w:shd w:fill="auto" w:val="clear"/>
        </w:rPr>
      </w:pPr>
    </w:p>
    <w:p>
      <w:pPr>
        <w:spacing w:before="0"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Lenk, filha de Paul Lenk e Rosa Lenk imigrantes alemães, nasceu em São Paulo no dia 15 de janeiro de 1915, período em que não era muito conhecido o esporte feminino competitivo.</w:t>
      </w:r>
    </w:p>
    <w:p>
      <w:pPr>
        <w:spacing w:before="6" w:after="0" w:line="360"/>
        <w:ind w:right="121"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Paul Lenk, funcionário de banco e preocupado com a vida sedentária que seu trabalho proporcionava, montou no quintal de sua casa vários aparelhos de</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ginástica.</w:t>
      </w:r>
    </w:p>
    <w:p>
      <w:pPr>
        <w:spacing w:before="5" w:after="0" w:line="240"/>
        <w:ind w:right="123"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preocupação com a saúde e aptidão física, e o elevado nível de conhecimento de como mantê-las ficou patente nos exercícios físicos diários, os quais se submetiam o funcionário de banco Paul Lenk... (LENK, 1982, p.144).</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quando os filhos de Paul Lenk, incluindo Maria Lenk, cresceram foram introduzidos na prática dos desportos:</w:t>
      </w:r>
    </w:p>
    <w:p>
      <w:pPr>
        <w:spacing w:before="3" w:after="0" w:line="240"/>
        <w:ind w:right="119"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...introduzi-os na “nobre arte” de Friedrich Jahn, ensinando-lhes até mesmo o lema: “Frisch-Fromm-Fröhlich-Frei” (bem disposto, piedoso, alegre, livre) cujos 4 efes, dispostos em cruz representam o símbolo da ginástica (LENK, 1982, p.144).</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após uma pneumonia dupla que levou Maria Lenk a beira da morte, seu pai decidiu que ela deveria nadar para se fortalecer. O local das aulas era o rio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Tietê.</w:t>
      </w:r>
    </w:p>
    <w:p>
      <w:pPr>
        <w:spacing w:before="4"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Observa-se que, Paul Lenk era um pai diferente da maioria dos existentes no Brasil. Não fazia distinção de gênero. Não acreditava que as mulheres eram inferiores aos homens. Do contrário, só teria acesso aos esportes seu filho do gênero masculino. No entanto, Paul incluiu todos os seus filhos a prática esportiva.</w:t>
      </w:r>
    </w:p>
    <w:p>
      <w:pPr>
        <w:spacing w:before="4"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Lenk também freqüentava um colégio de freiras católicas alemãs “de grande receptividade ao valor da Educação Física e dos desportos” (LENK, 1982, p. 145). Por isso não mostravam reprovação às atividades públicas de Maria Lenk, desde que:</w:t>
      </w:r>
    </w:p>
    <w:p>
      <w:pPr>
        <w:spacing w:before="5" w:after="0" w:line="240"/>
        <w:ind w:right="116"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Mantivesse o pudor e o comportamento de recolhimento por elas ensinado. Isto  tinha muita importância, já que os preconceitos da época, baseados em conceitos da mentalidade paulista, punham em duvida a aceitação dessa inovação (LENK, 1982, p.145).</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2"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família de Maria Lenk a apoiava e permitiu independência necessária a sua carreira pioneira, “incluindo viagens desacompanhadas de familiares, coisa também rejeitada e criticada” (LENK, 1982,</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p.145).</w:t>
      </w:r>
    </w:p>
    <w:p>
      <w:pPr>
        <w:spacing w:before="1" w:after="0" w:line="360"/>
        <w:ind w:right="112" w:left="118" w:firstLine="1701"/>
        <w:jc w:val="both"/>
        <w:rPr>
          <w:rFonts w:ascii="Times New Roman" w:hAnsi="Times New Roman" w:cs="Times New Roman" w:eastAsia="Times New Roman"/>
          <w:color w:val="auto"/>
          <w:spacing w:val="0"/>
          <w:position w:val="0"/>
          <w:sz w:val="24"/>
          <w:shd w:fill="auto" w:val="clear"/>
        </w:rPr>
      </w:pPr>
    </w:p>
    <w:p>
      <w:pPr>
        <w:spacing w:before="4" w:after="0" w:line="360"/>
        <w:ind w:right="120"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causa da depressão financeira da época, o banco onde o pai de Maria Lenk trabalhava fechou. Pelos os conhecimentos de Paul Lenk na área da natação e da ginástica, ele foi convidado a ser professor de natação na capital de São Paulo. Maria Lenk aproveitou a oportunidade e ingressou na primeira turma civil dos profissionais formados pela</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4" w:after="0" w:line="360"/>
        <w:ind w:right="122"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Escola Superior de Educação Física (Escola de Educação Física e Desporto da Universidade de São Paulo). Mal ela sabia que seria com esse feito, a primeira mulher a ocupar a cadeira de professora de educação física.</w:t>
      </w:r>
    </w:p>
    <w:p>
      <w:pPr>
        <w:spacing w:before="4"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Lenk deu inicio a sua carreira de magistério na pequena cidade de Amparo. Neste município ela enfrentou vários desafios das relações de poder, de gênero e da cultura machista, pois, os religiosos locais não permitiam as inovações trazidas por Maria:</w:t>
      </w:r>
    </w:p>
    <w:p>
      <w:pPr>
        <w:spacing w:before="5" w:after="0" w:line="240"/>
        <w:ind w:right="114"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Ao dar aulas de natação em Amparo, interior de São Paulo, foi excomungada pelo bispo da cidade, sob a alegação de que seu trabalho não era apropriado às mulheres (O ESTADO DE SÃO PAULO, 17 abr. 2007).</w:t>
      </w: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excomunhão era e é até hoje, a punição de maior efeito moral nas pessoas cristãs. Significa que a “representação” de Deus na terra condena o indivíduo à morte eterna. Nesse sentido, Maria Lenk, católica de formação, foi oficialmente punida com um destino pós-mortém doloroso: ao inferno. Teria seu trabalho, como professora de Educação Física, desestabilizado com tanto vigor os homens da cidade de Amparo a ponto de sofrer tamanho castigo e humilhação por educar mulheres?</w:t>
      </w:r>
    </w:p>
    <w:p>
      <w:pPr>
        <w:spacing w:before="6" w:after="0" w:line="360"/>
        <w:ind w:right="119" w:left="118" w:firstLine="1701"/>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poder que emana do gênero masculino ficou evidenciado</w:t>
      </w:r>
      <w:r>
        <w:rPr>
          <w:rFonts w:ascii="Times New Roman" w:hAnsi="Times New Roman" w:cs="Times New Roman" w:eastAsia="Times New Roman"/>
          <w:color w:val="auto"/>
          <w:spacing w:val="4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atitude severa do Bispo da cidade. É provável que tenha havido muita repercussão desse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punitivo. Contudo, Maria Lenk não sucumbiu. Ao contrário, continuou sua carreira  e</w:t>
      </w:r>
    </w:p>
    <w:p>
      <w:pPr>
        <w:spacing w:before="4" w:after="0" w:line="240"/>
        <w:ind w:right="28"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teve muito êxito.</w:t>
      </w:r>
    </w:p>
    <w:p>
      <w:pPr>
        <w:spacing w:before="139"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ultima prova de natação de Maria Lenk no amadorismo foi em 15 de</w:t>
      </w:r>
    </w:p>
    <w:p>
      <w:pPr>
        <w:spacing w:before="137" w:after="0" w:line="360"/>
        <w:ind w:right="113"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janeiro de 1942, nos Estados Unidos. A partir daí ela deixaria sua carreira na natação, para ajudar a fundar e se tornar professora de natação na Escola Nacional de Educação Física e Desportos da Universidade do Brasil, atual UFRJ - Universidade Federal do Rio de Janeiro - (FOLHA DE SÃO PAULO, 17 abr. 2007).</w:t>
      </w: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na Escola de Educação Física e Desportos da Universidade Federal do Rio de Janeiro, por decreto do Presidente da República Getúlio Vargas, foi dado a Maria Lenk o cargo de diretora dessa instituição:</w:t>
      </w:r>
    </w:p>
    <w:p>
      <w:pPr>
        <w:spacing w:before="5" w:after="0" w:line="240"/>
        <w:ind w:right="120"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Era uma chocante inovação entregar-se tamanha responsabilidade a um professor de Educação Física, ainda mais uma mulher, em face dos impostos preconceitos de então. O posto magno pertencia, até aí, a médicos, homens, exceto nos primeiros anos, desde a fundação, quando os diretores eram oficiais do Exército (LENK, 1982, p. 138).</w:t>
      </w:r>
    </w:p>
    <w:p>
      <w:pPr>
        <w:spacing w:before="1"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Vargas talvez tenha vislumbrado em Maria Lenk uma profissional dedicada e ética, compondo com ela, uma instituição importante para esse governo nacionalista. Para esse Presidente, a Educação Física era fundamental na formação de homens e mulheres brasileiros.</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4"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se tornar professora Maria Lenk publicou seu primeiro livro, intitulado “Natação” de 1942: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22"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Tantos os nados borboletas como o nado crawl, o nado de costas e o nado de peito passam nele por uma análise completa, sob o aspecto biomecânico, forma inédita no português de qualquer desporto até aquela época, constituindo, assim, o primeiro livro de biomecânica desportiva escrito nesse idioma (LENK, 1982, p.137).</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20"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ajudou a fundar juntamente com o ministro Gama Filho o colégio Piedade, que mais tarde se tornou a Universidade Gama Filho (LENK, 1982).</w:t>
      </w:r>
    </w:p>
    <w:p>
      <w:pPr>
        <w:spacing w:before="4"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Lenk casou-se com Gilbert Zigler, engenheiro americano, e teve um casal de filhos Gilbert e Marlen. Ela relata que “através de seu marido, finalmente se realizou como mãe e mulher, podendo orgulhar-se de seus dois filhos” (LENK, 1982).</w:t>
      </w:r>
    </w:p>
    <w:p>
      <w:pPr>
        <w:spacing w:before="6"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1979, encerrou sua carreira como professora, depois de 42 anos de magistério, onde levou varias gerações ao conhecimento da Educação Física.</w:t>
      </w:r>
    </w:p>
    <w:p>
      <w:pPr>
        <w:spacing w:before="6" w:after="0" w:line="360"/>
        <w:ind w:right="115"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Aposentada como professora, Maria Lenk não parou. Diferentemente de muitas pessoas que se sentem cansadas e se recolhem em seus lares, ela retomou sua carreira como nadadora na categoria máster, onde ganhou vários títulos e competições.</w:t>
      </w: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Produziu entre todas as atividades já citadas, muitos livros didáticos sobre natação, que foram de grande importância para o desenvolvimento da Educação Física.</w:t>
      </w:r>
    </w:p>
    <w:p>
      <w:pPr>
        <w:spacing w:before="4"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de seu livro intitulado Natação, escreveu mais cinco: Organização da Educação Física, Natação Olímpica e Natação para meu Neném, foram escritos na década   de</w:t>
      </w:r>
    </w:p>
    <w:p>
      <w:pPr>
        <w:spacing w:before="4" w:after="0" w:line="360"/>
        <w:ind w:right="115"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70. Em 1982, publicou o livro Braçadas e Abraços, que conta sua trajetória esportiva no inicio de sua carreira, portanto traz um retrato do principio da natação no Brasil, este livro é uma autobiografia de Maria Lenk. Seu mais recente trabalho é o livro Longevidade e Esporte, resultado de uma pesquisa de três anos, que mostra a terceira idade como prolongar a aptidão física por meio da prática regular de esportes. Essa obra foi lançada em janeiro de 2003 no aniversário de Maria Lenk.</w:t>
      </w: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noventa e dois anos de idade, em 16 de abril de 2007, Maria Lenk faleceu após ter se sentido mal e ficado inconsciente quando treinava na piscina do clube Flamengo para futuras competições na categoria máster, onde, como já dito, acumulou vários títulos.</w:t>
      </w: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p>
    <w:p>
      <w:pPr>
        <w:spacing w:before="4" w:after="0" w:line="360"/>
        <w:ind w:right="118" w:left="118" w:firstLine="1701"/>
        <w:jc w:val="both"/>
        <w:rPr>
          <w:rFonts w:ascii="Times New Roman" w:hAnsi="Times New Roman" w:cs="Times New Roman" w:eastAsia="Times New Roman"/>
          <w:color w:val="auto"/>
          <w:spacing w:val="0"/>
          <w:position w:val="0"/>
          <w:sz w:val="24"/>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0" w:after="0" w:line="240"/>
        <w:ind w:right="0" w:left="118"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2. Maria Lenk: a natação e seus desdobramentos aos olhos da imprensa.</w:t>
      </w:r>
    </w:p>
    <w:p>
      <w:pPr>
        <w:spacing w:before="7" w:after="0" w:line="240"/>
        <w:ind w:right="0" w:left="0" w:firstLine="0"/>
        <w:jc w:val="left"/>
        <w:rPr>
          <w:rFonts w:ascii="Times New Roman" w:hAnsi="Times New Roman" w:cs="Times New Roman" w:eastAsia="Times New Roman"/>
          <w:b/>
          <w:i/>
          <w:color w:val="auto"/>
          <w:spacing w:val="0"/>
          <w:position w:val="0"/>
          <w:sz w:val="22"/>
          <w:shd w:fill="auto" w:val="clear"/>
        </w:rPr>
      </w:pPr>
    </w:p>
    <w:p>
      <w:pPr>
        <w:spacing w:before="69"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sua morte, a imprensa norteou abundantemente, os grandes feitos de</w:t>
      </w:r>
    </w:p>
    <w:p>
      <w:pPr>
        <w:spacing w:before="139" w:after="0" w:line="240"/>
        <w:ind w:right="28"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Lenk.</w:t>
      </w:r>
    </w:p>
    <w:p>
      <w:pPr>
        <w:spacing w:before="54"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história de Maria Lenk na natação está intimamente ligada com a inserção da mulher brasileira no esporte competitivo. Portanto, a história esportiva de Maria Lenk trata-se da história da mulher no esporte e suas conquistas, mostrando-se como um marco das mulheres na luta contra as desigualdades.</w:t>
      </w:r>
    </w:p>
    <w:p>
      <w:pPr>
        <w:spacing w:before="6"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declara Coaracy Nunes Filho, presidente da Confederação Brasileira de Desportos Aquáticos, para o jornal O Dia online (17 abr. 2007) em matéria intitulada “Maria Lenk recebe homenagens antes do último adeus”: “A história dela se confunde com a história da natação brasileira”.</w:t>
      </w:r>
    </w:p>
    <w:p>
      <w:pPr>
        <w:spacing w:before="7"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além de sua atividade como professora, Maria também foi à precursora da natação feminina brasileira. Em sua autobiografia ela narra um grande marco em sua vida, marco este que jamais seria esquecido e que lançou as mulheres para a prática esportiva:</w:t>
      </w:r>
    </w:p>
    <w:p>
      <w:pPr>
        <w:spacing w:before="3" w:after="0" w:line="240"/>
        <w:ind w:right="114"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agosto de 1932, pela primeira vez, uma mulher sul-americana participou dos Jogos Olímpicos. Foi um marco na História desportiva continental, </w:t>
      </w:r>
      <w:r>
        <w:rPr>
          <w:rFonts w:ascii="Times New Roman" w:hAnsi="Times New Roman" w:cs="Times New Roman" w:eastAsia="Times New Roman"/>
          <w:color w:val="auto"/>
          <w:spacing w:val="2"/>
          <w:position w:val="0"/>
          <w:sz w:val="20"/>
          <w:shd w:fill="auto" w:val="clear"/>
        </w:rPr>
        <w:t xml:space="preserve">cuja </w:t>
      </w:r>
      <w:r>
        <w:rPr>
          <w:rFonts w:ascii="Times New Roman" w:hAnsi="Times New Roman" w:cs="Times New Roman" w:eastAsia="Times New Roman"/>
          <w:color w:val="auto"/>
          <w:spacing w:val="0"/>
          <w:position w:val="0"/>
          <w:sz w:val="20"/>
          <w:shd w:fill="auto" w:val="clear"/>
        </w:rPr>
        <w:t xml:space="preserve">protagonista, quis um generoso destino, fosse eu, então menina-moça e campeã brasileira de natação (LENK, 1982</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p.11).</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4"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apenas 17 anos Maria Lenk tornou-se a primeira sul-americana a competir em uma Olimpíada, o que a tornou também a pioneira da natação feminina  brasileira. “Maria Lenk abriu caminho, ao ser a primeira brasileira a ir a uma Olimpíada, nos jogos de Los Angeles em 1932” (O ESTADO DE SÃO PAULO, 17 abr.</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2007).</w:t>
      </w:r>
    </w:p>
    <w:p>
      <w:pPr>
        <w:spacing w:before="4"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Globo Esporte Online (17 abr. 2007) em matéria intitulada “Lenk, a primeira brasileira em Olimpíadas”, também relata sobre o acontecido:</w:t>
      </w:r>
    </w:p>
    <w:p>
      <w:pPr>
        <w:spacing w:before="3" w:after="0" w:line="240"/>
        <w:ind w:right="117"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Para chegar em Los Angeles em 1932 e deixar seu nome imortalizado na natação brasileira, Maria Lenk precisou vencer alguns obstáculos. Além de superar o preconceito em relação as atletas mulheres na época, teve de pedir emprestado um uniforme para competir e viajar em um navio cedido pelo governo e cheio de café.</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15"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jornal Folha de São Paulo (17 abr. 2007) em matéria intitulada “Maria Lenk, 92, nadadora e pioneira” traz um breve resumo da participação da nadadora em sua primeira Olimpíada:</w:t>
      </w:r>
    </w:p>
    <w:p>
      <w:pPr>
        <w:spacing w:before="5" w:after="0" w:line="240"/>
        <w:ind w:right="0"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...Lenk foi à primeira mulher sul-americana a disputar a Olimpíada, em Los Angeles</w:t>
      </w:r>
    </w:p>
    <w:p>
      <w:pPr>
        <w:spacing w:before="0" w:after="0" w:line="240"/>
        <w:ind w:right="116"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- 32. Com maiô emprestado de lã, competiu nos 100m costas, 200m peito – nesta mesma prova, alcançou as semifinais olímpicas. Ela saiu um mês antes dos jogos, numa viagem de navio da Marinha Mercante até a costa dos EUA. Era a única mulher ao lado dos 66 atletas brasileiros. Na embarcação Lenk treinava num tanque, amarrada por uma corda na cintura.</w:t>
      </w: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jornal Estado de São Paulo (17 abr. 2007) explicita o que a participação  de Maria Lenk representou: “Maria viajou sem os pais, numa época em que a presença feminina em Olimpíadas ainda era interpretada como ameaça aos valores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morais”.</w:t>
      </w:r>
    </w:p>
    <w:p>
      <w:pPr>
        <w:spacing w:before="54"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Olimpíada de Berlim, em 1936, Maria foi acompanhada de mais cinco nadadoras brasileiras. Nesta mesma Olimpíada Lenk trouxe outra inovação para a natação feminina:</w:t>
      </w:r>
    </w:p>
    <w:p>
      <w:pPr>
        <w:spacing w:before="3" w:after="0" w:line="240"/>
        <w:ind w:right="114"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Mas na prova de peito das Olimpíadas de Berlim, em 1936, apresentou uma braçada inovadora por fora da água. Tornou-se, assim, a primeira mulher a nadar o borboleta (VEJA, 25 abr. 2007).</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5"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1939, foi à primeira mulher sul-americana a quebrar dois recordes mundiais nos 200m peito e 400m peito, onde ela superou a marca feminina e também a masculina (LENK, 1982). Isso com veemente contra gosto dos que acreditavam que as desigualdades entre homens e mulheres são pelas suas diferenças biológicas.</w:t>
      </w:r>
    </w:p>
    <w:p>
      <w:pPr>
        <w:spacing w:before="6" w:after="0" w:line="240"/>
        <w:ind w:right="28" w:left="18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aos Jogos de 1940 é relatado que:</w:t>
      </w:r>
    </w:p>
    <w:p>
      <w:pPr>
        <w:spacing w:before="135" w:after="0" w:line="240"/>
        <w:ind w:right="120"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39, bateu os recordes mundiais 200m peito e 400m peito e passou a ter expectativa de medalha nos próximos jogos. Mas sua carreira foi interrompida pela Segunda Guerra Mundial, que impediu a realização dos Jogos Olímpicos de 1940 e 1944 (ESTADO DE SÃO PAULO, 17 abr. 2007).</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fato trouxe grande decepção para a nadadora, pois ela havia se preparado muito para buscar uma medalha Olímpica para o Brasil e para as mulheres brasileiras.</w:t>
      </w:r>
    </w:p>
    <w:p>
      <w:pPr>
        <w:spacing w:before="6" w:after="0" w:line="360"/>
        <w:ind w:right="120"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1943, ela organizou a primeira mostra de balé aquático “que originou, mais tarde, a prática do nado sincronizado no Brasil” (FOLHA DE SÃO PAULO, 17 abr. 2007).</w:t>
      </w:r>
    </w:p>
    <w:p>
      <w:pPr>
        <w:spacing w:before="4" w:after="0" w:line="360"/>
        <w:ind w:right="114"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1988 foi a primeira mulher sul-americana a entrar para o Hall da Fama organizado pela FINA (Federação Internacional de Natação): “Em 1988, tornou-se a única atleta do Brasil a ganhar um lugar no Hall da Fama da natação” (VEJA, 25 abr. 2007).</w:t>
      </w:r>
    </w:p>
    <w:p>
      <w:pPr>
        <w:spacing w:before="7"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Completa ainda o Jornal Folha de São Paulo (17 abr. 2007): “é a única nadadora da América do Sul que consta na seleta lista”.</w:t>
      </w:r>
    </w:p>
    <w:p>
      <w:pPr>
        <w:spacing w:before="4" w:after="0" w:line="360"/>
        <w:ind w:right="121"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em 1988, foi homenageada pela FINA com o “Top Ten”, por ser uma das dez melhores atletas máster (FOLHA DE SÃO PAULO, 17 abr. 2007).</w:t>
      </w:r>
    </w:p>
    <w:p>
      <w:pPr>
        <w:spacing w:before="4" w:after="0" w:line="360"/>
        <w:ind w:right="115"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2000, de acordo com o jornal O Estado de São Paulo (17 abr. 2007): “Recebeu a Ordem Olímpica, honraria concedida aos melhores atletas de todos os tempos  pelo Comitê Olímpico Internacional</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(COI)”.</w:t>
      </w:r>
    </w:p>
    <w:p>
      <w:pPr>
        <w:spacing w:before="6"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2007 as instalações que foram usadas no Pan do Rio, já haviam recebido seu nome: Parque Aquático Maria Lenk (O ESTADO DE SÃO PAULO, 17 abr. 2007).</w:t>
      </w:r>
    </w:p>
    <w:p>
      <w:pPr>
        <w:spacing w:before="6"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Lenk pouco antes de sua morte ainda treinava para competições na categoria máster, “e ainda detinha seis recordes. Nadou 11 mundiais másters e ganhou 54 medalhas” (O ESTADO DE SÃO PAULO, 17 abr. 2007).</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4" w:after="0" w:line="360"/>
        <w:ind w:right="28" w:left="118" w:firstLine="1701"/>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sua morte ainda foi homenageada pela Confederação Brasileira de Desportos Aquáticos:</w:t>
      </w:r>
    </w:p>
    <w:p>
      <w:pPr>
        <w:spacing w:before="5" w:after="0" w:line="240"/>
        <w:ind w:right="115"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homenagem à nadadora Maria Lenk, que faleceu na segunda-feira após passar mal na piscina do flamengo, o presidente da Confederação Brasileira de Desportos Aquáticos (CBDA), Coracy Nunes, anunciou nesta terça-feira que mudará de nome o troféu Brasil de Natação para Troféu Maria Lenk (O DIA ONLINE, 17 abr.</w:t>
      </w:r>
      <w:r>
        <w:rPr>
          <w:rFonts w:ascii="Times New Roman" w:hAnsi="Times New Roman" w:cs="Times New Roman" w:eastAsia="Times New Roman"/>
          <w:color w:val="auto"/>
          <w:spacing w:val="-2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2007).</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20"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de acordo com Coracy Nunes em entrevista cedida para o jornal O Dia online (17 abr. 2007): “E mesmo com problemas de circulação fazia questão de treinar e participar de competições. Era uma pessoa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extraordinária”.</w:t>
      </w:r>
    </w:p>
    <w:p>
      <w:pPr>
        <w:spacing w:before="4" w:after="0" w:line="360"/>
        <w:ind w:right="119"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Lenk foi considerada uma precursora e sua vida como atleta a base para a história do esporte feminino Olímpico brasileiro.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7"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0" w:after="0" w:line="240"/>
        <w:ind w:right="28" w:left="118"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CONCLUSÃO</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241" w:after="0" w:line="360"/>
        <w:ind w:right="113"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evidenciado, a participação das mulheres no esporte tornou-se possível após Maria Lenk ter iniciado publicamente sua carreira esportiva, pois:</w:t>
      </w:r>
    </w:p>
    <w:p>
      <w:pPr>
        <w:spacing w:before="5" w:after="0" w:line="240"/>
        <w:ind w:right="123"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Maria Lenk a 2004, a participação feminina em Olimpíadas deu um salto. Dos 246 atletas que foram aos jogos de Atenas, 122 eram mulheres e 124 homens, um empate técnico. Marca expressiva se comparada a Sydney/2000, eram 94 mulheres dos 204 atletas (O ESTADO DE SÃO PAULO, 17 Abr. 2007).</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5"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disso podemos entender que Maria Lenk contribuiu para a história e construção do esporte feminino brasileiro.</w:t>
      </w:r>
    </w:p>
    <w:p>
      <w:pPr>
        <w:spacing w:before="6"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também pude constatar que apesar da prática esportiva feminina ter tido um crescimento significativo, ela ainda se mostra deficiente ainda hoje, pois as mulheres ainda não são totalmente reconhecidas e valorizadas pelo seu potencial esportivo:</w:t>
      </w:r>
    </w:p>
    <w:p>
      <w:pPr>
        <w:spacing w:before="3" w:after="0" w:line="240"/>
        <w:ind w:right="119"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Embora as diferenças biológicas já tenham sido há muito tempo comprovadas e minimalizadas, o que mostra que somente por preconceito serviam historicamente como obstáculos para a prática do esporte pela mulher, ainda hoje permanecem produzindo e (re) produzindo um discurso de supremacia masculina ( COSTA; SALLES; SILVA , 1998, p.108).</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7"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Observo que a mulher mesmo tendo participação nos esportes competitivos, ainda é inferiorizada por causa de suas características físicas:</w:t>
      </w:r>
    </w:p>
    <w:p>
      <w:pPr>
        <w:spacing w:before="3" w:after="0" w:line="240"/>
        <w:ind w:right="116" w:left="238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mulher atleta passa a ser tratada como um enfeite, um produto de mercado, um belo bibelô, com o propósito de enfeitiçar os olhos eróticos dos homens, atraindo mais público. Da mesma forma que no inicio do século... (COSTA; SALLES; SILVA, 1998, p. 111).</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6"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Contudo, após a morte de Maria, foi possibilitada a sociedade atual uma reflexão sobre o potencial feminino através de sua trajetória esportiva. Maria Lenk  participou</w:t>
      </w:r>
    </w:p>
    <w:p>
      <w:pPr>
        <w:spacing w:before="54" w:after="0" w:line="360"/>
        <w:ind w:right="28"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várias provas, obteve vários recordes, sendo que em alguns deles superou até mesmo a arca masculina e ainda estava em pleno vigor físico com idade acima dos noventa anos.</w:t>
      </w:r>
    </w:p>
    <w:p>
      <w:pPr>
        <w:spacing w:before="6" w:after="0" w:line="360"/>
        <w:ind w:right="110"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Sua vida ao ser visibilizada pela mídia no pós-mortém e nos jogos Pan- americanos ocorridos no Rio de Janeiro em julho de 2007 (o complexo das piscinas foi batizado de Maria Lenk), evidenciou que as mulheres possuem seu potencial e, além disso, confirmou que o conceito de gênero é importante para a prática esportiva feminina, pois nos mostra que as desigualdades entre os gêneros são socialmente construídas.</w:t>
      </w:r>
    </w:p>
    <w:p>
      <w:pPr>
        <w:spacing w:before="4" w:after="0" w:line="360"/>
        <w:ind w:right="115"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deste artigo posso concluir que, a representação social de Maria Lenk sempre esteve ligada a sua figura de esportista, e de mulher, que rompeu várias barreiras preconceituosas para se realizar como esportista, professora, mãe e esposa. Ela conseguiu visibilizar seu potencial, afirmando que a inferioridade da mulher é construída a partir de discursos preconceituosos e tradicionais.</w:t>
      </w:r>
    </w:p>
    <w:p>
      <w:pPr>
        <w:spacing w:before="6" w:after="0" w:line="360"/>
        <w:ind w:right="120" w:left="118" w:firstLine="170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desigualdades entre os gêneros fazem parte da sociedade, mas essas mesmas desigualdades podem ser desconstruídas e reconstruídas em pesquisas e discursos  que enfatizem ausências de equidade social entre os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gêneros.</w:t>
      </w:r>
    </w:p>
    <w:p>
      <w:pPr>
        <w:spacing w:before="56" w:after="0" w:line="240"/>
        <w:ind w:right="0" w:left="118" w:firstLine="0"/>
        <w:jc w:val="both"/>
        <w:rPr>
          <w:rFonts w:ascii="Arial" w:hAnsi="Arial" w:cs="Arial" w:eastAsia="Arial"/>
          <w:b/>
          <w:color w:val="auto"/>
          <w:spacing w:val="0"/>
          <w:position w:val="0"/>
          <w:sz w:val="24"/>
          <w:shd w:fill="auto" w:val="clear"/>
        </w:rPr>
      </w:pPr>
    </w:p>
    <w:p>
      <w:pPr>
        <w:spacing w:before="56" w:after="0" w:line="240"/>
        <w:ind w:right="0" w:left="118" w:firstLine="0"/>
        <w:jc w:val="both"/>
        <w:rPr>
          <w:rFonts w:ascii="Arial" w:hAnsi="Arial" w:cs="Arial" w:eastAsia="Arial"/>
          <w:b/>
          <w:color w:val="auto"/>
          <w:spacing w:val="0"/>
          <w:position w:val="0"/>
          <w:sz w:val="24"/>
          <w:shd w:fill="auto" w:val="clear"/>
        </w:rPr>
      </w:pPr>
    </w:p>
    <w:p>
      <w:pPr>
        <w:spacing w:before="56" w:after="0" w:line="240"/>
        <w:ind w:right="0" w:left="0" w:firstLine="0"/>
        <w:jc w:val="both"/>
        <w:rPr>
          <w:rFonts w:ascii="Arial" w:hAnsi="Arial" w:cs="Arial" w:eastAsia="Arial"/>
          <w:b/>
          <w:color w:val="auto"/>
          <w:spacing w:val="0"/>
          <w:position w:val="0"/>
          <w:sz w:val="24"/>
          <w:shd w:fill="auto" w:val="clear"/>
        </w:rPr>
      </w:pPr>
    </w:p>
    <w:p>
      <w:pPr>
        <w:spacing w:before="56" w:after="0" w:line="240"/>
        <w:ind w:right="0" w:left="118" w:firstLine="0"/>
        <w:jc w:val="both"/>
        <w:rPr>
          <w:rFonts w:ascii="Arial" w:hAnsi="Arial" w:cs="Arial" w:eastAsia="Arial"/>
          <w:b/>
          <w:color w:val="auto"/>
          <w:spacing w:val="0"/>
          <w:position w:val="0"/>
          <w:sz w:val="24"/>
          <w:shd w:fill="auto" w:val="clear"/>
        </w:rPr>
      </w:pPr>
    </w:p>
    <w:p>
      <w:pPr>
        <w:spacing w:before="56" w:after="0" w:line="240"/>
        <w:ind w:right="0" w:left="118"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REFERÊNCIAS BIBLIOGRÁFICAS</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151" w:after="0" w:line="275"/>
        <w:ind w:right="0" w:left="118" w:firstLine="0"/>
        <w:jc w:val="both"/>
        <w:rPr>
          <w:rFonts w:ascii="Arial" w:hAnsi="Arial" w:cs="Arial" w:eastAsia="Arial"/>
          <w:b/>
          <w:color w:val="auto"/>
          <w:spacing w:val="0"/>
          <w:position w:val="0"/>
          <w:sz w:val="24"/>
          <w:shd w:fill="auto" w:val="clear"/>
        </w:rPr>
      </w:pPr>
      <w:r>
        <w:rPr>
          <w:rFonts w:ascii="Arial" w:hAnsi="Arial" w:cs="Arial" w:eastAsia="Arial"/>
          <w:color w:val="auto"/>
          <w:spacing w:val="0"/>
          <w:position w:val="0"/>
          <w:sz w:val="24"/>
          <w:shd w:fill="auto" w:val="clear"/>
        </w:rPr>
        <w:t xml:space="preserve">ARRUDA,  A.   </w:t>
      </w:r>
      <w:r>
        <w:rPr>
          <w:rFonts w:ascii="Arial" w:hAnsi="Arial" w:cs="Arial" w:eastAsia="Arial"/>
          <w:b/>
          <w:color w:val="auto"/>
          <w:spacing w:val="0"/>
          <w:position w:val="0"/>
          <w:sz w:val="24"/>
          <w:shd w:fill="auto" w:val="clear"/>
        </w:rPr>
        <w:t xml:space="preserve">Teorias  das   Representações   Sociais  e  Teorias  de     Gênero.</w:t>
      </w:r>
    </w:p>
    <w:p>
      <w:pPr>
        <w:spacing w:before="0" w:after="0" w:line="276"/>
        <w:ind w:right="0"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Disponível em&lt; </w:t>
      </w:r>
      <w:hyperlink xmlns:r="http://schemas.openxmlformats.org/officeDocument/2006/relationships" r:id="docRId128">
        <w:r>
          <w:rPr>
            <w:rFonts w:ascii="Times New Roman" w:hAnsi="Times New Roman" w:cs="Times New Roman" w:eastAsia="Times New Roman"/>
            <w:color w:val="0000FF"/>
            <w:spacing w:val="0"/>
            <w:position w:val="0"/>
            <w:sz w:val="24"/>
            <w:u w:val="single"/>
            <w:shd w:fill="auto" w:val="clear"/>
          </w:rPr>
          <w:t xml:space="preserve">http://www.scielo.br/pdf/cp/n117/15555.pdf</w:t>
        </w:r>
      </w:hyperlink>
      <w:r>
        <w:rPr>
          <w:rFonts w:ascii="Times New Roman" w:hAnsi="Times New Roman" w:cs="Times New Roman" w:eastAsia="Times New Roman"/>
          <w:color w:val="auto"/>
          <w:spacing w:val="0"/>
          <w:position w:val="0"/>
          <w:sz w:val="24"/>
          <w:shd w:fill="auto" w:val="clear"/>
        </w:rPr>
        <w:t xml:space="preserve">&gt; </w:t>
      </w:r>
      <w:r>
        <w:rPr>
          <w:rFonts w:ascii="Arial" w:hAnsi="Arial" w:cs="Arial" w:eastAsia="Arial"/>
          <w:color w:val="auto"/>
          <w:spacing w:val="0"/>
          <w:position w:val="0"/>
          <w:sz w:val="24"/>
          <w:shd w:fill="auto" w:val="clear"/>
        </w:rPr>
        <w:t xml:space="preserve">Acesso em: 30/11/2007.</w:t>
      </w:r>
    </w:p>
    <w:p>
      <w:pPr>
        <w:spacing w:before="0" w:after="0" w:line="240"/>
        <w:ind w:right="0" w:left="0" w:firstLine="0"/>
        <w:jc w:val="left"/>
        <w:rPr>
          <w:rFonts w:ascii="Arial" w:hAnsi="Arial" w:cs="Arial" w:eastAsia="Arial"/>
          <w:color w:val="auto"/>
          <w:spacing w:val="0"/>
          <w:position w:val="0"/>
          <w:sz w:val="24"/>
          <w:shd w:fill="auto" w:val="clear"/>
        </w:rPr>
      </w:pPr>
    </w:p>
    <w:p>
      <w:pPr>
        <w:spacing w:before="3" w:after="0" w:line="240"/>
        <w:ind w:right="0" w:left="0" w:firstLine="0"/>
        <w:jc w:val="left"/>
        <w:rPr>
          <w:rFonts w:ascii="Arial" w:hAnsi="Arial" w:cs="Arial" w:eastAsia="Arial"/>
          <w:color w:val="auto"/>
          <w:spacing w:val="0"/>
          <w:position w:val="0"/>
          <w:sz w:val="24"/>
          <w:shd w:fill="auto" w:val="clear"/>
        </w:rPr>
      </w:pPr>
    </w:p>
    <w:p>
      <w:pPr>
        <w:spacing w:before="1" w:after="0" w:line="240"/>
        <w:ind w:right="116"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CASTELLANI FILHO, L. </w:t>
      </w:r>
      <w:r>
        <w:rPr>
          <w:rFonts w:ascii="Arial" w:hAnsi="Arial" w:cs="Arial" w:eastAsia="Arial"/>
          <w:b/>
          <w:color w:val="auto"/>
          <w:spacing w:val="0"/>
          <w:position w:val="0"/>
          <w:sz w:val="24"/>
          <w:shd w:fill="auto" w:val="clear"/>
        </w:rPr>
        <w:t xml:space="preserve">Educação Física no Brasil: </w:t>
      </w:r>
      <w:r>
        <w:rPr>
          <w:rFonts w:ascii="Arial" w:hAnsi="Arial" w:cs="Arial" w:eastAsia="Arial"/>
          <w:color w:val="auto"/>
          <w:spacing w:val="0"/>
          <w:position w:val="0"/>
          <w:sz w:val="24"/>
          <w:shd w:fill="auto" w:val="clear"/>
        </w:rPr>
        <w:t xml:space="preserve">a história que não se conta.     2 ed. Campinas, SP: Papirus,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1991.</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7"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CHARTIER, R. A. </w:t>
      </w:r>
      <w:r>
        <w:rPr>
          <w:rFonts w:ascii="Arial" w:hAnsi="Arial" w:cs="Arial" w:eastAsia="Arial"/>
          <w:b/>
          <w:color w:val="auto"/>
          <w:spacing w:val="0"/>
          <w:position w:val="0"/>
          <w:sz w:val="24"/>
          <w:shd w:fill="auto" w:val="clear"/>
        </w:rPr>
        <w:t xml:space="preserve">História cultural</w:t>
      </w:r>
      <w:r>
        <w:rPr>
          <w:rFonts w:ascii="Arial" w:hAnsi="Arial" w:cs="Arial" w:eastAsia="Arial"/>
          <w:color w:val="auto"/>
          <w:spacing w:val="0"/>
          <w:position w:val="0"/>
          <w:sz w:val="24"/>
          <w:shd w:fill="auto" w:val="clear"/>
        </w:rPr>
        <w:t xml:space="preserve">: entre práticas e representações. Trad. Maria Manuela Galhardo. Lisboa: Difel, 1990.</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3"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COSTA, M. M; SALLES, J. G. do C.; SILVA, M.C. de P. </w:t>
      </w:r>
      <w:r>
        <w:rPr>
          <w:rFonts w:ascii="Arial" w:hAnsi="Arial" w:cs="Arial" w:eastAsia="Arial"/>
          <w:b/>
          <w:color w:val="auto"/>
          <w:spacing w:val="0"/>
          <w:position w:val="0"/>
          <w:sz w:val="24"/>
          <w:shd w:fill="auto" w:val="clear"/>
        </w:rPr>
        <w:t xml:space="preserve">Representação Social do Futebol Feminino na Imprensa Brasileira. </w:t>
      </w:r>
      <w:r>
        <w:rPr>
          <w:rFonts w:ascii="Arial" w:hAnsi="Arial" w:cs="Arial" w:eastAsia="Arial"/>
          <w:color w:val="auto"/>
          <w:spacing w:val="0"/>
          <w:position w:val="0"/>
          <w:sz w:val="24"/>
          <w:shd w:fill="auto" w:val="clear"/>
        </w:rPr>
        <w:t xml:space="preserve">In: Representação Social do Esporte e da Atividade Física: Ensaios Etnográficos. Brasília: Ministério da Educação e do Desporto/ INDESP, 1998.</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FOLHA DE SÃO PAULO, São Paulo, p. D1, 17 abr. 2007.</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tabs>
          <w:tab w:val="left" w:pos="1862" w:leader="none"/>
          <w:tab w:val="left" w:pos="3899" w:leader="none"/>
          <w:tab w:val="left" w:pos="5746" w:leader="none"/>
          <w:tab w:val="left" w:pos="7756" w:leader="none"/>
          <w:tab w:val="left" w:pos="9047" w:leader="none"/>
        </w:tabs>
        <w:spacing w:before="0" w:after="0" w:line="240"/>
        <w:ind w:right="114"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GLOBO</w:t>
        <w:tab/>
        <w:t xml:space="preserve">ESPORTE</w:t>
        <w:tab/>
        <w:t xml:space="preserve">ONLINE.</w:t>
        <w:tab/>
        <w:t xml:space="preserve">Disponível</w:t>
        <w:tab/>
        <w:t xml:space="preserve">em:</w:t>
        <w:tab/>
        <w:t xml:space="preserve">&lt; </w:t>
      </w:r>
      <w:hyperlink xmlns:r="http://schemas.openxmlformats.org/officeDocument/2006/relationships" r:id="docRId129">
        <w:r>
          <w:rPr>
            <w:rFonts w:ascii="Times New Roman" w:hAnsi="Times New Roman" w:cs="Times New Roman" w:eastAsia="Times New Roman"/>
            <w:color w:val="0000FF"/>
            <w:spacing w:val="0"/>
            <w:position w:val="0"/>
            <w:sz w:val="24"/>
            <w:u w:val="single"/>
            <w:shd w:fill="auto" w:val="clear"/>
          </w:rPr>
          <w:t xml:space="preserve">http://pan2007.globo.com/PAN/Noticias/0,,MUL22636-3853,00.html</w:t>
        </w:r>
      </w:hyperlink>
      <w:r>
        <w:rPr>
          <w:rFonts w:ascii="Times New Roman" w:hAnsi="Times New Roman" w:cs="Times New Roman" w:eastAsia="Times New Roman"/>
          <w:color w:val="auto"/>
          <w:spacing w:val="0"/>
          <w:position w:val="0"/>
          <w:sz w:val="24"/>
          <w:shd w:fill="auto" w:val="clear"/>
        </w:rPr>
        <w:t xml:space="preserve">&gt; </w:t>
      </w:r>
      <w:r>
        <w:rPr>
          <w:rFonts w:ascii="Arial" w:hAnsi="Arial" w:cs="Arial" w:eastAsia="Arial"/>
          <w:color w:val="auto"/>
          <w:spacing w:val="0"/>
          <w:position w:val="0"/>
          <w:sz w:val="24"/>
          <w:shd w:fill="auto" w:val="clear"/>
        </w:rPr>
        <w:t xml:space="preserve">Acesso em: 17 abr. 2007.</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3"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JODELET, D. </w:t>
      </w:r>
      <w:r>
        <w:rPr>
          <w:rFonts w:ascii="Arial" w:hAnsi="Arial" w:cs="Arial" w:eastAsia="Arial"/>
          <w:b/>
          <w:color w:val="auto"/>
          <w:spacing w:val="0"/>
          <w:position w:val="0"/>
          <w:sz w:val="24"/>
          <w:shd w:fill="auto" w:val="clear"/>
        </w:rPr>
        <w:t xml:space="preserve">Representações sociais: domínio em expansão. </w:t>
      </w:r>
      <w:r>
        <w:rPr>
          <w:rFonts w:ascii="Arial" w:hAnsi="Arial" w:cs="Arial" w:eastAsia="Arial"/>
          <w:color w:val="auto"/>
          <w:spacing w:val="0"/>
          <w:position w:val="0"/>
          <w:sz w:val="24"/>
          <w:shd w:fill="auto" w:val="clear"/>
        </w:rPr>
        <w:t xml:space="preserve">In: JODELET, D. (org) As representações sociais./ Trad. Lílian Ulup. Rio de Janeiro: EduERJ, 2001.</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8"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KLAFS, C. E; LYON, M. J. </w:t>
      </w:r>
      <w:r>
        <w:rPr>
          <w:rFonts w:ascii="Arial" w:hAnsi="Arial" w:cs="Arial" w:eastAsia="Arial"/>
          <w:b/>
          <w:color w:val="auto"/>
          <w:spacing w:val="0"/>
          <w:position w:val="0"/>
          <w:sz w:val="24"/>
          <w:shd w:fill="auto" w:val="clear"/>
        </w:rPr>
        <w:t xml:space="preserve">A mulher atleta</w:t>
      </w:r>
      <w:r>
        <w:rPr>
          <w:rFonts w:ascii="Arial" w:hAnsi="Arial" w:cs="Arial" w:eastAsia="Arial"/>
          <w:color w:val="auto"/>
          <w:spacing w:val="0"/>
          <w:position w:val="0"/>
          <w:sz w:val="24"/>
          <w:shd w:fill="auto" w:val="clear"/>
        </w:rPr>
        <w:t xml:space="preserve">: Guia de condicionamento e treinamento físico. 2 ed. Rio de Janeiro: Interamericana, 1981.</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LENK, M. </w:t>
      </w:r>
      <w:r>
        <w:rPr>
          <w:rFonts w:ascii="Arial" w:hAnsi="Arial" w:cs="Arial" w:eastAsia="Arial"/>
          <w:b/>
          <w:color w:val="auto"/>
          <w:spacing w:val="0"/>
          <w:position w:val="0"/>
          <w:sz w:val="24"/>
          <w:shd w:fill="auto" w:val="clear"/>
        </w:rPr>
        <w:t xml:space="preserve">Natação</w:t>
      </w:r>
      <w:r>
        <w:rPr>
          <w:rFonts w:ascii="Arial" w:hAnsi="Arial" w:cs="Arial" w:eastAsia="Arial"/>
          <w:color w:val="auto"/>
          <w:spacing w:val="0"/>
          <w:position w:val="0"/>
          <w:sz w:val="24"/>
          <w:shd w:fill="auto" w:val="clear"/>
        </w:rPr>
        <w:t xml:space="preserve">. Rio de Janeiro: Melhoramentos, 1942.</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720"/>
        <w:ind w:right="112"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LENK, M. </w:t>
      </w:r>
      <w:r>
        <w:rPr>
          <w:rFonts w:ascii="Arial" w:hAnsi="Arial" w:cs="Arial" w:eastAsia="Arial"/>
          <w:b/>
          <w:color w:val="auto"/>
          <w:spacing w:val="0"/>
          <w:position w:val="0"/>
          <w:sz w:val="24"/>
          <w:shd w:fill="auto" w:val="clear"/>
        </w:rPr>
        <w:t xml:space="preserve">Braçadas e abraços</w:t>
      </w:r>
      <w:r>
        <w:rPr>
          <w:rFonts w:ascii="Arial" w:hAnsi="Arial" w:cs="Arial" w:eastAsia="Arial"/>
          <w:color w:val="auto"/>
          <w:spacing w:val="0"/>
          <w:position w:val="0"/>
          <w:sz w:val="24"/>
          <w:shd w:fill="auto" w:val="clear"/>
        </w:rPr>
        <w:t xml:space="preserve">. Rio de Janeiro: Grupo Atlântica-Boa Vista, 1982. LAKATOS, E. V. </w:t>
      </w:r>
      <w:r>
        <w:rPr>
          <w:rFonts w:ascii="Arial" w:hAnsi="Arial" w:cs="Arial" w:eastAsia="Arial"/>
          <w:b/>
          <w:color w:val="auto"/>
          <w:spacing w:val="0"/>
          <w:position w:val="0"/>
          <w:sz w:val="24"/>
          <w:shd w:fill="auto" w:val="clear"/>
        </w:rPr>
        <w:t xml:space="preserve">Fundamentos de metodologia científica</w:t>
      </w:r>
      <w:r>
        <w:rPr>
          <w:rFonts w:ascii="Arial" w:hAnsi="Arial" w:cs="Arial" w:eastAsia="Arial"/>
          <w:color w:val="auto"/>
          <w:spacing w:val="0"/>
          <w:position w:val="0"/>
          <w:sz w:val="24"/>
          <w:shd w:fill="auto" w:val="clear"/>
        </w:rPr>
        <w:t xml:space="preserve">. São Paulo: Atlas, 1991.</w:t>
      </w:r>
    </w:p>
    <w:p>
      <w:pPr>
        <w:spacing w:before="16" w:after="0" w:line="240"/>
        <w:ind w:right="112"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LOURO, L. </w:t>
      </w:r>
      <w:r>
        <w:rPr>
          <w:rFonts w:ascii="Arial" w:hAnsi="Arial" w:cs="Arial" w:eastAsia="Arial"/>
          <w:b/>
          <w:color w:val="auto"/>
          <w:spacing w:val="0"/>
          <w:position w:val="0"/>
          <w:sz w:val="24"/>
          <w:shd w:fill="auto" w:val="clear"/>
        </w:rPr>
        <w:t xml:space="preserve">Gênero, sexualidade e educação: </w:t>
      </w:r>
      <w:r>
        <w:rPr>
          <w:rFonts w:ascii="Arial" w:hAnsi="Arial" w:cs="Arial" w:eastAsia="Arial"/>
          <w:color w:val="auto"/>
          <w:spacing w:val="0"/>
          <w:position w:val="0"/>
          <w:sz w:val="24"/>
          <w:shd w:fill="auto" w:val="clear"/>
        </w:rPr>
        <w:t xml:space="preserve">Uma perspectiva pós-estruturalista.  3 ed. Petrópolis, RJ: Vozes,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1999.</w:t>
      </w:r>
    </w:p>
    <w:p>
      <w:pPr>
        <w:spacing w:before="56" w:after="0" w:line="240"/>
        <w:ind w:right="114"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LÜDKE, M; ANDRÉ, M. E. D. A. </w:t>
      </w:r>
      <w:r>
        <w:rPr>
          <w:rFonts w:ascii="Arial" w:hAnsi="Arial" w:cs="Arial" w:eastAsia="Arial"/>
          <w:b/>
          <w:color w:val="auto"/>
          <w:spacing w:val="0"/>
          <w:position w:val="0"/>
          <w:sz w:val="24"/>
          <w:shd w:fill="auto" w:val="clear"/>
        </w:rPr>
        <w:t xml:space="preserve">Pesquisa em Educação: </w:t>
      </w:r>
      <w:r>
        <w:rPr>
          <w:rFonts w:ascii="Arial" w:hAnsi="Arial" w:cs="Arial" w:eastAsia="Arial"/>
          <w:color w:val="auto"/>
          <w:spacing w:val="0"/>
          <w:position w:val="0"/>
          <w:sz w:val="24"/>
          <w:shd w:fill="auto" w:val="clear"/>
        </w:rPr>
        <w:t xml:space="preserve">Abordagens qualitativas. São Paulo: Pedagógica e Universitária LTDA, 1986.</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5"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MARCONI, M. A; LAKATOS, E. M. </w:t>
      </w:r>
      <w:r>
        <w:rPr>
          <w:rFonts w:ascii="Arial" w:hAnsi="Arial" w:cs="Arial" w:eastAsia="Arial"/>
          <w:b/>
          <w:color w:val="auto"/>
          <w:spacing w:val="0"/>
          <w:position w:val="0"/>
          <w:sz w:val="24"/>
          <w:shd w:fill="auto" w:val="clear"/>
        </w:rPr>
        <w:t xml:space="preserve">Metodologia científica</w:t>
      </w:r>
      <w:r>
        <w:rPr>
          <w:rFonts w:ascii="Arial" w:hAnsi="Arial" w:cs="Arial" w:eastAsia="Arial"/>
          <w:color w:val="auto"/>
          <w:spacing w:val="0"/>
          <w:position w:val="0"/>
          <w:sz w:val="24"/>
          <w:shd w:fill="auto" w:val="clear"/>
        </w:rPr>
        <w:t xml:space="preserve">. 4 ed. São Paulo: Atlas, 2004. 296 p.</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4"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MARCONI, M. A; LAKATOS, E. M. </w:t>
      </w:r>
      <w:r>
        <w:rPr>
          <w:rFonts w:ascii="Arial" w:hAnsi="Arial" w:cs="Arial" w:eastAsia="Arial"/>
          <w:b/>
          <w:color w:val="auto"/>
          <w:spacing w:val="0"/>
          <w:position w:val="0"/>
          <w:sz w:val="24"/>
          <w:shd w:fill="auto" w:val="clear"/>
        </w:rPr>
        <w:t xml:space="preserve">Metodologia do trabalho científico</w:t>
      </w:r>
      <w:r>
        <w:rPr>
          <w:rFonts w:ascii="Arial" w:hAnsi="Arial" w:cs="Arial" w:eastAsia="Arial"/>
          <w:color w:val="auto"/>
          <w:spacing w:val="0"/>
          <w:position w:val="0"/>
          <w:sz w:val="24"/>
          <w:shd w:fill="auto" w:val="clear"/>
        </w:rPr>
        <w:t xml:space="preserve">. 6 ed. São Paulo: Atlas, 2001. 219 p.</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7"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MELO, V. A. </w:t>
      </w:r>
      <w:r>
        <w:rPr>
          <w:rFonts w:ascii="Arial" w:hAnsi="Arial" w:cs="Arial" w:eastAsia="Arial"/>
          <w:b/>
          <w:color w:val="auto"/>
          <w:spacing w:val="0"/>
          <w:position w:val="0"/>
          <w:sz w:val="24"/>
          <w:shd w:fill="auto" w:val="clear"/>
        </w:rPr>
        <w:t xml:space="preserve">Representações sobre o turfe na sociedade carioca do século XIX. </w:t>
      </w:r>
      <w:r>
        <w:rPr>
          <w:rFonts w:ascii="Arial" w:hAnsi="Arial" w:cs="Arial" w:eastAsia="Arial"/>
          <w:color w:val="auto"/>
          <w:spacing w:val="0"/>
          <w:position w:val="0"/>
          <w:sz w:val="24"/>
          <w:shd w:fill="auto" w:val="clear"/>
        </w:rPr>
        <w:t xml:space="preserve">In: Representação Social do Esporte e da Atividade Física: Ensaios Etnográficos. Brasília: Ministério da Educação e do Desporto/ INDESP, 1998.</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2"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MOSCOVICI, S. </w:t>
      </w:r>
      <w:r>
        <w:rPr>
          <w:rFonts w:ascii="Arial" w:hAnsi="Arial" w:cs="Arial" w:eastAsia="Arial"/>
          <w:b/>
          <w:color w:val="auto"/>
          <w:spacing w:val="0"/>
          <w:position w:val="0"/>
          <w:sz w:val="24"/>
          <w:shd w:fill="auto" w:val="clear"/>
        </w:rPr>
        <w:t xml:space="preserve">Das representações coletivas as representações sociais: </w:t>
      </w:r>
      <w:r>
        <w:rPr>
          <w:rFonts w:ascii="Arial" w:hAnsi="Arial" w:cs="Arial" w:eastAsia="Arial"/>
          <w:color w:val="auto"/>
          <w:spacing w:val="0"/>
          <w:position w:val="0"/>
          <w:sz w:val="24"/>
          <w:shd w:fill="auto" w:val="clear"/>
        </w:rPr>
        <w:t xml:space="preserve">elementos para uma história. In: JODELET, D. (org) As representações sociais./ Trad. Lílian Ulup. Rio de Janeiro: EdueRJ, 2001.</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2"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MURARO, R. M. </w:t>
      </w:r>
      <w:r>
        <w:rPr>
          <w:rFonts w:ascii="Arial" w:hAnsi="Arial" w:cs="Arial" w:eastAsia="Arial"/>
          <w:b/>
          <w:color w:val="auto"/>
          <w:spacing w:val="0"/>
          <w:position w:val="0"/>
          <w:sz w:val="24"/>
          <w:shd w:fill="auto" w:val="clear"/>
        </w:rPr>
        <w:t xml:space="preserve">Introdução histórica</w:t>
      </w:r>
      <w:r>
        <w:rPr>
          <w:rFonts w:ascii="Arial" w:hAnsi="Arial" w:cs="Arial" w:eastAsia="Arial"/>
          <w:color w:val="auto"/>
          <w:spacing w:val="0"/>
          <w:position w:val="0"/>
          <w:sz w:val="24"/>
          <w:shd w:fill="auto" w:val="clear"/>
        </w:rPr>
        <w:t xml:space="preserve">. In: O Martelo das Feiticeiras: Malleus Maleficarum. 16 ed. Rio de Janeiro: Rosa dos Tempos, 2002.</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75"/>
        <w:ind w:right="0"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DIA        ONLINE,        Rio        de        Janeiro,        Disponível        em:         &lt;</w:t>
      </w:r>
    </w:p>
    <w:p>
      <w:pPr>
        <w:spacing w:before="0" w:after="0" w:line="720"/>
        <w:ind w:right="1725" w:left="118" w:firstLine="0"/>
        <w:jc w:val="left"/>
        <w:rPr>
          <w:rFonts w:ascii="Arial" w:hAnsi="Arial" w:cs="Arial" w:eastAsia="Arial"/>
          <w:color w:val="auto"/>
          <w:spacing w:val="0"/>
          <w:position w:val="0"/>
          <w:sz w:val="24"/>
          <w:shd w:fill="auto" w:val="clear"/>
        </w:rPr>
      </w:pPr>
      <w:hyperlink xmlns:r="http://schemas.openxmlformats.org/officeDocument/2006/relationships" r:id="docRId130">
        <w:r>
          <w:rPr>
            <w:rFonts w:ascii="Times New Roman" w:hAnsi="Times New Roman" w:cs="Times New Roman" w:eastAsia="Times New Roman"/>
            <w:color w:val="0000FF"/>
            <w:spacing w:val="0"/>
            <w:position w:val="0"/>
            <w:sz w:val="24"/>
            <w:u w:val="single"/>
            <w:shd w:fill="auto" w:val="clear"/>
          </w:rPr>
          <w:t xml:space="preserve">http://odia.terra.com.br/home/pagina_geral.asp</w:t>
        </w:r>
      </w:hyperlink>
      <w:r>
        <w:rPr>
          <w:rFonts w:ascii="Arial" w:hAnsi="Arial" w:cs="Arial" w:eastAsia="Arial"/>
          <w:color w:val="auto"/>
          <w:spacing w:val="0"/>
          <w:position w:val="0"/>
          <w:sz w:val="24"/>
          <w:shd w:fill="auto" w:val="clear"/>
        </w:rPr>
        <w:t xml:space="preserve">&gt; Acesso em: 17 abr. 2007. O ESTADO DE SÃO PAULO, São Paulo, p. E3, 17 de abr. 2007.</w:t>
      </w:r>
    </w:p>
    <w:p>
      <w:pPr>
        <w:spacing w:before="16" w:after="0" w:line="240"/>
        <w:ind w:right="112"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RIBEIRO, A. I. M. Mulheres educadas na Colônia. In: </w:t>
      </w:r>
      <w:r>
        <w:rPr>
          <w:rFonts w:ascii="Arial" w:hAnsi="Arial" w:cs="Arial" w:eastAsia="Arial"/>
          <w:b/>
          <w:color w:val="auto"/>
          <w:spacing w:val="0"/>
          <w:position w:val="0"/>
          <w:sz w:val="24"/>
          <w:shd w:fill="auto" w:val="clear"/>
        </w:rPr>
        <w:t xml:space="preserve">500 anos de Educação no Brasil. </w:t>
      </w:r>
      <w:r>
        <w:rPr>
          <w:rFonts w:ascii="Arial" w:hAnsi="Arial" w:cs="Arial" w:eastAsia="Arial"/>
          <w:color w:val="auto"/>
          <w:spacing w:val="0"/>
          <w:position w:val="0"/>
          <w:sz w:val="24"/>
          <w:shd w:fill="auto" w:val="clear"/>
        </w:rPr>
        <w:t xml:space="preserve">2 ed. Belo Horizonte: Autêntica, 2000. p 79- 94.</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2"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RIBEIRO, A. I. M. </w:t>
      </w:r>
      <w:r>
        <w:rPr>
          <w:rFonts w:ascii="Arial" w:hAnsi="Arial" w:cs="Arial" w:eastAsia="Arial"/>
          <w:b/>
          <w:color w:val="auto"/>
          <w:spacing w:val="0"/>
          <w:position w:val="0"/>
          <w:sz w:val="24"/>
          <w:shd w:fill="auto" w:val="clear"/>
        </w:rPr>
        <w:t xml:space="preserve">A educação feminina durante o século XIX: </w:t>
      </w:r>
      <w:r>
        <w:rPr>
          <w:rFonts w:ascii="Arial" w:hAnsi="Arial" w:cs="Arial" w:eastAsia="Arial"/>
          <w:color w:val="auto"/>
          <w:spacing w:val="0"/>
          <w:position w:val="0"/>
          <w:sz w:val="24"/>
          <w:shd w:fill="auto" w:val="clear"/>
        </w:rPr>
        <w:t xml:space="preserve">O colégio Florence de Campinas 1863-1889. 1 ed. Campinas: Centro de memória – UNICAMP, 1996</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2"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SCOTT, J. W. Prefacio a Gender and Politics of History. In: </w:t>
      </w:r>
      <w:r>
        <w:rPr>
          <w:rFonts w:ascii="Arial" w:hAnsi="Arial" w:cs="Arial" w:eastAsia="Arial"/>
          <w:b/>
          <w:color w:val="auto"/>
          <w:spacing w:val="0"/>
          <w:position w:val="0"/>
          <w:sz w:val="24"/>
          <w:shd w:fill="auto" w:val="clear"/>
        </w:rPr>
        <w:t xml:space="preserve">Cadernos Pagú. </w:t>
      </w:r>
      <w:r>
        <w:rPr>
          <w:rFonts w:ascii="Arial" w:hAnsi="Arial" w:cs="Arial" w:eastAsia="Arial"/>
          <w:color w:val="auto"/>
          <w:spacing w:val="0"/>
          <w:position w:val="0"/>
          <w:sz w:val="24"/>
          <w:shd w:fill="auto" w:val="clear"/>
        </w:rPr>
        <w:t xml:space="preserve">3 ed. Campinas, 1994. p 11- 27.</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113" w:left="118"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THOMAS, J. R; NELSON, J.K. </w:t>
      </w:r>
      <w:r>
        <w:rPr>
          <w:rFonts w:ascii="Arial" w:hAnsi="Arial" w:cs="Arial" w:eastAsia="Arial"/>
          <w:b/>
          <w:color w:val="auto"/>
          <w:spacing w:val="0"/>
          <w:position w:val="0"/>
          <w:sz w:val="24"/>
          <w:shd w:fill="auto" w:val="clear"/>
        </w:rPr>
        <w:t xml:space="preserve">Métodos de pesquisa em atividade física</w:t>
      </w:r>
      <w:r>
        <w:rPr>
          <w:rFonts w:ascii="Arial" w:hAnsi="Arial" w:cs="Arial" w:eastAsia="Arial"/>
          <w:color w:val="auto"/>
          <w:spacing w:val="0"/>
          <w:position w:val="0"/>
          <w:sz w:val="24"/>
          <w:shd w:fill="auto" w:val="clear"/>
        </w:rPr>
        <w:t xml:space="preserve">. 3 ed. Porto Alegre: Artmed, 2002. 419 p.</w:t>
      </w:r>
    </w:p>
    <w:p>
      <w:pPr>
        <w:spacing w:before="56" w:after="0" w:line="240"/>
        <w:ind w:right="28" w:left="118"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TRUJILLO FERRARI, A. </w:t>
      </w:r>
      <w:r>
        <w:rPr>
          <w:rFonts w:ascii="Arial" w:hAnsi="Arial" w:cs="Arial" w:eastAsia="Arial"/>
          <w:b/>
          <w:color w:val="auto"/>
          <w:spacing w:val="0"/>
          <w:position w:val="0"/>
          <w:sz w:val="24"/>
          <w:shd w:fill="auto" w:val="clear"/>
        </w:rPr>
        <w:t xml:space="preserve">Metodologia da pesquisa científica. </w:t>
      </w:r>
      <w:r>
        <w:rPr>
          <w:rFonts w:ascii="Arial" w:hAnsi="Arial" w:cs="Arial" w:eastAsia="Arial"/>
          <w:color w:val="auto"/>
          <w:spacing w:val="0"/>
          <w:position w:val="0"/>
          <w:sz w:val="24"/>
          <w:shd w:fill="auto" w:val="clear"/>
        </w:rPr>
        <w:t xml:space="preserve">São Paulo. McGraw- Hill do Brasil, 1982.</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120" w:line="240"/>
        <w:ind w:right="28" w:left="118"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VEJA. São Paulo: Abril Cultural, n. 16, 25 abr. 2007.</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Sobre o Fim do Foro Privilegiado da Mulher para as Ações de Divórcio e de Anulação do Casamento: inconstitucionalidade à vista no Novo Código de Processo Civil?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(About the End of the Privileged Territorial Competence of Woman to Action of Divorce and Annulment of Marriage: unconstitutionality in the New Code of Civil Procedure?)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Rafael José Nadim de LAZARI</w:t>
      </w:r>
      <w:r>
        <w:rPr>
          <w:rFonts w:ascii="Times New Roman" w:hAnsi="Times New Roman" w:cs="Times New Roman" w:eastAsia="Times New Roman"/>
          <w:color w:val="auto"/>
          <w:spacing w:val="0"/>
          <w:position w:val="0"/>
          <w:sz w:val="24"/>
          <w:shd w:fill="auto" w:val="clear"/>
          <w:vertAlign w:val="superscript"/>
        </w:rPr>
        <w:t xml:space="preserve">I</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Gelson Amaro de SOUZA</w:t>
      </w:r>
      <w:r>
        <w:rPr>
          <w:rFonts w:ascii="Times New Roman" w:hAnsi="Times New Roman" w:cs="Times New Roman" w:eastAsia="Times New Roman"/>
          <w:color w:val="auto"/>
          <w:spacing w:val="0"/>
          <w:position w:val="0"/>
          <w:sz w:val="24"/>
          <w:shd w:fill="auto" w:val="clear"/>
          <w:vertAlign w:val="superscript"/>
        </w:rPr>
        <w:t xml:space="preserve">II</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 </w:t>
      </w:r>
      <w:r>
        <w:rPr>
          <w:rFonts w:ascii="Times New Roman" w:hAnsi="Times New Roman" w:cs="Times New Roman" w:eastAsia="Times New Roman"/>
          <w:color w:val="auto"/>
          <w:spacing w:val="0"/>
          <w:position w:val="0"/>
          <w:sz w:val="24"/>
          <w:shd w:fill="auto" w:val="clear"/>
        </w:rPr>
        <w:t xml:space="preserve">Através dos métodos lógico, dedutivo, comparativo e histórico, o presente trabalho tenciona debater acerca da evolução (ou involução) do foro privilegiado da mulher para as ações de divórcio e de anulação do casamento. Neste processo, impossível será contornar a regulamentação da epigrafada regra de competência nos Códigos de Processo pátrios de 1939 e 1973, até a culminação de um Novo CPC, ainda em discussão para aprovação, que a abole. Ato contínuo, será realizada análise da constitucionalidade do instituto à luz axiomática da igualdade substancial entre homem e mulher e, por fim, será emitida opinião conglobada com proposta de solução ao problema.</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Abstract: </w:t>
      </w:r>
      <w:r>
        <w:rPr>
          <w:rFonts w:ascii="Times New Roman" w:hAnsi="Times New Roman" w:cs="Times New Roman" w:eastAsia="Times New Roman"/>
          <w:color w:val="auto"/>
          <w:spacing w:val="0"/>
          <w:position w:val="0"/>
          <w:sz w:val="24"/>
          <w:shd w:fill="auto" w:val="clear"/>
        </w:rPr>
        <w:t xml:space="preserve">Through methods logical, deductive, comparative and historical, this text intends to discuss the evolution (or involution) of the privileged territorial competence of woman to actions of divorce and annulment of marriage. In this process, will be impossible circumvent the regulations of this rule in the Procedure Codes of 1939 and 1973, until the culmination of a New CPC, still under discussion for approval, which abolishes this rule. Immediately thereafter, will be realized an analysis of the constitutionality of the institute in the light of axiomatic substantial equality between man and woman and, finally, will be given an opinion with proposed solution to the problem.</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 </w:t>
      </w:r>
      <w:r>
        <w:rPr>
          <w:rFonts w:ascii="Times New Roman" w:hAnsi="Times New Roman" w:cs="Times New Roman" w:eastAsia="Times New Roman"/>
          <w:color w:val="auto"/>
          <w:spacing w:val="0"/>
          <w:position w:val="0"/>
          <w:sz w:val="24"/>
          <w:shd w:fill="auto" w:val="clear"/>
        </w:rPr>
        <w:t xml:space="preserve">Foro privilegiado da mulher. Divórcio e anulação de casamento. Novo Código de Processo Civil. Igualdade de gênero. </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Key-words: </w:t>
      </w:r>
      <w:r>
        <w:rPr>
          <w:rFonts w:ascii="Times New Roman" w:hAnsi="Times New Roman" w:cs="Times New Roman" w:eastAsia="Times New Roman"/>
          <w:color w:val="auto"/>
          <w:spacing w:val="0"/>
          <w:position w:val="0"/>
          <w:sz w:val="24"/>
          <w:shd w:fill="auto" w:val="clear"/>
        </w:rPr>
        <w:t xml:space="preserve">Privileged territorial competence of woman. Divorce and annulment of marriage. New Code of Civil Procedure. Gender equality.</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Sumário: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Linhas prolegominais; 2. Aspectos formais do foro privilegiado da mulher para as ações de divórcio e anulação do casamento; 3. Sobre a constitucionalidade deste foro e sobre a validade do novo regramento no Código de Processo Civil em elaboração; 4. Linhas derradeiras: proposta em prol de um entendimento; 5. Referências bibliográficas.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Summary: </w:t>
      </w:r>
      <w:r>
        <w:rPr>
          <w:rFonts w:ascii="Times New Roman" w:hAnsi="Times New Roman" w:cs="Times New Roman" w:eastAsia="Times New Roman"/>
          <w:color w:val="auto"/>
          <w:spacing w:val="0"/>
          <w:position w:val="0"/>
          <w:sz w:val="24"/>
          <w:shd w:fill="auto" w:val="clear"/>
        </w:rPr>
        <w:t xml:space="preserve">1. First lines; 2. Formal aspects of the privileged territorial competence of woman to actions of divorce and annulment of marriage; 3. About the constitutionality this territorial competence and about the validity of the new rule of Code Civil Procedure in preparation; 4. Last lines: proposal by understanding; 5. Bibliography references.</w:t>
      </w: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Linhas prolegominais</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Discutir competência, em suas múltiplas parcelas e limites jurisdicionais, e seja qual for o ramo do Direito, é, sobretudo, tentar enfrentar com honestidade a complexidade do tema. São regras cheias de exceções, e o que é relativo pode tornar-se absoluto num “passe de mágica”, a depender de nuanças quase imperceptíveis a um olhar desatento. Ademais, </w:t>
      </w:r>
      <w:r>
        <w:rPr>
          <w:rFonts w:ascii="Times New Roman" w:hAnsi="Times New Roman" w:cs="Times New Roman" w:eastAsia="Times New Roman"/>
          <w:i/>
          <w:color w:val="auto"/>
          <w:spacing w:val="0"/>
          <w:position w:val="0"/>
          <w:sz w:val="24"/>
          <w:shd w:fill="auto" w:val="clear"/>
        </w:rPr>
        <w:t xml:space="preserve">in casu</w:t>
      </w:r>
      <w:r>
        <w:rPr>
          <w:rFonts w:ascii="Times New Roman" w:hAnsi="Times New Roman" w:cs="Times New Roman" w:eastAsia="Times New Roman"/>
          <w:color w:val="auto"/>
          <w:spacing w:val="0"/>
          <w:position w:val="0"/>
          <w:sz w:val="24"/>
          <w:shd w:fill="auto" w:val="clear"/>
        </w:rPr>
        <w:t xml:space="preserve">, se o leitor procura um texto, ávido por solucionar dúvidas pontuais daquela que é o conteúdo organizacional das atividades do Estado-juiz, deve saber, antes, que o autor também já foi ignorante no assunto, mas que agora tenta compartilhar do pouco que aprendeu em sua pesquisa. São desses pequenos passos de ousadia que o conhecimento irradia.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 mais circunlóquios, este artigo trata de futuro e, pasme, de “pós-futuro”. Trata de futuro porque se recusa a falar da “ação de separação” e da “conversão desta em divórcio” (art. 100, I, CPC), já que se amolda à Emenda Constitucional nº 66/2010, que alterou o art. 226, §6º, CF, e que estabeleceu o que usualmente se está chamando de “divórcio direto”. Trata também de “pós-futuro”, pois vai discutir regra presente em codificação que sequer em vigor está, a saber, o “Novo” Código de Processo Civil (que, por sinal, também já se equivoca ao repetir a “ação de separação” e sua “conversão em divórcio”).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convém a indagação preliminar: então porque discutir sobre algo que ainda não está vigorante? Um pessimista chamaria isso de conduta apressada. Um otimista, como é o caso deste autor, diria que é o momento mais adequado para se discutir o problema. Até porque o “Novo” CPC (ou Código de “Fux”, para distingui-lo do atual Código de “Buzaid”) ainda está em pauta de discussões, após a entrega do Anteprojeto pela Comissão de Juristas nomeada (Ato do Presidente do Senado Federal nº 379/09) para elaborá-lo, o que originou o PLS nº 166/10. Portanto, se há alguma consideração imperiosa a ser feita, o momento mais oportuno para alterar a lei é agora, enquanto ela ainda não adentrou o ordenamento jurídico e nem em “</w:t>
      </w:r>
      <w:r>
        <w:rPr>
          <w:rFonts w:ascii="Times New Roman" w:hAnsi="Times New Roman" w:cs="Times New Roman" w:eastAsia="Times New Roman"/>
          <w:i/>
          <w:color w:val="auto"/>
          <w:spacing w:val="0"/>
          <w:position w:val="0"/>
          <w:sz w:val="24"/>
          <w:shd w:fill="auto" w:val="clear"/>
        </w:rPr>
        <w:t xml:space="preserve">vacatio legis</w:t>
      </w:r>
      <w:r>
        <w:rPr>
          <w:rFonts w:ascii="Times New Roman" w:hAnsi="Times New Roman" w:cs="Times New Roman" w:eastAsia="Times New Roman"/>
          <w:color w:val="auto"/>
          <w:spacing w:val="0"/>
          <w:position w:val="0"/>
          <w:sz w:val="24"/>
          <w:shd w:fill="auto" w:val="clear"/>
        </w:rPr>
        <w:t xml:space="preserve">” se encontra (é o momento para se adequar o “Novo” CPC ao divórcio direto, </w:t>
      </w:r>
      <w:r>
        <w:rPr>
          <w:rFonts w:ascii="Times New Roman" w:hAnsi="Times New Roman" w:cs="Times New Roman" w:eastAsia="Times New Roman"/>
          <w:i/>
          <w:color w:val="auto"/>
          <w:spacing w:val="0"/>
          <w:position w:val="0"/>
          <w:sz w:val="24"/>
          <w:shd w:fill="auto" w:val="clear"/>
        </w:rPr>
        <w:t xml:space="preserve">p. ex.</w:t>
      </w:r>
      <w:r>
        <w:rPr>
          <w:rFonts w:ascii="Times New Roman" w:hAnsi="Times New Roman" w:cs="Times New Roman" w:eastAsia="Times New Roman"/>
          <w:color w:val="auto"/>
          <w:spacing w:val="0"/>
          <w:position w:val="0"/>
          <w:sz w:val="24"/>
          <w:shd w:fill="auto" w:val="clear"/>
        </w:rPr>
        <w:t xml:space="preserv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que está em debate é a regra de competência relativa territorial – prorrogável, portanto – pela qual é garantido à mulher o foro privilegiado de sua residência (e não de seu domicílio) nas ações de divórcio e de anulação de casamento (art. 100, I, CPC), num benefício procedimental análogo ao aplicado no subsequente inciso II, do art. 100, CPC (e que é mantido intocado no “Novo” CPC, no art. 38, II) para o alimentando nas ações em que se pedem alimentos.</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Sempre se disse que tais dispositivos foram inseridos pelo legislador com fito de proteger dois dos atores historicamente mais fracos (a eterna busca pela igualdade substancial) e juridicamente vulneráveis na demanda, quais sejam, a mulher (inciso I) e o alimentando (inciso II). Por critério de afunilamento do tema, só se trabalhará com o primeiro caso, até por ser, naturalmente, o mais polêmico.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é polêmico porque o CPC em vigor é de 1973, o art. 100, I, tem redação determinada pela Lei nº 6.515, de 1977, e, com a promulgação da Constituição Federal pós-ditatorial, em 1988, dispôs-se no art. 5º, </w:t>
      </w:r>
      <w:r>
        <w:rPr>
          <w:rFonts w:ascii="Times New Roman" w:hAnsi="Times New Roman" w:cs="Times New Roman" w:eastAsia="Times New Roman"/>
          <w:i/>
          <w:color w:val="auto"/>
          <w:spacing w:val="0"/>
          <w:position w:val="0"/>
          <w:sz w:val="24"/>
          <w:shd w:fill="auto" w:val="clear"/>
        </w:rPr>
        <w:t xml:space="preserve">caput</w:t>
      </w:r>
      <w:r>
        <w:rPr>
          <w:rFonts w:ascii="Times New Roman" w:hAnsi="Times New Roman" w:cs="Times New Roman" w:eastAsia="Times New Roman"/>
          <w:color w:val="auto"/>
          <w:spacing w:val="0"/>
          <w:position w:val="0"/>
          <w:sz w:val="24"/>
          <w:shd w:fill="auto" w:val="clear"/>
        </w:rPr>
        <w:t xml:space="preserve">, da Lei Maior, que “todos são iguais perante a lei, </w:t>
      </w:r>
      <w:r>
        <w:rPr>
          <w:rFonts w:ascii="Times New Roman" w:hAnsi="Times New Roman" w:cs="Times New Roman" w:eastAsia="Times New Roman"/>
          <w:i/>
          <w:color w:val="auto"/>
          <w:spacing w:val="0"/>
          <w:position w:val="0"/>
          <w:sz w:val="24"/>
          <w:shd w:fill="auto" w:val="clear"/>
        </w:rPr>
        <w:t xml:space="preserve">sem distinção de qualquer natureza</w:t>
      </w:r>
      <w:r>
        <w:rPr>
          <w:rFonts w:ascii="Times New Roman" w:hAnsi="Times New Roman" w:cs="Times New Roman" w:eastAsia="Times New Roman"/>
          <w:color w:val="auto"/>
          <w:spacing w:val="0"/>
          <w:position w:val="0"/>
          <w:sz w:val="24"/>
          <w:shd w:fill="auto" w:val="clear"/>
        </w:rPr>
        <w:t xml:space="preserve">” (grifei); no inciso I, do art. 5º, que “homens e mulheres são </w:t>
      </w:r>
      <w:r>
        <w:rPr>
          <w:rFonts w:ascii="Times New Roman" w:hAnsi="Times New Roman" w:cs="Times New Roman" w:eastAsia="Times New Roman"/>
          <w:i/>
          <w:color w:val="auto"/>
          <w:spacing w:val="0"/>
          <w:position w:val="0"/>
          <w:sz w:val="24"/>
          <w:shd w:fill="auto" w:val="clear"/>
        </w:rPr>
        <w:t xml:space="preserve">iguais em direitos</w:t>
      </w:r>
      <w:r>
        <w:rPr>
          <w:rFonts w:ascii="Times New Roman" w:hAnsi="Times New Roman" w:cs="Times New Roman" w:eastAsia="Times New Roman"/>
          <w:color w:val="auto"/>
          <w:spacing w:val="0"/>
          <w:position w:val="0"/>
          <w:sz w:val="24"/>
          <w:shd w:fill="auto" w:val="clear"/>
        </w:rPr>
        <w:t xml:space="preserve"> e obrigações” (grifei); e no art. 226, §5º, que “os direitos e deveres referentes à sociedade conjugal são exercidos </w:t>
      </w:r>
      <w:r>
        <w:rPr>
          <w:rFonts w:ascii="Times New Roman" w:hAnsi="Times New Roman" w:cs="Times New Roman" w:eastAsia="Times New Roman"/>
          <w:i/>
          <w:color w:val="auto"/>
          <w:spacing w:val="0"/>
          <w:position w:val="0"/>
          <w:sz w:val="24"/>
          <w:shd w:fill="auto" w:val="clear"/>
        </w:rPr>
        <w:t xml:space="preserve">igualmente</w:t>
      </w:r>
      <w:r>
        <w:rPr>
          <w:rFonts w:ascii="Times New Roman" w:hAnsi="Times New Roman" w:cs="Times New Roman" w:eastAsia="Times New Roman"/>
          <w:color w:val="auto"/>
          <w:spacing w:val="0"/>
          <w:position w:val="0"/>
          <w:sz w:val="24"/>
          <w:shd w:fill="auto" w:val="clear"/>
        </w:rPr>
        <w:t xml:space="preserve"> pelo homem e pela mulher” (grifei).</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imediato, questionou-se o dispositivo previsto na Lei Adjetiva, que colocava a mulher em posição preferencial numa eventual peleja judicial, sob argumento de que isso feriria a nova ordem constitucional, a qual, enfim, equiparava homem e mulher, e que, somente a Constituição pode fazer distinções (como fá-lo, a título ilustrativo, ao privar a mulher do serviço militar em tempos de paz, conforme o art. 143, §2º); logo, não o tendo feito, não poderia o Código de Processo Civil, de cunho </w:t>
      </w:r>
      <w:r>
        <w:rPr>
          <w:rFonts w:ascii="Times New Roman" w:hAnsi="Times New Roman" w:cs="Times New Roman" w:eastAsia="Times New Roman"/>
          <w:i/>
          <w:color w:val="auto"/>
          <w:spacing w:val="0"/>
          <w:position w:val="0"/>
          <w:sz w:val="24"/>
          <w:shd w:fill="auto" w:val="clear"/>
        </w:rPr>
        <w:t xml:space="preserve">infra</w:t>
      </w:r>
      <w:r>
        <w:rPr>
          <w:rFonts w:ascii="Times New Roman" w:hAnsi="Times New Roman" w:cs="Times New Roman" w:eastAsia="Times New Roman"/>
          <w:color w:val="auto"/>
          <w:spacing w:val="0"/>
          <w:position w:val="0"/>
          <w:sz w:val="24"/>
          <w:shd w:fill="auto" w:val="clear"/>
        </w:rPr>
        <w:t xml:space="preserve">constitucional – portanto, abaixo da pirâmide normativa </w:t>
      </w:r>
      <w:r>
        <w:rPr>
          <w:rFonts w:ascii="Times New Roman" w:hAnsi="Times New Roman" w:cs="Times New Roman" w:eastAsia="Times New Roman"/>
          <w:i/>
          <w:color w:val="auto"/>
          <w:spacing w:val="0"/>
          <w:position w:val="0"/>
          <w:sz w:val="24"/>
          <w:shd w:fill="auto" w:val="clear"/>
        </w:rPr>
        <w:t xml:space="preserve">kelseniana</w:t>
      </w:r>
      <w:r>
        <w:rPr>
          <w:rFonts w:ascii="Times New Roman" w:hAnsi="Times New Roman" w:cs="Times New Roman" w:eastAsia="Times New Roman"/>
          <w:color w:val="auto"/>
          <w:spacing w:val="0"/>
          <w:position w:val="0"/>
          <w:sz w:val="24"/>
          <w:shd w:fill="auto" w:val="clear"/>
        </w:rPr>
        <w:t xml:space="preserve"> -, fazê-lo.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isso já é assunto para o próximo tópico.</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Aspectos formais do foro privilegiado da mulher para as ações de divórcio e anulação do casamento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discussões que se extraem do art. 100, I, CPC são amplíssimas, passando, dentre outros, desde sua aplicação para os casos de união estável, até seu alcance às ações não elencadas em seu desatualizado rol (antes, “ação de separação dos cônjuges”, “conversão desta em divórcio” e “anulação do casamento”; agora, apenas “ação de divórcio” e “anulação de casamento”).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que não incorramos no terrível defeito da omissão, convém o posicionamento por sua validade extensiva aos casos de convivência, mas por sua interpretação restritiva quanto à aplicação para outras espécies de ações.</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argumento para a primeira tomada de posição é simples, e reside no fundamento constitucional previsto no art. 226, §3º, que reconhece a união estável entre homem e mulher como “entidade familiar”, no art. 1.723 do Código Civil que “reconhece como entidade familiar a união estável entre homem e mulher com o objetivo de constituição de família”, e na regra prevista no art. 9º, Lei nº 9.278/96, que dispõe que “toda matéria relativa à união estável é de competência do juízo da Vara de Família, assegurado o segredo de justiça”.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para defender o segundo posicionamento, </w:t>
      </w:r>
      <w:r>
        <w:rPr>
          <w:rFonts w:ascii="Times New Roman" w:hAnsi="Times New Roman" w:cs="Times New Roman" w:eastAsia="Times New Roman"/>
          <w:i/>
          <w:color w:val="auto"/>
          <w:spacing w:val="0"/>
          <w:position w:val="0"/>
          <w:sz w:val="24"/>
          <w:shd w:fill="auto" w:val="clear"/>
        </w:rPr>
        <w:t xml:space="preserve">a savoir</w:t>
      </w:r>
      <w:r>
        <w:rPr>
          <w:rFonts w:ascii="Times New Roman" w:hAnsi="Times New Roman" w:cs="Times New Roman" w:eastAsia="Times New Roman"/>
          <w:color w:val="auto"/>
          <w:spacing w:val="0"/>
          <w:position w:val="0"/>
          <w:sz w:val="24"/>
          <w:shd w:fill="auto" w:val="clear"/>
        </w:rPr>
        <w:t xml:space="preserve">, aquele que prega a inaplicabilidade do inciso I para outras ações que não aquelas elencadas em seu exaustivo rol, o argumento é teleológico: sabe-se que o inciso I elenca um </w:t>
      </w:r>
      <w:r>
        <w:rPr>
          <w:rFonts w:ascii="Times New Roman" w:hAnsi="Times New Roman" w:cs="Times New Roman" w:eastAsia="Times New Roman"/>
          <w:i/>
          <w:color w:val="auto"/>
          <w:spacing w:val="0"/>
          <w:position w:val="0"/>
          <w:sz w:val="24"/>
          <w:shd w:fill="auto" w:val="clear"/>
        </w:rPr>
        <w:t xml:space="preserve">sujeito</w:t>
      </w:r>
      <w:r>
        <w:rPr>
          <w:rFonts w:ascii="Times New Roman" w:hAnsi="Times New Roman" w:cs="Times New Roman" w:eastAsia="Times New Roman"/>
          <w:color w:val="auto"/>
          <w:spacing w:val="0"/>
          <w:position w:val="0"/>
          <w:sz w:val="24"/>
          <w:shd w:fill="auto" w:val="clear"/>
        </w:rPr>
        <w:t xml:space="preserve"> (a mulher), e uma </w:t>
      </w:r>
      <w:r>
        <w:rPr>
          <w:rFonts w:ascii="Times New Roman" w:hAnsi="Times New Roman" w:cs="Times New Roman" w:eastAsia="Times New Roman"/>
          <w:i/>
          <w:color w:val="auto"/>
          <w:spacing w:val="0"/>
          <w:position w:val="0"/>
          <w:sz w:val="24"/>
          <w:shd w:fill="auto" w:val="clear"/>
        </w:rPr>
        <w:t xml:space="preserve">casuística</w:t>
      </w:r>
      <w:r>
        <w:rPr>
          <w:rFonts w:ascii="Times New Roman" w:hAnsi="Times New Roman" w:cs="Times New Roman" w:eastAsia="Times New Roman"/>
          <w:color w:val="auto"/>
          <w:spacing w:val="0"/>
          <w:position w:val="0"/>
          <w:sz w:val="24"/>
          <w:shd w:fill="auto" w:val="clear"/>
        </w:rPr>
        <w:t xml:space="preserve"> em que ela estará amparada (o divórcio e a anulação do casamento). Significa que sua proteção não se dá somente por ser mulher, mas por ser mulher vulnerável à espécie de ação que pode ajuizar. Ademais, por ser essa vulnerabilidade presumida, e por se tratar a previsão de competência relativa, nada impede que a mulher opte por promover ação na regra geral do art. 94, CPC. Sendo assim, agiu bem o legislador em não generalizar a mulher como sujeito privilegiado, pois, do contrário, caso não se opusesse eventual exceção de incompetência, esta se convalidaria, e toda mulher no polo de alguma ação seria fator determinante de competência. Seria impensável estender o benefício para que a mulher intentasse ação, como regra, em seu domicílio, em caso de acidente automobilístico, </w:t>
      </w:r>
      <w:r>
        <w:rPr>
          <w:rFonts w:ascii="Times New Roman" w:hAnsi="Times New Roman" w:cs="Times New Roman" w:eastAsia="Times New Roman"/>
          <w:i/>
          <w:color w:val="auto"/>
          <w:spacing w:val="0"/>
          <w:position w:val="0"/>
          <w:sz w:val="24"/>
          <w:shd w:fill="auto" w:val="clear"/>
        </w:rPr>
        <w:t xml:space="preserve">p. ex.</w:t>
      </w:r>
      <w:r>
        <w:rPr>
          <w:rFonts w:ascii="Times New Roman" w:hAnsi="Times New Roman" w:cs="Times New Roman" w:eastAsia="Times New Roman"/>
          <w:color w:val="auto"/>
          <w:spacing w:val="0"/>
          <w:position w:val="0"/>
          <w:sz w:val="24"/>
          <w:shd w:fill="auto" w:val="clear"/>
        </w:rPr>
        <w:t xml:space="preserve">, pois para casos como tais existem outras regras especiais de competência (no caso do exemplo, o art. 100, parágrafo único), ou então a “vala comum” do art. 94 da Lei Adjetiva.</w:t>
      </w:r>
    </w:p>
    <w:p>
      <w:pPr>
        <w:spacing w:before="0" w:after="120" w:line="360"/>
        <w:ind w:right="0" w:left="0" w:firstLine="141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Prosseguindo – e já chegando no real objetivo deste trabalho -, há que se observar a evolução do instituto procedimental de beneficiamento da mulher. No Código de Processo Civil de 1939, a regra era prevista da seguinte maneira:</w:t>
      </w:r>
    </w:p>
    <w:p>
      <w:pPr>
        <w:spacing w:before="10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142. Nas ações de desquite e de nulidade de casamento, será competente o foro da residência da mulher; nas de alimento, o do domicílio ou da residência do alimentando.</w:t>
      </w:r>
    </w:p>
    <w:p>
      <w:pPr>
        <w:spacing w:before="10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no Código de Buzaid, bipartiu-se o dispositivo anterior, colocando a mulher em um dispositivo e o alimentando em outro, ficando aquele que nos interessa da seguinte maneira:</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100. É competente o foro: I – da residência da mulher, para a ação de separação dos cônjuges e a conversão desta em divórcio, e para a anulação de casamento; [...]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advento da Constituição Federal de 1988, este inciso I foi alvo de celeuma doutrinária. Houve quem dissesse que o mesmo não havia sido recepcionado em razão dos dispositivos constitucionais que equipararam homem e mulher e que, do contrário, estar-se-ia ferindo o Princípio Constitucional da Igualdade de Gênero (ou da Isonomia). Felizmente, tal posição não prevaleceu, como se pode extrair das palavras de Nelson Nery Junior e Rosa Maria de Andrade Nery (2006, p. 308):</w:t>
      </w: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regra especial de competência dos incisos I e II do CPC 100 não fere o princípio constitucional da isonomia (CF 5.º, I), nem é incompatível com a igualdade dos cônjuges na condução da sociedade conjugal (CF 226) [...]. A hipótese é de tratar desigualmente partes desiguais, vale dizer, de discriminação justa, permitida pela CF 5.º, I [...]. No caso do CPC 100, I há presunção </w:t>
      </w:r>
      <w:r>
        <w:rPr>
          <w:rFonts w:ascii="Times New Roman" w:hAnsi="Times New Roman" w:cs="Times New Roman" w:eastAsia="Times New Roman"/>
          <w:i/>
          <w:color w:val="auto"/>
          <w:spacing w:val="0"/>
          <w:position w:val="0"/>
          <w:sz w:val="20"/>
          <w:shd w:fill="auto" w:val="clear"/>
        </w:rPr>
        <w:t xml:space="preserve">juris tantum</w:t>
      </w:r>
      <w:r>
        <w:rPr>
          <w:rFonts w:ascii="Times New Roman" w:hAnsi="Times New Roman" w:cs="Times New Roman" w:eastAsia="Times New Roman"/>
          <w:color w:val="auto"/>
          <w:spacing w:val="0"/>
          <w:position w:val="0"/>
          <w:sz w:val="20"/>
          <w:shd w:fill="auto" w:val="clear"/>
        </w:rPr>
        <w:t xml:space="preserve"> de que a parte débil é a mulher, presunção essa que pode ceder diante de prova em contrário, o que deverá ser feito pelo marido réu, por intermédio da oposição de exceção de incompetência, declinando o foro do seu (do réu) domicílio como o competente, em razão da inexistência da hipossuficiência da mulher.</w:t>
      </w:r>
    </w:p>
    <w:p>
      <w:pPr>
        <w:spacing w:before="0" w:after="120" w:line="240"/>
        <w:ind w:right="0" w:left="2268"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mesmo sentido, o entendimento de Marcus Vinícius Rios Gonçalves (2004, p. 67):</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dispositivo favorece a mulher, que se presume ter, ainda, mais dificuldade de acesso à justiça. E sobrevive mesmo à luz do princípio constitucional da isonomia, porque ainda existem fundadas razões para que a mulher mantenha o benefício. Como é notório, há ainda certas regiões do Brasil em que um regime patriarcal mais rigoroso dificulta o acesso da mulher ao Judiciário, mormente naquelas demandas em que a parte contrária é o próprio marido ou ex-marido. Daí, a razão para a permanência da regra.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Interessante é o posicionamento de Luiz Guilherme Marinoni e Daniel Mitidiero (2008, p. 162), que parecem sugerir ser o art. 100, I, do CPC uma espécie de norma constitucional em trânsito de inconstitucionalidade, a depender de fatores concretos e históricos, a exemplo do que acontece com o art. 68 do Código de Processo Penal:</w:t>
      </w:r>
    </w:p>
    <w:p>
      <w:pPr>
        <w:spacing w:before="0" w:after="0" w:line="24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art. 100, I, CPC, em tese, </w:t>
      </w:r>
      <w:r>
        <w:rPr>
          <w:rFonts w:ascii="Times New Roman" w:hAnsi="Times New Roman" w:cs="Times New Roman" w:eastAsia="Times New Roman"/>
          <w:i/>
          <w:color w:val="auto"/>
          <w:spacing w:val="0"/>
          <w:position w:val="0"/>
          <w:sz w:val="20"/>
          <w:shd w:fill="auto" w:val="clear"/>
        </w:rPr>
        <w:t xml:space="preserve">é ainda constitucional</w:t>
      </w:r>
      <w:r>
        <w:rPr>
          <w:rFonts w:ascii="Times New Roman" w:hAnsi="Times New Roman" w:cs="Times New Roman" w:eastAsia="Times New Roman"/>
          <w:color w:val="auto"/>
          <w:spacing w:val="0"/>
          <w:position w:val="0"/>
          <w:sz w:val="20"/>
          <w:shd w:fill="auto" w:val="clear"/>
        </w:rPr>
        <w:t xml:space="preserve">. Havendo efetiva igualdade entre homem e mulher, no entanto, tem de ser afastado no caso concreto, por inconstitucional (art. 5º, I, CRFB). Do contrário, verificando-se desigualdade entre os cônjuges, prevalece o foro da mulher. (grifei).</w:t>
      </w:r>
    </w:p>
    <w:p>
      <w:pPr>
        <w:spacing w:before="0" w:after="120" w:line="240"/>
        <w:ind w:right="0" w:left="2268" w:firstLine="0"/>
        <w:jc w:val="both"/>
        <w:rPr>
          <w:rFonts w:ascii="Times New Roman" w:hAnsi="Times New Roman" w:cs="Times New Roman" w:eastAsia="Times New Roman"/>
          <w:b/>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sintonia pela constitucionalidade do dispositivo, a jurisprudência pátria vinha acenando por sua normal aplicabilidade: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Competência. Ação de separação de corpos. Local da residência. Multa nos embargos de declaração. Precedentes da Corte. 1. Se ao ajuizar a ação a mulher estava residindo em Comarca diferente do domicílio conjugal, incide a regra do art. 100, I, do Código de Processo Civil, sendo competente o foro da residência da mulher no momento em que proposta a ação. [...] (REsp 193.104/RS, Rel. Ministro  CARLOS ALBERTO MENEZES DIREITO, TERCEIRA TURMA, julgado em 12/12/2002, DJ 10/03/2003 p. 184).</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PROCESSUAL CIVIL - CONFLITO DE COMPETÊNCIA - FORO DA RESIDÊNCIA DA MULHER - PREVENÇÃO. I - A conjugação do disposto nos artigos 100, I e 219, do CPC, levam à conclusão, in casu, pela competência do foro da residência da mulher. II - Conflito conhecido e declarado competente o Juízo de Direito de Paranã/TO, o suscitado. (CC 24.289/RS, Rel. Ministro WALDEMAR ZVEITER, SEGUNDA SEÇÃO, julgado em 12/05/1999, DJ 02/08/1999 p. 127).</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fim, como exemplo de afinidade com o contemporâneo intento de igualdade substancial de gênero, a Lei nº 11.340/06, popularmente conhecida por “Lei Maria da Penha”, em seu art. 15, textualizou dispositivo com natureza semelhante ao art. 100, I, reconhecendo a necessidade de se destinar mais atenção à mulher que não se encontra em situação de efetiva equiparação ao seu parceiro:</w:t>
      </w:r>
    </w:p>
    <w:p>
      <w:pPr>
        <w:spacing w:before="0" w:after="120" w:line="24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15. É competente, </w:t>
      </w:r>
      <w:r>
        <w:rPr>
          <w:rFonts w:ascii="Times New Roman" w:hAnsi="Times New Roman" w:cs="Times New Roman" w:eastAsia="Times New Roman"/>
          <w:i/>
          <w:color w:val="auto"/>
          <w:spacing w:val="0"/>
          <w:position w:val="0"/>
          <w:sz w:val="20"/>
          <w:shd w:fill="auto" w:val="clear"/>
        </w:rPr>
        <w:t xml:space="preserve">por opção da ofendida</w:t>
      </w:r>
      <w:r>
        <w:rPr>
          <w:rFonts w:ascii="Times New Roman" w:hAnsi="Times New Roman" w:cs="Times New Roman" w:eastAsia="Times New Roman"/>
          <w:color w:val="auto"/>
          <w:spacing w:val="0"/>
          <w:position w:val="0"/>
          <w:sz w:val="20"/>
          <w:shd w:fill="auto" w:val="clear"/>
        </w:rPr>
        <w:t xml:space="preserve">, para os processos cíveis registrados por esta Lei, o Juizado: </w:t>
      </w:r>
      <w:r>
        <w:rPr>
          <w:rFonts w:ascii="Times New Roman" w:hAnsi="Times New Roman" w:cs="Times New Roman" w:eastAsia="Times New Roman"/>
          <w:i/>
          <w:color w:val="auto"/>
          <w:spacing w:val="0"/>
          <w:position w:val="0"/>
          <w:sz w:val="20"/>
          <w:shd w:fill="auto" w:val="clear"/>
        </w:rPr>
        <w:t xml:space="preserve">I – do seu domicílio ou de sua residência</w:t>
      </w:r>
      <w:r>
        <w:rPr>
          <w:rFonts w:ascii="Times New Roman" w:hAnsi="Times New Roman" w:cs="Times New Roman" w:eastAsia="Times New Roman"/>
          <w:color w:val="auto"/>
          <w:spacing w:val="0"/>
          <w:position w:val="0"/>
          <w:sz w:val="20"/>
          <w:shd w:fill="auto" w:val="clear"/>
        </w:rPr>
        <w:t xml:space="preserve">; II – do lugar do fato em que se baseou a demanda; III – do domicílio do agressor. (grifei).</w:t>
      </w: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Pode-se dizer, inclusive, que o art. 15, da Lei nº 11.340/06, institucionaliza a </w:t>
      </w:r>
      <w:r>
        <w:rPr>
          <w:rFonts w:ascii="Times New Roman" w:hAnsi="Times New Roman" w:cs="Times New Roman" w:eastAsia="Times New Roman"/>
          <w:i/>
          <w:color w:val="auto"/>
          <w:spacing w:val="0"/>
          <w:position w:val="0"/>
          <w:sz w:val="24"/>
          <w:shd w:fill="auto" w:val="clear"/>
        </w:rPr>
        <w:t xml:space="preserve">opção</w:t>
      </w:r>
      <w:r>
        <w:rPr>
          <w:rFonts w:ascii="Times New Roman" w:hAnsi="Times New Roman" w:cs="Times New Roman" w:eastAsia="Times New Roman"/>
          <w:color w:val="auto"/>
          <w:spacing w:val="0"/>
          <w:position w:val="0"/>
          <w:sz w:val="24"/>
          <w:shd w:fill="auto" w:val="clear"/>
        </w:rPr>
        <w:t xml:space="preserve"> da mulher pelo foro de sua residência, a exemplo do que já é feito implicitamente no art. 100, I, CPC, ou seja, caso a mulher esteja em condição econômica e/ou juridicamente inferior ao parceiro, que proponha a ação no foro de sua residência (art. 100, I, CPC e art. 15, I, Lei nº 11.340/06); e, caso entenda o contrário, que intente a ação na regra geral de competência processual civil (art. 94, Lei Adjetiva), ou em outra regra especial de competência, ou no art. 15, II ou III, da Lei nº 11.340/06.</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bem se observa, a posição majoritária da doutrina, a pacificação jurisprudencial no Tribunal da Cidadania, e a previsão de instituto semelhante em dispositivo contido em lei que também almeja a equiparação substancial de gênero, qual seja, a “Lei Maria da Penha”, seria, enfim, - ao menos por ora -, o assentamento opinativo em torno do assunto, e que subsistiria até que a mulher alcançasse a efetiva Igualdade de Gênero com o sexo oposto nesta questão.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Seria.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que no Código de Fux (PLS nº 166/2010), passa-se a prever como foro competente para as ações de divórcio e anulação de casamento o </w:t>
      </w:r>
      <w:r>
        <w:rPr>
          <w:rFonts w:ascii="Times New Roman" w:hAnsi="Times New Roman" w:cs="Times New Roman" w:eastAsia="Times New Roman"/>
          <w:i/>
          <w:color w:val="auto"/>
          <w:spacing w:val="0"/>
          <w:position w:val="0"/>
          <w:sz w:val="24"/>
          <w:shd w:fill="auto" w:val="clear"/>
        </w:rPr>
        <w:t xml:space="preserve">último domicílio do casal</w:t>
      </w:r>
      <w:r>
        <w:rPr>
          <w:rFonts w:ascii="Times New Roman" w:hAnsi="Times New Roman" w:cs="Times New Roman" w:eastAsia="Times New Roman"/>
          <w:color w:val="auto"/>
          <w:spacing w:val="0"/>
          <w:position w:val="0"/>
          <w:sz w:val="24"/>
          <w:shd w:fill="auto" w:val="clear"/>
        </w:rPr>
        <w:t xml:space="preserve">. Vejamos: </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38. É competente o foro: I – </w:t>
      </w:r>
      <w:r>
        <w:rPr>
          <w:rFonts w:ascii="Times New Roman" w:hAnsi="Times New Roman" w:cs="Times New Roman" w:eastAsia="Times New Roman"/>
          <w:i/>
          <w:color w:val="auto"/>
          <w:spacing w:val="0"/>
          <w:position w:val="0"/>
          <w:sz w:val="20"/>
          <w:shd w:fill="auto" w:val="clear"/>
        </w:rPr>
        <w:t xml:space="preserve">do último domicílio do casal</w:t>
      </w:r>
      <w:r>
        <w:rPr>
          <w:rFonts w:ascii="Times New Roman" w:hAnsi="Times New Roman" w:cs="Times New Roman" w:eastAsia="Times New Roman"/>
          <w:color w:val="auto"/>
          <w:spacing w:val="0"/>
          <w:position w:val="0"/>
          <w:sz w:val="20"/>
          <w:shd w:fill="auto" w:val="clear"/>
        </w:rPr>
        <w:t xml:space="preserve">, para a ação de separação dos cônjuges e a conversão desta em divórcio e para a anulação de casamento; [...] (grifei).</w:t>
      </w:r>
    </w:p>
    <w:p>
      <w:pPr>
        <w:spacing w:before="0" w:after="120" w:line="24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este art. 38, I, está em efetiva consonância com a Constituição Federal? Será, realmente, que a mulher já alcançou a tão sonhada isonomia com o sexo oposto, ao menos neste aspecto?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será melhor desenvolvido no capítulo seguinte.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Sobre a constitucionalidade deste foro e sobre a validade do novo regramento no Código de Processo Civil em elaboração</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Antes de emitir opiniões sobre o tema, bem como uma proposta de solução, convém tentar entender as razões que levaram o legislador à tomada de tal postura.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efeito, sabe-se que o “Novo” CPC tem como premissa ser principiológico e, sobremaneira, consonante com a Lei Maior pátria. Há um fenômeno de adequação das legislações nacionais ao Texto Constitucional (a tão sonhada “Constitucionalização do Direito”). É o que se pode extrair, a título ilustrativo, em analisando o Código Civil, de 2002; o Código de Defesa do Consumidor, de 1990; os diversos Estatutos - da Criança e do Adolescente (1990), do Idoso (2003), das Cidades (2001) etc. -; e os Anteprojetos - do “Novo” Código de Processo Penal, ainda em fase de discussão, e do “Novo” Código de Processo Civil, aqui em debate.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só vem de encontro às diversas “funções sociais” que existem por aí, como a “função social da propriedade”, a “função social da empresa”, a “função social da falência”, a “função social do homem”, dentre outras.</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área específica do Processo Civil, há que se observar os onze primeiros artigos do “Novo” CPC (PLS nº 166/2010), todos principiológicos, e que têm como ponto de partida o art. 1º, que dispõe que o Processo Civil será regido, disciplinado e valorado conforme os “princípios fundamentais” estabelecidos na Constituição Federal. Ao analisar trechos da Exposição de Motivos do Código de Fux, pode-se melhor visualizar isso:</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elaboração deste Anteprojeto de Código de Processo Civil, essa foi uma das linhas principais de trabalho: resolver problemas. Deixar de ver o processo como teoria descomprometida de sua natureza fundamental de método de resolução de conflitos, por meio do qual se realizam valores constitucionais [...]. 5 Esta Exposição de Motivos obedece à ordem dos objetivos acima alistados. 1) A necessidade de que fique evidente a </w:t>
      </w:r>
      <w:r>
        <w:rPr>
          <w:rFonts w:ascii="Times New Roman" w:hAnsi="Times New Roman" w:cs="Times New Roman" w:eastAsia="Times New Roman"/>
          <w:i/>
          <w:color w:val="auto"/>
          <w:spacing w:val="0"/>
          <w:position w:val="0"/>
          <w:sz w:val="20"/>
          <w:shd w:fill="auto" w:val="clear"/>
        </w:rPr>
        <w:t xml:space="preserve">harmonia da lei ordinária em relação à Constituição Federal da República</w:t>
      </w:r>
      <w:r>
        <w:rPr>
          <w:rFonts w:ascii="Times New Roman" w:hAnsi="Times New Roman" w:cs="Times New Roman" w:eastAsia="Times New Roman"/>
          <w:color w:val="auto"/>
          <w:spacing w:val="0"/>
          <w:position w:val="0"/>
          <w:sz w:val="20"/>
          <w:shd w:fill="auto" w:val="clear"/>
        </w:rPr>
        <w:t xml:space="preserve"> fez com que se incluíssem no Código, expressamente, princípios constitucionais, na sua versão processual [...]. (grifei).</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Obtempera-se que este não foi um processo instantâneo, imediatista, mas decorrente de um ciclo doutrinário e judicial evolutivo (vide as chamadas “ondas reformistas”), que clamava por este Processo Civil Constitucional. Neste sentido, oportunas as palavras de Alexandre Freitas Câmara (2010, p. 39):</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meu ver a primeira dessas bases é a </w:t>
      </w:r>
      <w:r>
        <w:rPr>
          <w:rFonts w:ascii="Times New Roman" w:hAnsi="Times New Roman" w:cs="Times New Roman" w:eastAsia="Times New Roman"/>
          <w:i/>
          <w:color w:val="auto"/>
          <w:spacing w:val="0"/>
          <w:position w:val="0"/>
          <w:sz w:val="20"/>
          <w:shd w:fill="auto" w:val="clear"/>
        </w:rPr>
        <w:t xml:space="preserve">constitucionalização do direito processual civil</w:t>
      </w:r>
      <w:r>
        <w:rPr>
          <w:rFonts w:ascii="Times New Roman" w:hAnsi="Times New Roman" w:cs="Times New Roman" w:eastAsia="Times New Roman"/>
          <w:color w:val="auto"/>
          <w:spacing w:val="0"/>
          <w:position w:val="0"/>
          <w:sz w:val="20"/>
          <w:shd w:fill="auto" w:val="clear"/>
        </w:rPr>
        <w:t xml:space="preserve">, a que já fiz anteriormente referência. </w:t>
      </w:r>
      <w:r>
        <w:rPr>
          <w:rFonts w:ascii="Times New Roman" w:hAnsi="Times New Roman" w:cs="Times New Roman" w:eastAsia="Times New Roman"/>
          <w:i/>
          <w:color w:val="auto"/>
          <w:spacing w:val="0"/>
          <w:position w:val="0"/>
          <w:sz w:val="20"/>
          <w:shd w:fill="auto" w:val="clear"/>
        </w:rPr>
        <w:t xml:space="preserve">É preciso que o novo Código de Processo Civil seja destinado a desenvolver os princípios que compõem o modelo constitucional de processo civil brasileiro</w:t>
      </w:r>
      <w:r>
        <w:rPr>
          <w:rFonts w:ascii="Times New Roman" w:hAnsi="Times New Roman" w:cs="Times New Roman" w:eastAsia="Times New Roman"/>
          <w:color w:val="auto"/>
          <w:spacing w:val="0"/>
          <w:position w:val="0"/>
          <w:sz w:val="20"/>
          <w:shd w:fill="auto" w:val="clear"/>
        </w:rPr>
        <w:t xml:space="preserve">. (grifei).</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frequência congruente, a opinião de Cássio Scarpinella Bueno (2010, p. 383):</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realidade material, destarte, impõe a inadiável reflexão sobre um “direito processual civil” que realize adequadamente os valores do Estado Democrático de Direito brasileiro e que, ao mesmo tempo, realizem adequadamente os anseios dispersos pelo e no ordenamento jurídico substancial, sendo indiferente que ele se mostre </w:t>
      </w:r>
      <w:r>
        <w:rPr>
          <w:rFonts w:ascii="Times New Roman" w:hAnsi="Times New Roman" w:cs="Times New Roman" w:eastAsia="Times New Roman"/>
          <w:i/>
          <w:color w:val="auto"/>
          <w:spacing w:val="0"/>
          <w:position w:val="0"/>
          <w:sz w:val="20"/>
          <w:shd w:fill="auto" w:val="clear"/>
        </w:rPr>
        <w:t xml:space="preserve">individual</w:t>
      </w:r>
      <w:r>
        <w:rPr>
          <w:rFonts w:ascii="Times New Roman" w:hAnsi="Times New Roman" w:cs="Times New Roman" w:eastAsia="Times New Roman"/>
          <w:color w:val="auto"/>
          <w:spacing w:val="0"/>
          <w:position w:val="0"/>
          <w:sz w:val="20"/>
          <w:shd w:fill="auto" w:val="clear"/>
        </w:rPr>
        <w:t xml:space="preserve"> (como é da tradição e do desenvolvimento histórico do direito) ou </w:t>
      </w:r>
      <w:r>
        <w:rPr>
          <w:rFonts w:ascii="Times New Roman" w:hAnsi="Times New Roman" w:cs="Times New Roman" w:eastAsia="Times New Roman"/>
          <w:i/>
          <w:color w:val="auto"/>
          <w:spacing w:val="0"/>
          <w:position w:val="0"/>
          <w:sz w:val="20"/>
          <w:shd w:fill="auto" w:val="clear"/>
        </w:rPr>
        <w:t xml:space="preserve">coletivamente</w:t>
      </w:r>
      <w:r>
        <w:rPr>
          <w:rFonts w:ascii="Times New Roman" w:hAnsi="Times New Roman" w:cs="Times New Roman" w:eastAsia="Times New Roman"/>
          <w:color w:val="auto"/>
          <w:spacing w:val="0"/>
          <w:position w:val="0"/>
          <w:sz w:val="20"/>
          <w:shd w:fill="auto" w:val="clear"/>
        </w:rPr>
        <w:t xml:space="preserve">.</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Trazendo toda a questão para a abolição do foro privilegiado da mulher no CPC em elaboração, bem como analisando esse fenômeno de adequação das legislações </w:t>
      </w:r>
      <w:r>
        <w:rPr>
          <w:rFonts w:ascii="Times New Roman" w:hAnsi="Times New Roman" w:cs="Times New Roman" w:eastAsia="Times New Roman"/>
          <w:i/>
          <w:color w:val="auto"/>
          <w:spacing w:val="0"/>
          <w:position w:val="0"/>
          <w:sz w:val="24"/>
          <w:shd w:fill="auto" w:val="clear"/>
        </w:rPr>
        <w:t xml:space="preserve">infra</w:t>
      </w:r>
      <w:r>
        <w:rPr>
          <w:rFonts w:ascii="Times New Roman" w:hAnsi="Times New Roman" w:cs="Times New Roman" w:eastAsia="Times New Roman"/>
          <w:color w:val="auto"/>
          <w:spacing w:val="0"/>
          <w:position w:val="0"/>
          <w:sz w:val="24"/>
          <w:shd w:fill="auto" w:val="clear"/>
        </w:rPr>
        <w:t xml:space="preserve">constitucionais ao estritamente previsto na Carta Constitucional, infere-se que partiu aquela Comissão de Juristas designada para uma posição de não-compatibilidade do art. 100, I, com o texto constitucional, justamente em razão desta constitucionalização do processo. Ora, em se afirmando que o atual dispositivo processual fere o Princípio da Igualdade, previsto constitucionalmente, ilógico seria que a “Nova” Lei Adjetiva, que tem como escopo-mor a adequação e a unidade constitucional, mantivesse tal dispositivo.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Num segundo argumento, que já foi falado no capítulo anterior, é que medidas como as previstas no art. 100, I, CPC, e na Lei “Maria da Penha”, visam assegurar a igualdade substancial que é, obviamente, muito mais abrangente que a igualdade formal. Traduz-se no popular “tratar desigualmente os desiguais”. Acontece, contudo, que tal medida tem validade temporária, durando enquanto persistir a desigualdade. Assim, no caso do alimentando (art. 100, II, CPC), a sua manutenção na Lei Adjetiva em processo legislativo (no art. 38, II) se justifica, pois a probabilidade de que o alimentando adquira igualdade plena como parte, em relação a outras partes, é ínfima. Disso conclui-se, portanto, que a </w:t>
      </w:r>
      <w:r>
        <w:rPr>
          <w:rFonts w:ascii="Times New Roman" w:hAnsi="Times New Roman" w:cs="Times New Roman" w:eastAsia="Times New Roman"/>
          <w:i/>
          <w:color w:val="auto"/>
          <w:spacing w:val="0"/>
          <w:position w:val="0"/>
          <w:sz w:val="24"/>
          <w:shd w:fill="auto" w:val="clear"/>
        </w:rPr>
        <w:t xml:space="preserve">supra</w:t>
      </w:r>
      <w:r>
        <w:rPr>
          <w:rFonts w:ascii="Times New Roman" w:hAnsi="Times New Roman" w:cs="Times New Roman" w:eastAsia="Times New Roman"/>
          <w:color w:val="auto"/>
          <w:spacing w:val="0"/>
          <w:position w:val="0"/>
          <w:sz w:val="24"/>
          <w:shd w:fill="auto" w:val="clear"/>
        </w:rPr>
        <w:t xml:space="preserve">mencionada Comissão de Juristas entendeu que, entre o CPC de 1973 (e a inclusão do inciso I ao art. 100, em 1977), e o CPC em feitura, decorreu tempo suficiente para que a mulher já seja, neste aspecto, equiparada ao homem.</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é o entendimento aqui defendido, todavia. Desenvolvamos nossa tese: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Patrícia Miranda Pizzol (2003, p. 192) faz uma proposta para tentar conciliar a questão com a Constituição Federal:</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outras palavras, se se verificar, </w:t>
      </w:r>
      <w:r>
        <w:rPr>
          <w:rFonts w:ascii="Times New Roman" w:hAnsi="Times New Roman" w:cs="Times New Roman" w:eastAsia="Times New Roman"/>
          <w:i/>
          <w:color w:val="auto"/>
          <w:spacing w:val="0"/>
          <w:position w:val="0"/>
          <w:sz w:val="20"/>
          <w:shd w:fill="auto" w:val="clear"/>
        </w:rPr>
        <w:t xml:space="preserve">no caso concreto</w:t>
      </w:r>
      <w:r>
        <w:rPr>
          <w:rFonts w:ascii="Times New Roman" w:hAnsi="Times New Roman" w:cs="Times New Roman" w:eastAsia="Times New Roman"/>
          <w:color w:val="auto"/>
          <w:spacing w:val="0"/>
          <w:position w:val="0"/>
          <w:sz w:val="20"/>
          <w:shd w:fill="auto" w:val="clear"/>
        </w:rPr>
        <w:t xml:space="preserve">, que a mulher é a parte mais fraca (porque não tem independência financeira ou porque ficou com a guarda dos filhos, sendo esta última hipótese bastante comum), contará ela com a prerrogativa de foro, garantindo-se, assim, a igualdade real. Se, contudo, ela se encontrar em condições iguais às do marido, a regra do art. 100, I, do CPC será considerada inconstitucional, devendo incidir a regra geral, prevista no art. 94 do mesmo Código (o foro competente será o do domicílio do réu). (grifei).</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Trata-se de proposta louvável, porém insuficiente sob o ponto de vista aqui defendido. Isto porque, o CPC atual prevê regra especial de competência que, por ser territorial e relativa, pode perfeitamente ser excepcionada: a) pela própria mulher, caso não seja vulnerável e/ou opte pelas outras regras de competência; b) ou, mediante exceção de competência que, na opinião deste autor, deve ser levantada pela parte contrária caso se verifique que a mulher não é a parte “mais fraca da relação jurídica”.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“Novo” CPC (PLS nº 166/2010) retira essa opção, colocando, para as ações de divórcio e anulação de casamento, o foro do “último domicílio do casal”. Daí indaga-se: e se a mulher for vulnerável (ou porque é ameaçada pelo marido, ou porque está com a guarda dos filhos, ou porque simplesmente não tem condições econômicas) e estiver residindo em local que não o último domicílio do casal, ficará ela prejudicada no seu acesso à justiça? Observa-se que, antes, havia a </w:t>
      </w:r>
      <w:r>
        <w:rPr>
          <w:rFonts w:ascii="Times New Roman" w:hAnsi="Times New Roman" w:cs="Times New Roman" w:eastAsia="Times New Roman"/>
          <w:i/>
          <w:color w:val="auto"/>
          <w:spacing w:val="0"/>
          <w:position w:val="0"/>
          <w:sz w:val="24"/>
          <w:shd w:fill="auto" w:val="clear"/>
        </w:rPr>
        <w:t xml:space="preserve">opção</w:t>
      </w:r>
      <w:r>
        <w:rPr>
          <w:rFonts w:ascii="Times New Roman" w:hAnsi="Times New Roman" w:cs="Times New Roman" w:eastAsia="Times New Roman"/>
          <w:color w:val="auto"/>
          <w:spacing w:val="0"/>
          <w:position w:val="0"/>
          <w:sz w:val="24"/>
          <w:shd w:fill="auto" w:val="clear"/>
        </w:rPr>
        <w:t xml:space="preserve"> da ação tramitar ou não no foro da residência da mulher, enquanto agora, com um “Novo” CPC à vista, não há mais essa opção, o que pode prejudicar - e muito - o acesso à justiça, fato que, aí sim, contrariaria a Constituição Federal no que diz respeito ao direito ao “acesso à justiça” e a um “processo justo”. Teríamos, pois, um conflito de princípios entre a igualdade e o acesso à justiça, nos parecendo que deveria prevalecer, neste tipo de caso, o segundo.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Ponto negativo do “Novo” CPC, portanto, que merece modificação prévia, antes mesmo de vigência ou “</w:t>
      </w:r>
      <w:r>
        <w:rPr>
          <w:rFonts w:ascii="Times New Roman" w:hAnsi="Times New Roman" w:cs="Times New Roman" w:eastAsia="Times New Roman"/>
          <w:i/>
          <w:color w:val="auto"/>
          <w:spacing w:val="0"/>
          <w:position w:val="0"/>
          <w:sz w:val="24"/>
          <w:shd w:fill="auto" w:val="clear"/>
        </w:rPr>
        <w:t xml:space="preserve">vacatio</w:t>
      </w:r>
      <w:r>
        <w:rPr>
          <w:rFonts w:ascii="Times New Roman" w:hAnsi="Times New Roman" w:cs="Times New Roman" w:eastAsia="Times New Roman"/>
          <w:color w:val="auto"/>
          <w:spacing w:val="0"/>
          <w:position w:val="0"/>
          <w:sz w:val="24"/>
          <w:shd w:fill="auto" w:val="clear"/>
        </w:rPr>
        <w:t xml:space="preserve">”, para que se efetive a permanência, na nova legislação, da regra da atual Lei Adjetiva.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Linhas derradeiras: proposta em prol de um entendimento</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todo o exposto, em nota conclusiva, convém defender que não se mostra precipitado discutir a necessidade de manutenção da regra que privilegia a mulher com foro competente para a ação de divórcio e de anulação de casamento. Do contrário trata-se, agora, do momento mais oportuno possível.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assim, em que pese o respeito à opção da Comissão de Juristas designada para elaborar o “Novo” CPC, não parece opção mais acertada generalizar o último domicílio do casal como foro competente para as ações de divórcio e anulação de casamento. Isto porque, partiu-se de uma premissa equivocada de que a mulher, neste aspecto, já adquiriu condições de equiparação com o homem, o que teria tornado, enfim, a norma do art. 100, I, incompatível com a Constituição Federal, nos seus postulados de igualdade de gênero.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verdade, a mulher ainda deve ser fruto de atenção especial dispendida pela sociedade e pelo legislador, a exemplo do que se fez no art. 15, da Lei nº 11.340/06, haja vista a existência de guetos de obscurantismo social que reprimem o sexo feminino. Que se particularize à mulher, então, regra mais benéfica de competência. Que isso lhe seja uma </w:t>
      </w:r>
      <w:r>
        <w:rPr>
          <w:rFonts w:ascii="Times New Roman" w:hAnsi="Times New Roman" w:cs="Times New Roman" w:eastAsia="Times New Roman"/>
          <w:i/>
          <w:color w:val="auto"/>
          <w:spacing w:val="0"/>
          <w:position w:val="0"/>
          <w:sz w:val="24"/>
          <w:shd w:fill="auto" w:val="clear"/>
        </w:rPr>
        <w:t xml:space="preserve">opção</w:t>
      </w:r>
      <w:r>
        <w:rPr>
          <w:rFonts w:ascii="Times New Roman" w:hAnsi="Times New Roman" w:cs="Times New Roman" w:eastAsia="Times New Roman"/>
          <w:color w:val="auto"/>
          <w:spacing w:val="0"/>
          <w:position w:val="0"/>
          <w:sz w:val="24"/>
          <w:shd w:fill="auto" w:val="clear"/>
        </w:rPr>
        <w:t xml:space="preserve">, uma faculdade. É medida de melhor acesso à justiça, princípio este que se sobrepõe à própria igualdade de gênero no caso em lume.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proposta, portanto, é pela manutenção do texto do art. 100, I, CPC na Lei Adjetiva que há de vir, até por sua lógica de competência relativa que comporta exceção caso a mulher não seja vulnerável (caso em que se vão aplicar outras regras de competência).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Até porque, o atual Código de Buzaid permite a exceção de incompetência que a transfere de uma regra especial para uma regra geral, enquanto no Novo CPC não há uma regra especial, o que faz com que, se a mulher, casuisticamente, for parte vulnerável, não terá dispositivo procedimental da fixação de competência privilegiada para se socorrer.</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último argumento, há que se frisar que não é a realidade que se adapta ao legislador, mas o oposto, de forma que presumir a equiparação feminina neste aspecto pode ser arriscado. Do contrário, o que é adjetivado de praticidade técnica pode dar ensejo a um prejuízo irremediável no acesso à justiça da mulher que ainda se encontre em posição desvantajosa.</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Referências bibliográficas</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ALVIM, Arruda. </w:t>
      </w:r>
      <w:r>
        <w:rPr>
          <w:rFonts w:ascii="Times New Roman" w:hAnsi="Times New Roman" w:cs="Times New Roman" w:eastAsia="Times New Roman"/>
          <w:i/>
          <w:color w:val="auto"/>
          <w:spacing w:val="0"/>
          <w:position w:val="0"/>
          <w:sz w:val="24"/>
          <w:shd w:fill="auto" w:val="clear"/>
        </w:rPr>
        <w:t xml:space="preserve">Manual de direito processual civil, vol. 1: parte geral.</w:t>
      </w:r>
      <w:r>
        <w:rPr>
          <w:rFonts w:ascii="Times New Roman" w:hAnsi="Times New Roman" w:cs="Times New Roman" w:eastAsia="Times New Roman"/>
          <w:color w:val="auto"/>
          <w:spacing w:val="0"/>
          <w:position w:val="0"/>
          <w:sz w:val="24"/>
          <w:shd w:fill="auto" w:val="clear"/>
        </w:rPr>
        <w:t xml:space="preserve"> 8. ed. São Paulo: RT, 2003.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CAHALI, Francisco José. Efeitos não patrimoniais da união estável </w:t>
      </w:r>
      <w:r>
        <w:rPr>
          <w:rFonts w:ascii="Times New Roman" w:hAnsi="Times New Roman" w:cs="Times New Roman" w:eastAsia="Times New Roman"/>
          <w:i/>
          <w:color w:val="auto"/>
          <w:spacing w:val="0"/>
          <w:position w:val="0"/>
          <w:sz w:val="24"/>
          <w:shd w:fill="auto" w:val="clear"/>
        </w:rPr>
        <w:t xml:space="preserve">In Repertório de jurisprudência e doutrina sobre direito de família: aspectos constitucionais, civis e processuais. Vol. 2.</w:t>
      </w:r>
      <w:r>
        <w:rPr>
          <w:rFonts w:ascii="Times New Roman" w:hAnsi="Times New Roman" w:cs="Times New Roman" w:eastAsia="Times New Roman"/>
          <w:color w:val="auto"/>
          <w:spacing w:val="0"/>
          <w:position w:val="0"/>
          <w:sz w:val="24"/>
          <w:shd w:fill="auto" w:val="clear"/>
        </w:rPr>
        <w:t xml:space="preserve"> São Paulo: RT, 1995.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CARNEIRO, Athos Gusmão. </w:t>
      </w:r>
      <w:r>
        <w:rPr>
          <w:rFonts w:ascii="Times New Roman" w:hAnsi="Times New Roman" w:cs="Times New Roman" w:eastAsia="Times New Roman"/>
          <w:i/>
          <w:color w:val="auto"/>
          <w:spacing w:val="0"/>
          <w:position w:val="0"/>
          <w:sz w:val="24"/>
          <w:shd w:fill="auto" w:val="clear"/>
        </w:rPr>
        <w:t xml:space="preserve">Jurisdição e competência: exposição didática: área do direito processual civil.</w:t>
      </w:r>
      <w:r>
        <w:rPr>
          <w:rFonts w:ascii="Times New Roman" w:hAnsi="Times New Roman" w:cs="Times New Roman" w:eastAsia="Times New Roman"/>
          <w:color w:val="auto"/>
          <w:spacing w:val="0"/>
          <w:position w:val="0"/>
          <w:sz w:val="24"/>
          <w:shd w:fill="auto" w:val="clear"/>
        </w:rPr>
        <w:t xml:space="preserve"> São Paulo: Saraiva, 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CALMON, Petrôneo (org.). </w:t>
      </w:r>
      <w:r>
        <w:rPr>
          <w:rFonts w:ascii="Times New Roman" w:hAnsi="Times New Roman" w:cs="Times New Roman" w:eastAsia="Times New Roman"/>
          <w:i/>
          <w:color w:val="auto"/>
          <w:spacing w:val="0"/>
          <w:position w:val="0"/>
          <w:sz w:val="24"/>
          <w:shd w:fill="auto" w:val="clear"/>
        </w:rPr>
        <w:t xml:space="preserve">Bases científicas para um renovado direito processual.</w:t>
      </w:r>
      <w:r>
        <w:rPr>
          <w:rFonts w:ascii="Times New Roman" w:hAnsi="Times New Roman" w:cs="Times New Roman" w:eastAsia="Times New Roman"/>
          <w:color w:val="auto"/>
          <w:spacing w:val="0"/>
          <w:position w:val="0"/>
          <w:sz w:val="24"/>
          <w:shd w:fill="auto" w:val="clear"/>
        </w:rPr>
        <w:t xml:space="preserve"> 2. ed. Salvador: JusPODIUM,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GARBI, Carlos Alberto. Igualdade entre os cônjuges – as principais alterações após a Constituição Federal de 1988 </w:t>
      </w:r>
      <w:r>
        <w:rPr>
          <w:rFonts w:ascii="Times New Roman" w:hAnsi="Times New Roman" w:cs="Times New Roman" w:eastAsia="Times New Roman"/>
          <w:i/>
          <w:color w:val="auto"/>
          <w:spacing w:val="0"/>
          <w:position w:val="0"/>
          <w:sz w:val="24"/>
          <w:shd w:fill="auto" w:val="clear"/>
        </w:rPr>
        <w:t xml:space="preserve">In Revista dos Tribunais, vol. 746.</w:t>
      </w:r>
      <w:r>
        <w:rPr>
          <w:rFonts w:ascii="Times New Roman" w:hAnsi="Times New Roman" w:cs="Times New Roman" w:eastAsia="Times New Roman"/>
          <w:color w:val="auto"/>
          <w:spacing w:val="0"/>
          <w:position w:val="0"/>
          <w:sz w:val="24"/>
          <w:shd w:fill="auto" w:val="clear"/>
        </w:rPr>
        <w:t xml:space="preserve"> Ano 86, Dez/97. p. 36-55.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GONÇALVES, Marcus Vinícius Rios. </w:t>
      </w:r>
      <w:r>
        <w:rPr>
          <w:rFonts w:ascii="Times New Roman" w:hAnsi="Times New Roman" w:cs="Times New Roman" w:eastAsia="Times New Roman"/>
          <w:i/>
          <w:color w:val="auto"/>
          <w:spacing w:val="0"/>
          <w:position w:val="0"/>
          <w:sz w:val="24"/>
          <w:shd w:fill="auto" w:val="clear"/>
        </w:rPr>
        <w:t xml:space="preserve">Novo curso de direito processual civil, vol. 1.</w:t>
      </w:r>
      <w:r>
        <w:rPr>
          <w:rFonts w:ascii="Times New Roman" w:hAnsi="Times New Roman" w:cs="Times New Roman" w:eastAsia="Times New Roman"/>
          <w:color w:val="auto"/>
          <w:spacing w:val="0"/>
          <w:position w:val="0"/>
          <w:sz w:val="24"/>
          <w:shd w:fill="auto" w:val="clear"/>
        </w:rPr>
        <w:t xml:space="preserve"> São Paulo: Saraiva, 2004.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MARINONI, Luiz Guilherme; MITIDIERO, Daniel.</w:t>
      </w:r>
      <w:r>
        <w:rPr>
          <w:rFonts w:ascii="Times New Roman" w:hAnsi="Times New Roman" w:cs="Times New Roman" w:eastAsia="Times New Roman"/>
          <w:i/>
          <w:color w:val="auto"/>
          <w:spacing w:val="0"/>
          <w:position w:val="0"/>
          <w:sz w:val="24"/>
          <w:shd w:fill="auto" w:val="clear"/>
        </w:rPr>
        <w:t xml:space="preserve"> Código de processo civil comentado artigo por artigo.</w:t>
      </w:r>
      <w:r>
        <w:rPr>
          <w:rFonts w:ascii="Times New Roman" w:hAnsi="Times New Roman" w:cs="Times New Roman" w:eastAsia="Times New Roman"/>
          <w:color w:val="auto"/>
          <w:spacing w:val="0"/>
          <w:position w:val="0"/>
          <w:sz w:val="24"/>
          <w:shd w:fill="auto" w:val="clear"/>
        </w:rPr>
        <w:t xml:space="preserve"> São Paulo: RT, 2008.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MARQUES, José Frederico. </w:t>
      </w:r>
      <w:r>
        <w:rPr>
          <w:rFonts w:ascii="Times New Roman" w:hAnsi="Times New Roman" w:cs="Times New Roman" w:eastAsia="Times New Roman"/>
          <w:i/>
          <w:color w:val="auto"/>
          <w:spacing w:val="0"/>
          <w:position w:val="0"/>
          <w:sz w:val="24"/>
          <w:shd w:fill="auto" w:val="clear"/>
        </w:rPr>
        <w:t xml:space="preserve">Instituições de direito processual civil, vol. 1.</w:t>
      </w:r>
      <w:r>
        <w:rPr>
          <w:rFonts w:ascii="Times New Roman" w:hAnsi="Times New Roman" w:cs="Times New Roman" w:eastAsia="Times New Roman"/>
          <w:color w:val="auto"/>
          <w:spacing w:val="0"/>
          <w:position w:val="0"/>
          <w:sz w:val="24"/>
          <w:shd w:fill="auto" w:val="clear"/>
        </w:rPr>
        <w:t xml:space="preserve"> Campinas/SP: Millenium, 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MELLO, Celso Antônio Bandeira de. </w:t>
      </w:r>
      <w:r>
        <w:rPr>
          <w:rFonts w:ascii="Times New Roman" w:hAnsi="Times New Roman" w:cs="Times New Roman" w:eastAsia="Times New Roman"/>
          <w:i/>
          <w:color w:val="auto"/>
          <w:spacing w:val="0"/>
          <w:position w:val="0"/>
          <w:sz w:val="24"/>
          <w:shd w:fill="auto" w:val="clear"/>
        </w:rPr>
        <w:t xml:space="preserve">O conteúdo jurídico do princípio da igualdade.</w:t>
      </w:r>
      <w:r>
        <w:rPr>
          <w:rFonts w:ascii="Times New Roman" w:hAnsi="Times New Roman" w:cs="Times New Roman" w:eastAsia="Times New Roman"/>
          <w:color w:val="auto"/>
          <w:spacing w:val="0"/>
          <w:position w:val="0"/>
          <w:sz w:val="24"/>
          <w:shd w:fill="auto" w:val="clear"/>
        </w:rPr>
        <w:t xml:space="preserve"> 3. Ed. São Paulo: Malheiros, 1995-1999.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NEGRÃO, Theotonio; GOUVÊA, José Roberto Ferreira; BONDIOLI, Luis Guilherme Aidar. </w:t>
      </w:r>
      <w:r>
        <w:rPr>
          <w:rFonts w:ascii="Times New Roman" w:hAnsi="Times New Roman" w:cs="Times New Roman" w:eastAsia="Times New Roman"/>
          <w:i/>
          <w:color w:val="auto"/>
          <w:spacing w:val="0"/>
          <w:position w:val="0"/>
          <w:sz w:val="24"/>
          <w:shd w:fill="auto" w:val="clear"/>
        </w:rPr>
        <w:t xml:space="preserve">Código de processo civil e legislação processual em vigor.</w:t>
      </w:r>
      <w:r>
        <w:rPr>
          <w:rFonts w:ascii="Times New Roman" w:hAnsi="Times New Roman" w:cs="Times New Roman" w:eastAsia="Times New Roman"/>
          <w:color w:val="auto"/>
          <w:spacing w:val="0"/>
          <w:position w:val="0"/>
          <w:sz w:val="24"/>
          <w:shd w:fill="auto" w:val="clear"/>
        </w:rPr>
        <w:t xml:space="preserve"> 42. ed. São Paulo: Saraiva,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NERY JUNIOR, Nelson; NERY, Rosa Maria de Andrade. </w:t>
      </w:r>
      <w:r>
        <w:rPr>
          <w:rFonts w:ascii="Times New Roman" w:hAnsi="Times New Roman" w:cs="Times New Roman" w:eastAsia="Times New Roman"/>
          <w:i/>
          <w:color w:val="auto"/>
          <w:spacing w:val="0"/>
          <w:position w:val="0"/>
          <w:sz w:val="24"/>
          <w:shd w:fill="auto" w:val="clear"/>
        </w:rPr>
        <w:t xml:space="preserve">Código de processo civil comentado e legislação extravagante.</w:t>
      </w:r>
      <w:r>
        <w:rPr>
          <w:rFonts w:ascii="Times New Roman" w:hAnsi="Times New Roman" w:cs="Times New Roman" w:eastAsia="Times New Roman"/>
          <w:color w:val="auto"/>
          <w:spacing w:val="0"/>
          <w:position w:val="0"/>
          <w:sz w:val="24"/>
          <w:shd w:fill="auto" w:val="clear"/>
        </w:rPr>
        <w:t xml:space="preserve"> 9. ed. São Paulo: RT, 2006.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PINHO, Leda de Oliveira. </w:t>
      </w:r>
      <w:r>
        <w:rPr>
          <w:rFonts w:ascii="Times New Roman" w:hAnsi="Times New Roman" w:cs="Times New Roman" w:eastAsia="Times New Roman"/>
          <w:i/>
          <w:color w:val="auto"/>
          <w:spacing w:val="0"/>
          <w:position w:val="0"/>
          <w:sz w:val="24"/>
          <w:shd w:fill="auto" w:val="clear"/>
        </w:rPr>
        <w:t xml:space="preserve">Princípio da igualdade: investigação na perspectiva de gênero.</w:t>
      </w:r>
      <w:r>
        <w:rPr>
          <w:rFonts w:ascii="Times New Roman" w:hAnsi="Times New Roman" w:cs="Times New Roman" w:eastAsia="Times New Roman"/>
          <w:color w:val="auto"/>
          <w:spacing w:val="0"/>
          <w:position w:val="0"/>
          <w:sz w:val="24"/>
          <w:shd w:fill="auto" w:val="clear"/>
        </w:rPr>
        <w:t xml:space="preserve"> Porto Alegre: Fabris, 2005.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PIZZOL, Patrícia Miranda. </w:t>
      </w:r>
      <w:r>
        <w:rPr>
          <w:rFonts w:ascii="Times New Roman" w:hAnsi="Times New Roman" w:cs="Times New Roman" w:eastAsia="Times New Roman"/>
          <w:i/>
          <w:color w:val="auto"/>
          <w:spacing w:val="0"/>
          <w:position w:val="0"/>
          <w:sz w:val="24"/>
          <w:shd w:fill="auto" w:val="clear"/>
        </w:rPr>
        <w:t xml:space="preserve">A competência no processo civil.</w:t>
      </w:r>
      <w:r>
        <w:rPr>
          <w:rFonts w:ascii="Times New Roman" w:hAnsi="Times New Roman" w:cs="Times New Roman" w:eastAsia="Times New Roman"/>
          <w:color w:val="auto"/>
          <w:spacing w:val="0"/>
          <w:position w:val="0"/>
          <w:sz w:val="24"/>
          <w:shd w:fill="auto" w:val="clear"/>
        </w:rPr>
        <w:t xml:space="preserve"> São Paulo: RT, 2003.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Moacyr Amaral. </w:t>
      </w:r>
      <w:r>
        <w:rPr>
          <w:rFonts w:ascii="Times New Roman" w:hAnsi="Times New Roman" w:cs="Times New Roman" w:eastAsia="Times New Roman"/>
          <w:i/>
          <w:color w:val="auto"/>
          <w:spacing w:val="0"/>
          <w:position w:val="0"/>
          <w:sz w:val="24"/>
          <w:shd w:fill="auto" w:val="clear"/>
        </w:rPr>
        <w:t xml:space="preserve">Primeiras linhas de direito processual civil, vol. 1.</w:t>
      </w:r>
      <w:r>
        <w:rPr>
          <w:rFonts w:ascii="Times New Roman" w:hAnsi="Times New Roman" w:cs="Times New Roman" w:eastAsia="Times New Roman"/>
          <w:color w:val="auto"/>
          <w:spacing w:val="0"/>
          <w:position w:val="0"/>
          <w:sz w:val="24"/>
          <w:shd w:fill="auto" w:val="clear"/>
        </w:rPr>
        <w:t xml:space="preserve"> 25. ed. São Paulo: Saraiva, 2007.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Sandro Schmitz dos. A mulher e o direito internacional: um estudo sobre a realidade das mulheres na atualidade internacional </w:t>
      </w:r>
      <w:r>
        <w:rPr>
          <w:rFonts w:ascii="Times New Roman" w:hAnsi="Times New Roman" w:cs="Times New Roman" w:eastAsia="Times New Roman"/>
          <w:i/>
          <w:color w:val="auto"/>
          <w:spacing w:val="0"/>
          <w:position w:val="0"/>
          <w:sz w:val="24"/>
          <w:shd w:fill="auto" w:val="clear"/>
        </w:rPr>
        <w:t xml:space="preserve">In Revista Jurídica, vol. 330.</w:t>
      </w:r>
      <w:r>
        <w:rPr>
          <w:rFonts w:ascii="Times New Roman" w:hAnsi="Times New Roman" w:cs="Times New Roman" w:eastAsia="Times New Roman"/>
          <w:color w:val="auto"/>
          <w:spacing w:val="0"/>
          <w:position w:val="0"/>
          <w:sz w:val="24"/>
          <w:shd w:fill="auto" w:val="clear"/>
        </w:rPr>
        <w:t xml:space="preserve"> Ano 53, Abril/2005. p. 69-75.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SENADO FEDERAL. </w:t>
      </w:r>
      <w:hyperlink xmlns:r="http://schemas.openxmlformats.org/officeDocument/2006/relationships" r:id="docRId131">
        <w:r>
          <w:rPr>
            <w:rFonts w:ascii="Times New Roman" w:hAnsi="Times New Roman" w:cs="Times New Roman" w:eastAsia="Times New Roman"/>
            <w:color w:val="0000FF"/>
            <w:spacing w:val="0"/>
            <w:position w:val="0"/>
            <w:sz w:val="24"/>
            <w:u w:val="single"/>
            <w:shd w:fill="auto" w:val="clear"/>
          </w:rPr>
          <w:t xml:space="preserve">http://www.senado.gov.br/senado/novocpc/pdf/Anteprojeto.pdf</w:t>
        </w:r>
      </w:hyperlink>
      <w:r>
        <w:rPr>
          <w:rFonts w:ascii="Times New Roman" w:hAnsi="Times New Roman" w:cs="Times New Roman" w:eastAsia="Times New Roman"/>
          <w:color w:val="auto"/>
          <w:spacing w:val="0"/>
          <w:position w:val="0"/>
          <w:sz w:val="24"/>
          <w:shd w:fill="auto" w:val="clear"/>
        </w:rPr>
        <w:t xml:space="preserve">. Acesso em 13 de setembro de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VADE MECUM RT. 5. ed. São Paulo: RT, 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Sobre o Fim do Foro Privilegiado da Mulher para as Ações de Divórcio e de Anulação do Casamento: inconstitucionalidade à vista no Novo Código de Processo Civil?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(About the End of the Privileged Territorial Competence of Woman to Action of Divorce and Annulment of Marriage: unconstitutionality in the New Code of Civil Procedure?)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Rafael José Nadim de LAZARI</w:t>
      </w:r>
      <w:r>
        <w:rPr>
          <w:rFonts w:ascii="Times New Roman" w:hAnsi="Times New Roman" w:cs="Times New Roman" w:eastAsia="Times New Roman"/>
          <w:color w:val="auto"/>
          <w:spacing w:val="0"/>
          <w:position w:val="0"/>
          <w:sz w:val="24"/>
          <w:shd w:fill="auto" w:val="clear"/>
          <w:vertAlign w:val="superscript"/>
        </w:rPr>
        <w:t xml:space="preserve">I</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Gelson Amaro de SOUZA</w:t>
      </w:r>
      <w:r>
        <w:rPr>
          <w:rFonts w:ascii="Times New Roman" w:hAnsi="Times New Roman" w:cs="Times New Roman" w:eastAsia="Times New Roman"/>
          <w:color w:val="auto"/>
          <w:spacing w:val="0"/>
          <w:position w:val="0"/>
          <w:sz w:val="24"/>
          <w:shd w:fill="auto" w:val="clear"/>
          <w:vertAlign w:val="superscript"/>
        </w:rPr>
        <w:t xml:space="preserve">II</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 </w:t>
      </w:r>
      <w:r>
        <w:rPr>
          <w:rFonts w:ascii="Times New Roman" w:hAnsi="Times New Roman" w:cs="Times New Roman" w:eastAsia="Times New Roman"/>
          <w:color w:val="auto"/>
          <w:spacing w:val="0"/>
          <w:position w:val="0"/>
          <w:sz w:val="24"/>
          <w:shd w:fill="auto" w:val="clear"/>
        </w:rPr>
        <w:t xml:space="preserve">Através dos métodos lógico, dedutivo, comparativo e histórico, o presente trabalho tenciona debater acerca da evolução (ou involução) do foro privilegiado da mulher para as ações de divórcio e de anulação do casamento. Neste processo, impossível será contornar a regulamentação da epigrafada regra de competência nos Códigos de Processo pátrios de 1939 e 1973, até a culminação de um Novo CPC, ainda em discussão para aprovação, que a abole. Ato contínuo, será realizada análise da constitucionalidade do instituto à luz axiomática da igualdade substancial entre homem e mulher e, por fim, será emitida opinião conglobada com proposta de solução ao problema.</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Abstract: </w:t>
      </w:r>
      <w:r>
        <w:rPr>
          <w:rFonts w:ascii="Times New Roman" w:hAnsi="Times New Roman" w:cs="Times New Roman" w:eastAsia="Times New Roman"/>
          <w:color w:val="auto"/>
          <w:spacing w:val="0"/>
          <w:position w:val="0"/>
          <w:sz w:val="24"/>
          <w:shd w:fill="auto" w:val="clear"/>
        </w:rPr>
        <w:t xml:space="preserve">Through methods logical, deductive, comparative and historical, this text intends to discuss the evolution (or involution) of the privileged territorial competence of woman to actions of divorce and annulment of marriage. In this process, will be impossible circumvent the regulations of this rule in the Procedure Codes of 1939 and 1973, until the culmination of a New CPC, still under discussion for approval, which abolishes this rule. Immediately thereafter, will be realized an analysis of the constitutionality of the institute in the light of axiomatic substantial equality between man and woman and, finally, will be given an opinion with proposed solution to the problem.</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 </w:t>
      </w:r>
      <w:r>
        <w:rPr>
          <w:rFonts w:ascii="Times New Roman" w:hAnsi="Times New Roman" w:cs="Times New Roman" w:eastAsia="Times New Roman"/>
          <w:color w:val="auto"/>
          <w:spacing w:val="0"/>
          <w:position w:val="0"/>
          <w:sz w:val="24"/>
          <w:shd w:fill="auto" w:val="clear"/>
        </w:rPr>
        <w:t xml:space="preserve">Foro privilegiado da mulher. Divórcio e anulação de casamento. Novo Código de Processo Civil. Igualdade de gênero. </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Key-words: </w:t>
      </w:r>
      <w:r>
        <w:rPr>
          <w:rFonts w:ascii="Times New Roman" w:hAnsi="Times New Roman" w:cs="Times New Roman" w:eastAsia="Times New Roman"/>
          <w:color w:val="auto"/>
          <w:spacing w:val="0"/>
          <w:position w:val="0"/>
          <w:sz w:val="24"/>
          <w:shd w:fill="auto" w:val="clear"/>
        </w:rPr>
        <w:t xml:space="preserve">Privileged territorial competence of woman. Divorce and annulment of marriage. New Code of Civil Procedure. Gender equality.</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Sumário: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Linhas prolegominais; 2. Aspectos formais do foro privilegiado da mulher para as ações de divórcio e anulação do casamento; 3. Sobre a constitucionalidade deste foro e sobre a validade do novo regramento no Código de Processo Civil em elaboração; 4. Linhas derradeiras: proposta em prol de um entendimento; 5. Referências bibliográficas.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Summary: </w:t>
      </w:r>
      <w:r>
        <w:rPr>
          <w:rFonts w:ascii="Times New Roman" w:hAnsi="Times New Roman" w:cs="Times New Roman" w:eastAsia="Times New Roman"/>
          <w:color w:val="auto"/>
          <w:spacing w:val="0"/>
          <w:position w:val="0"/>
          <w:sz w:val="24"/>
          <w:shd w:fill="auto" w:val="clear"/>
        </w:rPr>
        <w:t xml:space="preserve">1. First lines; 2. Formal aspects of the privileged territorial competence of woman to actions of divorce and annulment of marriage; 3. About the constitutionality this territorial competence and about the validity of the new rule of Code Civil Procedure in preparation; 4. Last lines: proposal by understanding; 5. Bibliography references.</w:t>
      </w: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Linhas prolegominais</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Discutir competência, em suas múltiplas parcelas e limites jurisdicionais, e seja qual for o ramo do Direito, é, sobretudo, tentar enfrentar com honestidade a complexidade do tema. São regras cheias de exceções, e o que é relativo pode tornar-se absoluto num “passe de mágica”, a depender de nuanças quase imperceptíveis a um olhar desatento. Ademais, </w:t>
      </w:r>
      <w:r>
        <w:rPr>
          <w:rFonts w:ascii="Times New Roman" w:hAnsi="Times New Roman" w:cs="Times New Roman" w:eastAsia="Times New Roman"/>
          <w:i/>
          <w:color w:val="auto"/>
          <w:spacing w:val="0"/>
          <w:position w:val="0"/>
          <w:sz w:val="24"/>
          <w:shd w:fill="auto" w:val="clear"/>
        </w:rPr>
        <w:t xml:space="preserve">in casu</w:t>
      </w:r>
      <w:r>
        <w:rPr>
          <w:rFonts w:ascii="Times New Roman" w:hAnsi="Times New Roman" w:cs="Times New Roman" w:eastAsia="Times New Roman"/>
          <w:color w:val="auto"/>
          <w:spacing w:val="0"/>
          <w:position w:val="0"/>
          <w:sz w:val="24"/>
          <w:shd w:fill="auto" w:val="clear"/>
        </w:rPr>
        <w:t xml:space="preserve">, se o leitor procura um texto, ávido por solucionar dúvidas pontuais daquela que é o conteúdo organizacional das atividades do Estado-juiz, deve saber, antes, que o autor também já foi ignorante no assunto, mas que agora tenta compartilhar do pouco que aprendeu em sua pesquisa. São desses pequenos passos de ousadia que o conhecimento irradia.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 mais circunlóquios, este artigo trata de futuro e, pasme, de “pós-futuro”. Trata de futuro porque se recusa a falar da “ação de separação” e da “conversão desta em divórcio” (art. 100, I, CPC), já que se amolda à Emenda Constitucional nº 66/2010, que alterou o art. 226, §6º, CF, e que estabeleceu o que usualmente se está chamando de “divórcio direto”. Trata também de “pós-futuro”, pois vai discutir regra presente em codificação que sequer em vigor está, a saber, o “Novo” Código de Processo Civil (que, por sinal, também já se equivoca ao repetir a “ação de separação” e sua “conversão em divórcio”).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convém a indagação preliminar: então porque discutir sobre algo que ainda não está vigorante? Um pessimista chamaria isso de conduta apressada. Um otimista, como é o caso deste autor, diria que é o momento mais adequado para se discutir o problema. Até porque o “Novo” CPC (ou Código de “Fux”, para distingui-lo do atual Código de “Buzaid”) ainda está em pauta de discussões, após a entrega do Anteprojeto pela Comissão de Juristas nomeada (Ato do Presidente do Senado Federal nº 379/09) para elaborá-lo, o que originou o PLS nº 166/10. Portanto, se há alguma consideração imperiosa a ser feita, o momento mais oportuno para alterar a lei é agora, enquanto ela ainda não adentrou o ordenamento jurídico e nem em “</w:t>
      </w:r>
      <w:r>
        <w:rPr>
          <w:rFonts w:ascii="Times New Roman" w:hAnsi="Times New Roman" w:cs="Times New Roman" w:eastAsia="Times New Roman"/>
          <w:i/>
          <w:color w:val="auto"/>
          <w:spacing w:val="0"/>
          <w:position w:val="0"/>
          <w:sz w:val="24"/>
          <w:shd w:fill="auto" w:val="clear"/>
        </w:rPr>
        <w:t xml:space="preserve">vacatio legis</w:t>
      </w:r>
      <w:r>
        <w:rPr>
          <w:rFonts w:ascii="Times New Roman" w:hAnsi="Times New Roman" w:cs="Times New Roman" w:eastAsia="Times New Roman"/>
          <w:color w:val="auto"/>
          <w:spacing w:val="0"/>
          <w:position w:val="0"/>
          <w:sz w:val="24"/>
          <w:shd w:fill="auto" w:val="clear"/>
        </w:rPr>
        <w:t xml:space="preserve">” se encontra (é o momento para se adequar o “Novo” CPC ao divórcio direto, </w:t>
      </w:r>
      <w:r>
        <w:rPr>
          <w:rFonts w:ascii="Times New Roman" w:hAnsi="Times New Roman" w:cs="Times New Roman" w:eastAsia="Times New Roman"/>
          <w:i/>
          <w:color w:val="auto"/>
          <w:spacing w:val="0"/>
          <w:position w:val="0"/>
          <w:sz w:val="24"/>
          <w:shd w:fill="auto" w:val="clear"/>
        </w:rPr>
        <w:t xml:space="preserve">p. ex.</w:t>
      </w:r>
      <w:r>
        <w:rPr>
          <w:rFonts w:ascii="Times New Roman" w:hAnsi="Times New Roman" w:cs="Times New Roman" w:eastAsia="Times New Roman"/>
          <w:color w:val="auto"/>
          <w:spacing w:val="0"/>
          <w:position w:val="0"/>
          <w:sz w:val="24"/>
          <w:shd w:fill="auto" w:val="clear"/>
        </w:rPr>
        <w:t xml:space="preserv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que está em debate é a regra de competência relativa territorial – prorrogável, portanto – pela qual é garantido à mulher o foro privilegiado de sua residência (e não de seu domicílio) nas ações de divórcio e de anulação de casamento (art. 100, I, CPC), num benefício procedimental análogo ao aplicado no subsequente inciso II, do art. 100, CPC (e que é mantido intocado no “Novo” CPC, no art. 38, II) para o alimentando nas ações em que se pedem alimentos.</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Sempre se disse que tais dispositivos foram inseridos pelo legislador com fito de proteger dois dos atores historicamente mais fracos (a eterna busca pela igualdade substancial) e juridicamente vulneráveis na demanda, quais sejam, a mulher (inciso I) e o alimentando (inciso II). Por critério de afunilamento do tema, só se trabalhará com o primeiro caso, até por ser, naturalmente, o mais polêmico.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é polêmico porque o CPC em vigor é de 1973, o art. 100, I, tem redação determinada pela Lei nº 6.515, de 1977, e, com a promulgação da Constituição Federal pós-ditatorial, em 1988, dispôs-se no art. 5º, </w:t>
      </w:r>
      <w:r>
        <w:rPr>
          <w:rFonts w:ascii="Times New Roman" w:hAnsi="Times New Roman" w:cs="Times New Roman" w:eastAsia="Times New Roman"/>
          <w:i/>
          <w:color w:val="auto"/>
          <w:spacing w:val="0"/>
          <w:position w:val="0"/>
          <w:sz w:val="24"/>
          <w:shd w:fill="auto" w:val="clear"/>
        </w:rPr>
        <w:t xml:space="preserve">caput</w:t>
      </w:r>
      <w:r>
        <w:rPr>
          <w:rFonts w:ascii="Times New Roman" w:hAnsi="Times New Roman" w:cs="Times New Roman" w:eastAsia="Times New Roman"/>
          <w:color w:val="auto"/>
          <w:spacing w:val="0"/>
          <w:position w:val="0"/>
          <w:sz w:val="24"/>
          <w:shd w:fill="auto" w:val="clear"/>
        </w:rPr>
        <w:t xml:space="preserve">, da Lei Maior, que “todos são iguais perante a lei, </w:t>
      </w:r>
      <w:r>
        <w:rPr>
          <w:rFonts w:ascii="Times New Roman" w:hAnsi="Times New Roman" w:cs="Times New Roman" w:eastAsia="Times New Roman"/>
          <w:i/>
          <w:color w:val="auto"/>
          <w:spacing w:val="0"/>
          <w:position w:val="0"/>
          <w:sz w:val="24"/>
          <w:shd w:fill="auto" w:val="clear"/>
        </w:rPr>
        <w:t xml:space="preserve">sem distinção de qualquer natureza</w:t>
      </w:r>
      <w:r>
        <w:rPr>
          <w:rFonts w:ascii="Times New Roman" w:hAnsi="Times New Roman" w:cs="Times New Roman" w:eastAsia="Times New Roman"/>
          <w:color w:val="auto"/>
          <w:spacing w:val="0"/>
          <w:position w:val="0"/>
          <w:sz w:val="24"/>
          <w:shd w:fill="auto" w:val="clear"/>
        </w:rPr>
        <w:t xml:space="preserve">” (grifei); no inciso I, do art. 5º, que “homens e mulheres são </w:t>
      </w:r>
      <w:r>
        <w:rPr>
          <w:rFonts w:ascii="Times New Roman" w:hAnsi="Times New Roman" w:cs="Times New Roman" w:eastAsia="Times New Roman"/>
          <w:i/>
          <w:color w:val="auto"/>
          <w:spacing w:val="0"/>
          <w:position w:val="0"/>
          <w:sz w:val="24"/>
          <w:shd w:fill="auto" w:val="clear"/>
        </w:rPr>
        <w:t xml:space="preserve">iguais em direitos</w:t>
      </w:r>
      <w:r>
        <w:rPr>
          <w:rFonts w:ascii="Times New Roman" w:hAnsi="Times New Roman" w:cs="Times New Roman" w:eastAsia="Times New Roman"/>
          <w:color w:val="auto"/>
          <w:spacing w:val="0"/>
          <w:position w:val="0"/>
          <w:sz w:val="24"/>
          <w:shd w:fill="auto" w:val="clear"/>
        </w:rPr>
        <w:t xml:space="preserve"> e obrigações” (grifei); e no art. 226, §5º, que “os direitos e deveres referentes à sociedade conjugal são exercidos </w:t>
      </w:r>
      <w:r>
        <w:rPr>
          <w:rFonts w:ascii="Times New Roman" w:hAnsi="Times New Roman" w:cs="Times New Roman" w:eastAsia="Times New Roman"/>
          <w:i/>
          <w:color w:val="auto"/>
          <w:spacing w:val="0"/>
          <w:position w:val="0"/>
          <w:sz w:val="24"/>
          <w:shd w:fill="auto" w:val="clear"/>
        </w:rPr>
        <w:t xml:space="preserve">igualmente</w:t>
      </w:r>
      <w:r>
        <w:rPr>
          <w:rFonts w:ascii="Times New Roman" w:hAnsi="Times New Roman" w:cs="Times New Roman" w:eastAsia="Times New Roman"/>
          <w:color w:val="auto"/>
          <w:spacing w:val="0"/>
          <w:position w:val="0"/>
          <w:sz w:val="24"/>
          <w:shd w:fill="auto" w:val="clear"/>
        </w:rPr>
        <w:t xml:space="preserve"> pelo homem e pela mulher” (grifei).</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imediato, questionou-se o dispositivo previsto na Lei Adjetiva, que colocava a mulher em posição preferencial numa eventual peleja judicial, sob argumento de que isso feriria a nova ordem constitucional, a qual, enfim, equiparava homem e mulher, e que, somente a Constituição pode fazer distinções (como fá-lo, a título ilustrativo, ao privar a mulher do serviço militar em tempos de paz, conforme o art. 143, §2º); logo, não o tendo feito, não poderia o Código de Processo Civil, de cunho </w:t>
      </w:r>
      <w:r>
        <w:rPr>
          <w:rFonts w:ascii="Times New Roman" w:hAnsi="Times New Roman" w:cs="Times New Roman" w:eastAsia="Times New Roman"/>
          <w:i/>
          <w:color w:val="auto"/>
          <w:spacing w:val="0"/>
          <w:position w:val="0"/>
          <w:sz w:val="24"/>
          <w:shd w:fill="auto" w:val="clear"/>
        </w:rPr>
        <w:t xml:space="preserve">infra</w:t>
      </w:r>
      <w:r>
        <w:rPr>
          <w:rFonts w:ascii="Times New Roman" w:hAnsi="Times New Roman" w:cs="Times New Roman" w:eastAsia="Times New Roman"/>
          <w:color w:val="auto"/>
          <w:spacing w:val="0"/>
          <w:position w:val="0"/>
          <w:sz w:val="24"/>
          <w:shd w:fill="auto" w:val="clear"/>
        </w:rPr>
        <w:t xml:space="preserve">constitucional – portanto, abaixo da pirâmide normativa </w:t>
      </w:r>
      <w:r>
        <w:rPr>
          <w:rFonts w:ascii="Times New Roman" w:hAnsi="Times New Roman" w:cs="Times New Roman" w:eastAsia="Times New Roman"/>
          <w:i/>
          <w:color w:val="auto"/>
          <w:spacing w:val="0"/>
          <w:position w:val="0"/>
          <w:sz w:val="24"/>
          <w:shd w:fill="auto" w:val="clear"/>
        </w:rPr>
        <w:t xml:space="preserve">kelseniana</w:t>
      </w:r>
      <w:r>
        <w:rPr>
          <w:rFonts w:ascii="Times New Roman" w:hAnsi="Times New Roman" w:cs="Times New Roman" w:eastAsia="Times New Roman"/>
          <w:color w:val="auto"/>
          <w:spacing w:val="0"/>
          <w:position w:val="0"/>
          <w:sz w:val="24"/>
          <w:shd w:fill="auto" w:val="clear"/>
        </w:rPr>
        <w:t xml:space="preserve"> -, fazê-lo.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isso já é assunto para o próximo tópico.</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Aspectos formais do foro privilegiado da mulher para as ações de divórcio e anulação do casamento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discussões que se extraem do art. 100, I, CPC são amplíssimas, passando, dentre outros, desde sua aplicação para os casos de união estável, até seu alcance às ações não elencadas em seu desatualizado rol (antes, “ação de separação dos cônjuges”, “conversão desta em divórcio” e “anulação do casamento”; agora, apenas “ação de divórcio” e “anulação de casamento”). Para que não incorramos no terrível defeito da omissão, convém o posicionamento por sua validade extensiva aos casos de convivência, mas por sua interpretação restritiva quanto à aplicação para outras espécies de ações.</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argumento para a primeira tomada de posição é simples, e reside no fundamento constitucional previsto no art. 226, §3º, que reconhece a união estável entre homem e mulher como “entidade familiar”, no art. 1.723 do Código Civil que “reconhece como entidade familiar a união estável entre homem e mulher com o objetivo de constituição de família”, e na regra prevista no art. 9º, Lei nº 9.278/96, que dispõe que “toda matéria relativa à união estável é de competência do juízo da Vara de Família, assegurado o segredo de justiça”.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para defender o segundo posicionamento, </w:t>
      </w:r>
      <w:r>
        <w:rPr>
          <w:rFonts w:ascii="Times New Roman" w:hAnsi="Times New Roman" w:cs="Times New Roman" w:eastAsia="Times New Roman"/>
          <w:i/>
          <w:color w:val="auto"/>
          <w:spacing w:val="0"/>
          <w:position w:val="0"/>
          <w:sz w:val="24"/>
          <w:shd w:fill="auto" w:val="clear"/>
        </w:rPr>
        <w:t xml:space="preserve">a savoir</w:t>
      </w:r>
      <w:r>
        <w:rPr>
          <w:rFonts w:ascii="Times New Roman" w:hAnsi="Times New Roman" w:cs="Times New Roman" w:eastAsia="Times New Roman"/>
          <w:color w:val="auto"/>
          <w:spacing w:val="0"/>
          <w:position w:val="0"/>
          <w:sz w:val="24"/>
          <w:shd w:fill="auto" w:val="clear"/>
        </w:rPr>
        <w:t xml:space="preserve">, aquele que prega a inaplicabilidade do inciso I para outras ações que não aquelas elencadas em seu exaustivo rol, o argumento é teleológico: sabe-se que o inciso I elenca um </w:t>
      </w:r>
      <w:r>
        <w:rPr>
          <w:rFonts w:ascii="Times New Roman" w:hAnsi="Times New Roman" w:cs="Times New Roman" w:eastAsia="Times New Roman"/>
          <w:i/>
          <w:color w:val="auto"/>
          <w:spacing w:val="0"/>
          <w:position w:val="0"/>
          <w:sz w:val="24"/>
          <w:shd w:fill="auto" w:val="clear"/>
        </w:rPr>
        <w:t xml:space="preserve">sujeito</w:t>
      </w:r>
      <w:r>
        <w:rPr>
          <w:rFonts w:ascii="Times New Roman" w:hAnsi="Times New Roman" w:cs="Times New Roman" w:eastAsia="Times New Roman"/>
          <w:color w:val="auto"/>
          <w:spacing w:val="0"/>
          <w:position w:val="0"/>
          <w:sz w:val="24"/>
          <w:shd w:fill="auto" w:val="clear"/>
        </w:rPr>
        <w:t xml:space="preserve"> (a mulher), e uma </w:t>
      </w:r>
      <w:r>
        <w:rPr>
          <w:rFonts w:ascii="Times New Roman" w:hAnsi="Times New Roman" w:cs="Times New Roman" w:eastAsia="Times New Roman"/>
          <w:i/>
          <w:color w:val="auto"/>
          <w:spacing w:val="0"/>
          <w:position w:val="0"/>
          <w:sz w:val="24"/>
          <w:shd w:fill="auto" w:val="clear"/>
        </w:rPr>
        <w:t xml:space="preserve">casuística</w:t>
      </w:r>
      <w:r>
        <w:rPr>
          <w:rFonts w:ascii="Times New Roman" w:hAnsi="Times New Roman" w:cs="Times New Roman" w:eastAsia="Times New Roman"/>
          <w:color w:val="auto"/>
          <w:spacing w:val="0"/>
          <w:position w:val="0"/>
          <w:sz w:val="24"/>
          <w:shd w:fill="auto" w:val="clear"/>
        </w:rPr>
        <w:t xml:space="preserve"> em que ela estará amparada (o divórcio e a anulação do casamento). Significa que sua proteção não se dá somente por ser mulher, mas por ser mulher vulnerável à espécie de ação que pode ajuizar. Ademais, por ser essa vulnerabilidade presumida, e por se tratar a previsão de competência relativa, nada impede que a mulher opte por promover ação na regra geral do art. 94, CPC. Sendo assim, agiu bem o legislador em não generalizar a mulher como sujeito privilegiado, pois, do contrário, caso não se opusesse eventual exceção de incompetência, esta se convalidaria, e toda mulher no polo de alguma ação seria fator determinante de competência. Seria impensável estender o benefício para que a mulher intentasse ação, como regra, em seu domicílio, em caso de acidente automobilístico, </w:t>
      </w:r>
      <w:r>
        <w:rPr>
          <w:rFonts w:ascii="Times New Roman" w:hAnsi="Times New Roman" w:cs="Times New Roman" w:eastAsia="Times New Roman"/>
          <w:i/>
          <w:color w:val="auto"/>
          <w:spacing w:val="0"/>
          <w:position w:val="0"/>
          <w:sz w:val="24"/>
          <w:shd w:fill="auto" w:val="clear"/>
        </w:rPr>
        <w:t xml:space="preserve">p. ex.</w:t>
      </w:r>
      <w:r>
        <w:rPr>
          <w:rFonts w:ascii="Times New Roman" w:hAnsi="Times New Roman" w:cs="Times New Roman" w:eastAsia="Times New Roman"/>
          <w:color w:val="auto"/>
          <w:spacing w:val="0"/>
          <w:position w:val="0"/>
          <w:sz w:val="24"/>
          <w:shd w:fill="auto" w:val="clear"/>
        </w:rPr>
        <w:t xml:space="preserve">, pois para casos como tais existem outras regras especiais de competência (no caso do exemplo, o art. 100, parágrafo único), ou então a “vala comum” do art. 94 da Lei Adjetiva.</w:t>
      </w:r>
    </w:p>
    <w:p>
      <w:pPr>
        <w:spacing w:before="0" w:after="120" w:line="360"/>
        <w:ind w:right="0" w:left="0" w:firstLine="141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Prosseguindo – e já chegando no real objetivo deste trabalho -, há que se observar a evolução do instituto procedimental de beneficiamento da mulher. No Código de Processo Civil de 1939, a regra era prevista da seguinte maneira:</w:t>
      </w:r>
    </w:p>
    <w:p>
      <w:pPr>
        <w:spacing w:before="10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142. Nas ações de desquite e de nulidade de casamento, será competente o foro da residência da mulher; nas de alimento, o do domicílio ou da residência do alimentando.</w:t>
      </w:r>
    </w:p>
    <w:p>
      <w:pPr>
        <w:spacing w:before="10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no Código de Buzaid, bipartiu-se o dispositivo anterior, colocando a mulher em um dispositivo e o alimentando em outro, ficando aquele que nos interessa da seguinte maneira:</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100. É competente o foro: I – da residência da mulher, para a ação de separação dos cônjuges e a conversão desta em divórcio, e para a anulação de casamento; [...]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advento da Constituição Federal de 1988, este inciso I foi alvo de celeuma doutrinária. Houve quem dissesse que o mesmo não havia sido recepcionado em razão dos dispositivos constitucionais que equipararam homem e mulher e que, do contrário, estar-se-ia ferindo o Princípio Constitucional da Igualdade de Gênero (ou da Isonomia). Felizmente, tal posição não prevaleceu, como se pode extrair das palavras de Nelson Nery Junior e Rosa Maria de Andrade Nery (2006, p. 308):</w:t>
      </w: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regra especial de competência dos incisos I e II do CPC 100 não fere o princípio constitucional da isonomia (CF 5.º, I), nem é incompatível com a igualdade dos cônjuges na condução da sociedade conjugal (CF 226) [...]. A hipótese é de tratar desigualmente partes desiguais, vale dizer, de discriminação justa, permitida pela CF 5.º, I [...]. No caso do CPC 100, I há presunção </w:t>
      </w:r>
      <w:r>
        <w:rPr>
          <w:rFonts w:ascii="Times New Roman" w:hAnsi="Times New Roman" w:cs="Times New Roman" w:eastAsia="Times New Roman"/>
          <w:i/>
          <w:color w:val="auto"/>
          <w:spacing w:val="0"/>
          <w:position w:val="0"/>
          <w:sz w:val="20"/>
          <w:shd w:fill="auto" w:val="clear"/>
        </w:rPr>
        <w:t xml:space="preserve">juris tantum</w:t>
      </w:r>
      <w:r>
        <w:rPr>
          <w:rFonts w:ascii="Times New Roman" w:hAnsi="Times New Roman" w:cs="Times New Roman" w:eastAsia="Times New Roman"/>
          <w:color w:val="auto"/>
          <w:spacing w:val="0"/>
          <w:position w:val="0"/>
          <w:sz w:val="20"/>
          <w:shd w:fill="auto" w:val="clear"/>
        </w:rPr>
        <w:t xml:space="preserve"> de que a parte débil é a mulher, presunção essa que pode ceder diante de prova em contrário, o que deverá ser feito pelo marido réu, por intermédio da oposição de exceção de incompetência, declinando o foro do seu (do réu) domicílio como o competente, em razão da inexistência da hipossuficiência da mulher.</w:t>
      </w:r>
    </w:p>
    <w:p>
      <w:pPr>
        <w:spacing w:before="0" w:after="120" w:line="240"/>
        <w:ind w:right="0" w:left="2268"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mesmo sentido, o entendimento de Marcus Vinícius Rios Gonçalves (2004, p. 67):</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dispositivo favorece a mulher, que se presume ter, ainda, mais dificuldade de acesso à justiça. E sobrevive mesmo à luz do princípio constitucional da isonomia, porque ainda existem fundadas razões para que a mulher mantenha o benefício. Como é notório, há ainda certas regiões do Brasil em que um regime patriarcal mais rigoroso dificulta o acesso da mulher ao Judiciário, mormente naquelas demandas em que a parte contrária é o próprio marido ou ex-marido. Daí, a razão para a permanência da regra.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Interessante é o posicionamento de Luiz Guilherme Marinoni e Daniel Mitidiero (2008, p. 162), que parecem sugerir ser o art. 100, I, do CPC uma espécie de norma constitucional em trânsito de inconstitucionalidade, a depender de fatores concretos e históricos, a exemplo do que acontece com o art. 68 do Código de Processo Penal:</w:t>
      </w:r>
    </w:p>
    <w:p>
      <w:pPr>
        <w:spacing w:before="0" w:after="0" w:line="24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art. 100, I, CPC, em tese, </w:t>
      </w:r>
      <w:r>
        <w:rPr>
          <w:rFonts w:ascii="Times New Roman" w:hAnsi="Times New Roman" w:cs="Times New Roman" w:eastAsia="Times New Roman"/>
          <w:i/>
          <w:color w:val="auto"/>
          <w:spacing w:val="0"/>
          <w:position w:val="0"/>
          <w:sz w:val="20"/>
          <w:shd w:fill="auto" w:val="clear"/>
        </w:rPr>
        <w:t xml:space="preserve">é ainda constitucional</w:t>
      </w:r>
      <w:r>
        <w:rPr>
          <w:rFonts w:ascii="Times New Roman" w:hAnsi="Times New Roman" w:cs="Times New Roman" w:eastAsia="Times New Roman"/>
          <w:color w:val="auto"/>
          <w:spacing w:val="0"/>
          <w:position w:val="0"/>
          <w:sz w:val="20"/>
          <w:shd w:fill="auto" w:val="clear"/>
        </w:rPr>
        <w:t xml:space="preserve">. Havendo efetiva igualdade entre homem e mulher, no entanto, tem de ser afastado no caso concreto, por inconstitucional (art. 5º, I, CRFB). Do contrário, verificando-se desigualdade entre os cônjuges, prevalece o foro da mulher. (grifei).</w:t>
      </w:r>
    </w:p>
    <w:p>
      <w:pPr>
        <w:spacing w:before="0" w:after="120" w:line="240"/>
        <w:ind w:right="0" w:left="2268" w:firstLine="0"/>
        <w:jc w:val="both"/>
        <w:rPr>
          <w:rFonts w:ascii="Times New Roman" w:hAnsi="Times New Roman" w:cs="Times New Roman" w:eastAsia="Times New Roman"/>
          <w:b/>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sintonia pela constitucionalidade do dispositivo, a jurisprudência pátria vinha acenando por sua normal aplicabilidade: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Competência. Ação de separação de corpos. Local da residência. Multa nos embargos de declaração. Precedentes da Corte. 1. Se ao ajuizar a ação a mulher estava residindo em Comarca diferente do domicílio conjugal, incide a regra do art. 100, I, do Código de Processo Civil, sendo competente o foro da residência da mulher no momento em que proposta a ação. [...] (REsp 193.104/RS, Rel. Ministro  CARLOS ALBERTO MENEZES DIREITO, TERCEIRA TURMA, julgado em 12/12/2002, DJ 10/03/2003 p. 184).</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PROCESSUAL CIVIL - CONFLITO DE COMPETÊNCIA - FORO DA RESIDÊNCIA DA MULHER - PREVENÇÃO. I - A conjugação do disposto nos artigos 100, I e 219, do CPC, levam à conclusão, in casu, pela competência do foro da residência da mulher. II - Conflito conhecido e declarado competente o Juízo de Direito de Paranã/TO, o suscitado. (CC 24.289/RS, Rel. Ministro WALDEMAR ZVEITER, SEGUNDA SEÇÃO, julgado em 12/05/1999, DJ 02/08/1999 p. 127).</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fim, como exemplo de afinidade com o contemporâneo intento de igualdade substancial de gênero, a Lei nº 11.340/06, popularmente conhecida por “Lei Maria da Penha”, em seu art. 15, textualizou dispositivo com natureza semelhante ao art. 100, I, reconhecendo a necessidade de se destinar mais atenção à mulher que não se encontra em situação de efetiva equiparação ao seu parceiro:</w:t>
      </w:r>
    </w:p>
    <w:p>
      <w:pPr>
        <w:spacing w:before="0" w:after="120" w:line="24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15. É competente, </w:t>
      </w:r>
      <w:r>
        <w:rPr>
          <w:rFonts w:ascii="Times New Roman" w:hAnsi="Times New Roman" w:cs="Times New Roman" w:eastAsia="Times New Roman"/>
          <w:i/>
          <w:color w:val="auto"/>
          <w:spacing w:val="0"/>
          <w:position w:val="0"/>
          <w:sz w:val="20"/>
          <w:shd w:fill="auto" w:val="clear"/>
        </w:rPr>
        <w:t xml:space="preserve">por opção da ofendida</w:t>
      </w:r>
      <w:r>
        <w:rPr>
          <w:rFonts w:ascii="Times New Roman" w:hAnsi="Times New Roman" w:cs="Times New Roman" w:eastAsia="Times New Roman"/>
          <w:color w:val="auto"/>
          <w:spacing w:val="0"/>
          <w:position w:val="0"/>
          <w:sz w:val="20"/>
          <w:shd w:fill="auto" w:val="clear"/>
        </w:rPr>
        <w:t xml:space="preserve">, para os processos cíveis registrados por esta Lei, o Juizado: </w:t>
      </w:r>
      <w:r>
        <w:rPr>
          <w:rFonts w:ascii="Times New Roman" w:hAnsi="Times New Roman" w:cs="Times New Roman" w:eastAsia="Times New Roman"/>
          <w:i/>
          <w:color w:val="auto"/>
          <w:spacing w:val="0"/>
          <w:position w:val="0"/>
          <w:sz w:val="20"/>
          <w:shd w:fill="auto" w:val="clear"/>
        </w:rPr>
        <w:t xml:space="preserve">I – do seu domicílio ou de sua residência</w:t>
      </w:r>
      <w:r>
        <w:rPr>
          <w:rFonts w:ascii="Times New Roman" w:hAnsi="Times New Roman" w:cs="Times New Roman" w:eastAsia="Times New Roman"/>
          <w:color w:val="auto"/>
          <w:spacing w:val="0"/>
          <w:position w:val="0"/>
          <w:sz w:val="20"/>
          <w:shd w:fill="auto" w:val="clear"/>
        </w:rPr>
        <w:t xml:space="preserve">; II – do lugar do fato em que se baseou a demanda; III – do domicílio do agressor. (grifei).</w:t>
      </w: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Pode-se dizer, inclusive, que o art. 15, da Lei nº 11.340/06, institucionaliza a </w:t>
      </w:r>
      <w:r>
        <w:rPr>
          <w:rFonts w:ascii="Times New Roman" w:hAnsi="Times New Roman" w:cs="Times New Roman" w:eastAsia="Times New Roman"/>
          <w:i/>
          <w:color w:val="auto"/>
          <w:spacing w:val="0"/>
          <w:position w:val="0"/>
          <w:sz w:val="24"/>
          <w:shd w:fill="auto" w:val="clear"/>
        </w:rPr>
        <w:t xml:space="preserve">opção</w:t>
      </w:r>
      <w:r>
        <w:rPr>
          <w:rFonts w:ascii="Times New Roman" w:hAnsi="Times New Roman" w:cs="Times New Roman" w:eastAsia="Times New Roman"/>
          <w:color w:val="auto"/>
          <w:spacing w:val="0"/>
          <w:position w:val="0"/>
          <w:sz w:val="24"/>
          <w:shd w:fill="auto" w:val="clear"/>
        </w:rPr>
        <w:t xml:space="preserve"> da mulher pelo foro de sua residência, a exemplo do que já é feito implicitamente no art. 100, I, CPC, ou seja, caso a mulher esteja em condição econômica e/ou juridicamente inferior ao parceiro, que proponha a ação no foro de sua residência (art. 100, I, CPC e art. 15, I, Lei nº 11.340/06); e, caso entenda o contrário, que intente a ação na regra geral de competência processual civil (art. 94, Lei Adjetiva), ou em outra regra especial de competência, ou no art. 15, II ou III, da Lei nº 11.340/06.</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bem se observa, a posição majoritária da doutrina, a pacificação jurisprudencial no Tribunal da Cidadania, e a previsão de instituto semelhante em dispositivo contido em lei que também almeja a equiparação substancial de gênero, qual seja, a “Lei Maria da Penha”, seria, enfim, - ao menos por ora -, o assentamento opinativo em torno do assunto, e que subsistiria até que a mulher alcançasse a efetiva Igualdade de Gênero com o sexo oposto nesta questão.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Seria.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que no Código de Fux (PLS nº 166/2010), passa-se a prever como foro competente para as ações de divórcio e anulação de casamento o </w:t>
      </w:r>
      <w:r>
        <w:rPr>
          <w:rFonts w:ascii="Times New Roman" w:hAnsi="Times New Roman" w:cs="Times New Roman" w:eastAsia="Times New Roman"/>
          <w:i/>
          <w:color w:val="auto"/>
          <w:spacing w:val="0"/>
          <w:position w:val="0"/>
          <w:sz w:val="24"/>
          <w:shd w:fill="auto" w:val="clear"/>
        </w:rPr>
        <w:t xml:space="preserve">último domicílio do casal</w:t>
      </w:r>
      <w:r>
        <w:rPr>
          <w:rFonts w:ascii="Times New Roman" w:hAnsi="Times New Roman" w:cs="Times New Roman" w:eastAsia="Times New Roman"/>
          <w:color w:val="auto"/>
          <w:spacing w:val="0"/>
          <w:position w:val="0"/>
          <w:sz w:val="24"/>
          <w:shd w:fill="auto" w:val="clear"/>
        </w:rPr>
        <w:t xml:space="preserve">. Vejamos: </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Art. 38. É competente o foro: I – </w:t>
      </w:r>
      <w:r>
        <w:rPr>
          <w:rFonts w:ascii="Times New Roman" w:hAnsi="Times New Roman" w:cs="Times New Roman" w:eastAsia="Times New Roman"/>
          <w:i/>
          <w:color w:val="auto"/>
          <w:spacing w:val="0"/>
          <w:position w:val="0"/>
          <w:sz w:val="20"/>
          <w:shd w:fill="auto" w:val="clear"/>
        </w:rPr>
        <w:t xml:space="preserve">do último domicílio do casal</w:t>
      </w:r>
      <w:r>
        <w:rPr>
          <w:rFonts w:ascii="Times New Roman" w:hAnsi="Times New Roman" w:cs="Times New Roman" w:eastAsia="Times New Roman"/>
          <w:color w:val="auto"/>
          <w:spacing w:val="0"/>
          <w:position w:val="0"/>
          <w:sz w:val="20"/>
          <w:shd w:fill="auto" w:val="clear"/>
        </w:rPr>
        <w:t xml:space="preserve">, para a ação de separação dos cônjuges e a conversão desta em divórcio e para a anulação de casamento; [...] (grifei).</w:t>
      </w:r>
    </w:p>
    <w:p>
      <w:pPr>
        <w:spacing w:before="0" w:after="120" w:line="24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este art. 38, I, está em efetiva consonância com a Constituição Federal? Será, realmente, que a mulher já alcançou a tão sonhada isonomia com o sexo oposto, ao menos neste aspecto?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será melhor desenvolvido no capítulo seguinte.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Sobre a constitucionalidade deste foro e sobre a validade do novo regramento no Código de Processo Civil em elaboração</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Antes de emitir opiniões sobre o tema, bem como uma proposta de solução, convém tentar entender as razões que levaram o legislador à tomada de tal postura.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efeito, sabe-se que o “Novo” CPC tem como premissa ser principiológico e, sobremaneira, consonante com a Lei Maior pátria. Há um fenômeno de adequação das legislações nacionais ao Texto Constitucional (a tão sonhada “Constitucionalização do Direito”). É o que se pode extrair, a título ilustrativo, em analisando o Código Civil, de 2002; o Código de Defesa do Consumidor, de 1990; os diversos Estatutos - da Criança e do Adolescente (1990), do Idoso (2003), das Cidades (2001) etc. -; e os Anteprojetos - do “Novo” Código de Processo Penal, ainda em fase de discussão, e do “Novo” Código de Processo Civil, aqui em debate.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só vem de encontro às diversas “funções sociais” que existem por aí, como a “função social da propriedade”, a “função social da empresa”, a “função social da falência”, a “função social do homem”, dentre outras.</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área específica do Processo Civil, há que se observar os onze primeiros artigos do “Novo” CPC (PLS nº 166/2010), todos principiológicos, e que têm como ponto de partida o art. 1º, que dispõe que o Processo Civil será regido, disciplinado e valorado conforme os “princípios fundamentais” estabelecidos na Constituição Federal. Ao analisar trechos da Exposição de Motivos do Código de Fux, pode-se melhor visualizar isso:</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elaboração deste Anteprojeto de Código de Processo Civil, essa foi uma das linhas principais de trabalho: resolver problemas. Deixar de ver o processo como teoria descomprometida de sua natureza fundamental de método de resolução de conflitos, por meio do qual se realizam valores constitucionais [...]. 5 Esta Exposição de Motivos obedece à ordem dos objetivos acima alistados. 1) A necessidade de que fique evidente a </w:t>
      </w:r>
      <w:r>
        <w:rPr>
          <w:rFonts w:ascii="Times New Roman" w:hAnsi="Times New Roman" w:cs="Times New Roman" w:eastAsia="Times New Roman"/>
          <w:i/>
          <w:color w:val="auto"/>
          <w:spacing w:val="0"/>
          <w:position w:val="0"/>
          <w:sz w:val="20"/>
          <w:shd w:fill="auto" w:val="clear"/>
        </w:rPr>
        <w:t xml:space="preserve">harmonia da lei ordinária em relação à Constituição Federal da República</w:t>
      </w:r>
      <w:r>
        <w:rPr>
          <w:rFonts w:ascii="Times New Roman" w:hAnsi="Times New Roman" w:cs="Times New Roman" w:eastAsia="Times New Roman"/>
          <w:color w:val="auto"/>
          <w:spacing w:val="0"/>
          <w:position w:val="0"/>
          <w:sz w:val="20"/>
          <w:shd w:fill="auto" w:val="clear"/>
        </w:rPr>
        <w:t xml:space="preserve"> fez com que se incluíssem no Código, expressamente, princípios constitucionais, na sua versão processual [...]. (grifei).</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Obtempera-se que este não foi um processo instantâneo, imediatista, mas decorrente de um ciclo doutrinário e judicial evolutivo (vide as chamadas “ondas reformistas”), que clamava por este Processo Civil Constitucional. Neste sentido, oportunas as palavras de Alexandre Freitas Câmara (2010, p. 39):</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meu ver a primeira dessas bases é a </w:t>
      </w:r>
      <w:r>
        <w:rPr>
          <w:rFonts w:ascii="Times New Roman" w:hAnsi="Times New Roman" w:cs="Times New Roman" w:eastAsia="Times New Roman"/>
          <w:i/>
          <w:color w:val="auto"/>
          <w:spacing w:val="0"/>
          <w:position w:val="0"/>
          <w:sz w:val="20"/>
          <w:shd w:fill="auto" w:val="clear"/>
        </w:rPr>
        <w:t xml:space="preserve">constitucionalização do direito processual civil</w:t>
      </w:r>
      <w:r>
        <w:rPr>
          <w:rFonts w:ascii="Times New Roman" w:hAnsi="Times New Roman" w:cs="Times New Roman" w:eastAsia="Times New Roman"/>
          <w:color w:val="auto"/>
          <w:spacing w:val="0"/>
          <w:position w:val="0"/>
          <w:sz w:val="20"/>
          <w:shd w:fill="auto" w:val="clear"/>
        </w:rPr>
        <w:t xml:space="preserve">, a que já fiz anteriormente referência. </w:t>
      </w:r>
      <w:r>
        <w:rPr>
          <w:rFonts w:ascii="Times New Roman" w:hAnsi="Times New Roman" w:cs="Times New Roman" w:eastAsia="Times New Roman"/>
          <w:i/>
          <w:color w:val="auto"/>
          <w:spacing w:val="0"/>
          <w:position w:val="0"/>
          <w:sz w:val="20"/>
          <w:shd w:fill="auto" w:val="clear"/>
        </w:rPr>
        <w:t xml:space="preserve">É preciso que o novo Código de Processo Civil seja destinado a desenvolver os princípios que compõem o modelo constitucional de processo civil brasileiro</w:t>
      </w:r>
      <w:r>
        <w:rPr>
          <w:rFonts w:ascii="Times New Roman" w:hAnsi="Times New Roman" w:cs="Times New Roman" w:eastAsia="Times New Roman"/>
          <w:color w:val="auto"/>
          <w:spacing w:val="0"/>
          <w:position w:val="0"/>
          <w:sz w:val="20"/>
          <w:shd w:fill="auto" w:val="clear"/>
        </w:rPr>
        <w:t xml:space="preserve">. (grifei).</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frequência congruente, a opinião de Cássio Scarpinella Bueno (2010, p. 383):</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realidade material, destarte, impõe a inadiável reflexão sobre um “direito processual civil” que realize adequadamente os valores do Estado Democrático de Direito brasileiro e que, ao mesmo tempo, realizem adequadamente os anseios dispersos pelo e no ordenamento jurídico substancial, sendo indiferente que ele se mostre </w:t>
      </w:r>
      <w:r>
        <w:rPr>
          <w:rFonts w:ascii="Times New Roman" w:hAnsi="Times New Roman" w:cs="Times New Roman" w:eastAsia="Times New Roman"/>
          <w:i/>
          <w:color w:val="auto"/>
          <w:spacing w:val="0"/>
          <w:position w:val="0"/>
          <w:sz w:val="20"/>
          <w:shd w:fill="auto" w:val="clear"/>
        </w:rPr>
        <w:t xml:space="preserve">individual</w:t>
      </w:r>
      <w:r>
        <w:rPr>
          <w:rFonts w:ascii="Times New Roman" w:hAnsi="Times New Roman" w:cs="Times New Roman" w:eastAsia="Times New Roman"/>
          <w:color w:val="auto"/>
          <w:spacing w:val="0"/>
          <w:position w:val="0"/>
          <w:sz w:val="20"/>
          <w:shd w:fill="auto" w:val="clear"/>
        </w:rPr>
        <w:t xml:space="preserve"> (como é da tradição e do desenvolvimento histórico do direito) ou </w:t>
      </w:r>
      <w:r>
        <w:rPr>
          <w:rFonts w:ascii="Times New Roman" w:hAnsi="Times New Roman" w:cs="Times New Roman" w:eastAsia="Times New Roman"/>
          <w:i/>
          <w:color w:val="auto"/>
          <w:spacing w:val="0"/>
          <w:position w:val="0"/>
          <w:sz w:val="20"/>
          <w:shd w:fill="auto" w:val="clear"/>
        </w:rPr>
        <w:t xml:space="preserve">coletivamente</w:t>
      </w:r>
      <w:r>
        <w:rPr>
          <w:rFonts w:ascii="Times New Roman" w:hAnsi="Times New Roman" w:cs="Times New Roman" w:eastAsia="Times New Roman"/>
          <w:color w:val="auto"/>
          <w:spacing w:val="0"/>
          <w:position w:val="0"/>
          <w:sz w:val="20"/>
          <w:shd w:fill="auto" w:val="clear"/>
        </w:rPr>
        <w:t xml:space="preserve">.</w:t>
      </w:r>
    </w:p>
    <w:p>
      <w:pPr>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Trazendo toda a questão para a abolição do foro privilegiado da mulher no CPC em elaboração, bem como analisando esse fenômeno de adequação das legislações </w:t>
      </w:r>
      <w:r>
        <w:rPr>
          <w:rFonts w:ascii="Times New Roman" w:hAnsi="Times New Roman" w:cs="Times New Roman" w:eastAsia="Times New Roman"/>
          <w:i/>
          <w:color w:val="auto"/>
          <w:spacing w:val="0"/>
          <w:position w:val="0"/>
          <w:sz w:val="24"/>
          <w:shd w:fill="auto" w:val="clear"/>
        </w:rPr>
        <w:t xml:space="preserve">infra</w:t>
      </w:r>
      <w:r>
        <w:rPr>
          <w:rFonts w:ascii="Times New Roman" w:hAnsi="Times New Roman" w:cs="Times New Roman" w:eastAsia="Times New Roman"/>
          <w:color w:val="auto"/>
          <w:spacing w:val="0"/>
          <w:position w:val="0"/>
          <w:sz w:val="24"/>
          <w:shd w:fill="auto" w:val="clear"/>
        </w:rPr>
        <w:t xml:space="preserve">constitucionais ao estritamente previsto na Carta Constitucional, infere-se que partiu aquela Comissão de Juristas designada para uma posição de não-compatibilidade do art. 100, I, com o texto constitucional, justamente em razão desta constitucionalização do processo. Ora, em se afirmando que o atual dispositivo processual fere o Princípio da Igualdade, previsto constitucionalmente, ilógico seria que a “Nova” Lei Adjetiva, que tem como escopo-mor a adequação e a unidade constitucional, mantivesse tal dispositivo.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Num segundo argumento, que já foi falado no capítulo anterior, é que medidas como as previstas no art. 100, I, CPC, e na Lei “Maria da Penha”, visam assegurar a igualdade substancial que é, obviamente, muito mais abrangente que a igualdade formal. Traduz-se no popular “tratar desigualmente os desiguais”. Acontece, contudo, que tal medida tem validade temporária, durando enquanto persistir a desigualdade. Assim, no caso do alimentando (art. 100, II, CPC), a sua manutenção na Lei Adjetiva em processo legislativo (no art. 38, II) se justifica, pois a probabilidade de que o alimentando adquira igualdade plena como parte, em relação a outras partes, é ínfima. Disso conclui-se, portanto, que a </w:t>
      </w:r>
      <w:r>
        <w:rPr>
          <w:rFonts w:ascii="Times New Roman" w:hAnsi="Times New Roman" w:cs="Times New Roman" w:eastAsia="Times New Roman"/>
          <w:i/>
          <w:color w:val="auto"/>
          <w:spacing w:val="0"/>
          <w:position w:val="0"/>
          <w:sz w:val="24"/>
          <w:shd w:fill="auto" w:val="clear"/>
        </w:rPr>
        <w:t xml:space="preserve">supra</w:t>
      </w:r>
      <w:r>
        <w:rPr>
          <w:rFonts w:ascii="Times New Roman" w:hAnsi="Times New Roman" w:cs="Times New Roman" w:eastAsia="Times New Roman"/>
          <w:color w:val="auto"/>
          <w:spacing w:val="0"/>
          <w:position w:val="0"/>
          <w:sz w:val="24"/>
          <w:shd w:fill="auto" w:val="clear"/>
        </w:rPr>
        <w:t xml:space="preserve">mencionada Comissão de Juristas entendeu que, entre o CPC de 1973 (e a inclusão do inciso I ao art. 100, em 1977), e o CPC em feitura, decorreu tempo suficiente para que a mulher já seja, neste aspecto, equiparada ao homem.</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é o entendimento aqui defendido, todavia. Desenvolvamos nossa tese: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Patrícia Miranda Pizzol (2003, p. 192) faz uma proposta para tentar conciliar a questão com a Constituição Federal:</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outras palavras, se se verificar, </w:t>
      </w:r>
      <w:r>
        <w:rPr>
          <w:rFonts w:ascii="Times New Roman" w:hAnsi="Times New Roman" w:cs="Times New Roman" w:eastAsia="Times New Roman"/>
          <w:i/>
          <w:color w:val="auto"/>
          <w:spacing w:val="0"/>
          <w:position w:val="0"/>
          <w:sz w:val="20"/>
          <w:shd w:fill="auto" w:val="clear"/>
        </w:rPr>
        <w:t xml:space="preserve">no caso concreto</w:t>
      </w:r>
      <w:r>
        <w:rPr>
          <w:rFonts w:ascii="Times New Roman" w:hAnsi="Times New Roman" w:cs="Times New Roman" w:eastAsia="Times New Roman"/>
          <w:color w:val="auto"/>
          <w:spacing w:val="0"/>
          <w:position w:val="0"/>
          <w:sz w:val="20"/>
          <w:shd w:fill="auto" w:val="clear"/>
        </w:rPr>
        <w:t xml:space="preserve">, que a mulher é a parte mais fraca (porque não tem independência financeira ou porque ficou com a guarda dos filhos, sendo esta última hipótese bastante comum), contará ela com a prerrogativa de foro, garantindo-se, assim, a igualdade real. Se, contudo, ela se encontrar em condições iguais às do marido, a regra do art. 100, I, do CPC será considerada inconstitucional, devendo incidir a regra geral, prevista no art. 94 do mesmo Código (o foro competente será o do domicílio do réu). (grifei).</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Trata-se de proposta louvável, porém insuficiente sob o ponto de vista aqui defendido. Isto porque, o CPC atual prevê regra especial de competência que, por ser territorial e relativa, pode perfeitamente ser excepcionada: a) pela própria mulher, caso não seja vulnerável e/ou opte pelas outras regras de competência; b) ou, mediante exceção de competência que, na opinião deste autor, deve ser levantada pela parte contrária caso se verifique que a mulher não é a parte “mais fraca da relação jurídica”.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“Novo” CPC (PLS nº 166/2010) retira essa opção, colocando, para as ações de divórcio e anulação de casamento, o foro do “último domicílio do casal”. Daí indaga-se: e se a mulher for vulnerável (ou porque é ameaçada pelo marido, ou porque está com a guarda dos filhos, ou porque simplesmente não tem condições econômicas) e estiver residindo em local que não o último domicílio do casal, ficará ela prejudicada no seu acesso à justiça? Observa-se que, antes, havia a </w:t>
      </w:r>
      <w:r>
        <w:rPr>
          <w:rFonts w:ascii="Times New Roman" w:hAnsi="Times New Roman" w:cs="Times New Roman" w:eastAsia="Times New Roman"/>
          <w:i/>
          <w:color w:val="auto"/>
          <w:spacing w:val="0"/>
          <w:position w:val="0"/>
          <w:sz w:val="24"/>
          <w:shd w:fill="auto" w:val="clear"/>
        </w:rPr>
        <w:t xml:space="preserve">opção</w:t>
      </w:r>
      <w:r>
        <w:rPr>
          <w:rFonts w:ascii="Times New Roman" w:hAnsi="Times New Roman" w:cs="Times New Roman" w:eastAsia="Times New Roman"/>
          <w:color w:val="auto"/>
          <w:spacing w:val="0"/>
          <w:position w:val="0"/>
          <w:sz w:val="24"/>
          <w:shd w:fill="auto" w:val="clear"/>
        </w:rPr>
        <w:t xml:space="preserve"> da ação tramitar ou não no foro da residência da mulher, enquanto agora, com um “Novo” CPC à vista, não há mais essa opção, o que pode prejudicar - e muito - o acesso à justiça, fato que, aí sim,</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contrariaria a Constituição Federal no que diz respeito ao direito ao “acesso à justiça” e a um “processo justo”. Teríamos, pois, um conflito de princípios entre a igualdade e o acesso à justiça, nos parecendo que deveria prevalecer, neste tipo de caso, o segundo.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Ponto negativo do “Novo” CPC, portanto, que merece modificação prévia, antes mesmo de vigência ou “</w:t>
      </w:r>
      <w:r>
        <w:rPr>
          <w:rFonts w:ascii="Times New Roman" w:hAnsi="Times New Roman" w:cs="Times New Roman" w:eastAsia="Times New Roman"/>
          <w:i/>
          <w:color w:val="auto"/>
          <w:spacing w:val="0"/>
          <w:position w:val="0"/>
          <w:sz w:val="24"/>
          <w:shd w:fill="auto" w:val="clear"/>
        </w:rPr>
        <w:t xml:space="preserve">vacatio</w:t>
      </w:r>
      <w:r>
        <w:rPr>
          <w:rFonts w:ascii="Times New Roman" w:hAnsi="Times New Roman" w:cs="Times New Roman" w:eastAsia="Times New Roman"/>
          <w:color w:val="auto"/>
          <w:spacing w:val="0"/>
          <w:position w:val="0"/>
          <w:sz w:val="24"/>
          <w:shd w:fill="auto" w:val="clear"/>
        </w:rPr>
        <w:t xml:space="preserve">”, para que se efetive a permanência, na nova legislação, da regra da atual Lei Adjetiva.</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Linhas derradeiras: proposta em prol de um entendimento</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todo o exposto, em nota conclusiva, convém defender que não se mostra precipitado discutir a necessidade de manutenção da regra que privilegia a mulher com foro competente para a ação de divórcio e de anulação de casamento. Do contrário trata-se, agora, do momento mais oportuno possível.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assim, em que pese o respeito à opção da Comissão de Juristas designada para elaborar o “Novo” CPC, não parece opção mais acertada generalizar o último domicílio do casal como foro competente para as ações de divórcio e anulação de casamento. Isto porque, partiu-se de uma premissa equivocada de que a mulher, neste aspecto, já adquiriu condições de equiparação com o homem, o que teria tornado, enfim, a norma do art. 100, I, incompatível com a Constituição Federal, nos seus postulados de igualdade de gênero.</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verdade, a mulher ainda deve ser fruto de atenção especial dispendida pela sociedade e pelo legislador, a exemplo do que se fez no art. 15, da Lei nº 11.340/06, haja vista a existência de guetos de obscurantismo social que reprimem o sexo feminino. Que se particularize à mulher, então, regra mais benéfica de competência. Que isso lhe seja uma </w:t>
      </w:r>
      <w:r>
        <w:rPr>
          <w:rFonts w:ascii="Times New Roman" w:hAnsi="Times New Roman" w:cs="Times New Roman" w:eastAsia="Times New Roman"/>
          <w:i/>
          <w:color w:val="auto"/>
          <w:spacing w:val="0"/>
          <w:position w:val="0"/>
          <w:sz w:val="24"/>
          <w:shd w:fill="auto" w:val="clear"/>
        </w:rPr>
        <w:t xml:space="preserve">opção</w:t>
      </w:r>
      <w:r>
        <w:rPr>
          <w:rFonts w:ascii="Times New Roman" w:hAnsi="Times New Roman" w:cs="Times New Roman" w:eastAsia="Times New Roman"/>
          <w:color w:val="auto"/>
          <w:spacing w:val="0"/>
          <w:position w:val="0"/>
          <w:sz w:val="24"/>
          <w:shd w:fill="auto" w:val="clear"/>
        </w:rPr>
        <w:t xml:space="preserve">, uma faculdade. É medida de melhor acesso à justiça, princípio este que se sobrepõe à própria igualdade de gênero no caso em lume.</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proposta, portanto, é pela manutenção do texto do art. 100, I, CPC na Lei Adjetiva que há de vir, até por sua lógica de competência relativa que comporta exceção caso a mulher não seja vulnerável (caso em que se vão aplicar outras regras de competência). </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Até porque, o atual Código de Buzaid permite a exceção de incompetência que a transfere de uma regra especial para uma regra geral, enquanto no Novo CPC não há uma regra especial, o que faz com que, se a mulher, casuisticamente, for parte vulnerável, não terá dispositivo procedimental da fixação de competência privilegiada para se socorrer.</w:t>
      </w:r>
    </w:p>
    <w:p>
      <w:pPr>
        <w:spacing w:before="0" w:after="120" w:line="360"/>
        <w:ind w:right="0" w:left="0" w:firstLine="141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último argumento, há que se frisar que não é a realidade que se adapta ao legislador, mas o oposto, de forma que presumir a equiparação feminina neste aspecto pode ser arriscado. Do contrário, o que é adjetivado de praticidade técnica pode dar ensejo a um prejuízo irremediável no acesso à justiça da mulher que ainda se encontre em posição desvantajosa.</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Referências bibliográficas</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ALVIM, Arruda. </w:t>
      </w:r>
      <w:r>
        <w:rPr>
          <w:rFonts w:ascii="Times New Roman" w:hAnsi="Times New Roman" w:cs="Times New Roman" w:eastAsia="Times New Roman"/>
          <w:i/>
          <w:color w:val="auto"/>
          <w:spacing w:val="0"/>
          <w:position w:val="0"/>
          <w:sz w:val="24"/>
          <w:shd w:fill="auto" w:val="clear"/>
        </w:rPr>
        <w:t xml:space="preserve">Manual de direito processual civil, vol. 1: parte geral.</w:t>
      </w:r>
      <w:r>
        <w:rPr>
          <w:rFonts w:ascii="Times New Roman" w:hAnsi="Times New Roman" w:cs="Times New Roman" w:eastAsia="Times New Roman"/>
          <w:color w:val="auto"/>
          <w:spacing w:val="0"/>
          <w:position w:val="0"/>
          <w:sz w:val="24"/>
          <w:shd w:fill="auto" w:val="clear"/>
        </w:rPr>
        <w:t xml:space="preserve"> 8. ed. São Paulo: RT, 2003.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CAHALI, Francisco José. Efeitos não patrimoniais da união estável </w:t>
      </w:r>
      <w:r>
        <w:rPr>
          <w:rFonts w:ascii="Times New Roman" w:hAnsi="Times New Roman" w:cs="Times New Roman" w:eastAsia="Times New Roman"/>
          <w:i/>
          <w:color w:val="auto"/>
          <w:spacing w:val="0"/>
          <w:position w:val="0"/>
          <w:sz w:val="24"/>
          <w:shd w:fill="auto" w:val="clear"/>
        </w:rPr>
        <w:t xml:space="preserve">In Repertório de jurisprudência e doutrina sobre direito de família: aspectos constitucionais, civis e processuais. Vol. 2.</w:t>
      </w:r>
      <w:r>
        <w:rPr>
          <w:rFonts w:ascii="Times New Roman" w:hAnsi="Times New Roman" w:cs="Times New Roman" w:eastAsia="Times New Roman"/>
          <w:color w:val="auto"/>
          <w:spacing w:val="0"/>
          <w:position w:val="0"/>
          <w:sz w:val="24"/>
          <w:shd w:fill="auto" w:val="clear"/>
        </w:rPr>
        <w:t xml:space="preserve"> São Paulo: RT, 1995.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CARNEIRO, Athos Gusmão. </w:t>
      </w:r>
      <w:r>
        <w:rPr>
          <w:rFonts w:ascii="Times New Roman" w:hAnsi="Times New Roman" w:cs="Times New Roman" w:eastAsia="Times New Roman"/>
          <w:i/>
          <w:color w:val="auto"/>
          <w:spacing w:val="0"/>
          <w:position w:val="0"/>
          <w:sz w:val="24"/>
          <w:shd w:fill="auto" w:val="clear"/>
        </w:rPr>
        <w:t xml:space="preserve">Jurisdição e competência: exposição didática: área do direito processual civil.</w:t>
      </w:r>
      <w:r>
        <w:rPr>
          <w:rFonts w:ascii="Times New Roman" w:hAnsi="Times New Roman" w:cs="Times New Roman" w:eastAsia="Times New Roman"/>
          <w:color w:val="auto"/>
          <w:spacing w:val="0"/>
          <w:position w:val="0"/>
          <w:sz w:val="24"/>
          <w:shd w:fill="auto" w:val="clear"/>
        </w:rPr>
        <w:t xml:space="preserve"> São Paulo: Saraiva, 2004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CALMON, Petrôneo (org.). </w:t>
      </w:r>
      <w:r>
        <w:rPr>
          <w:rFonts w:ascii="Times New Roman" w:hAnsi="Times New Roman" w:cs="Times New Roman" w:eastAsia="Times New Roman"/>
          <w:i/>
          <w:color w:val="auto"/>
          <w:spacing w:val="0"/>
          <w:position w:val="0"/>
          <w:sz w:val="24"/>
          <w:shd w:fill="auto" w:val="clear"/>
        </w:rPr>
        <w:t xml:space="preserve">Bases científicas para um renovado direito processual.</w:t>
      </w:r>
      <w:r>
        <w:rPr>
          <w:rFonts w:ascii="Times New Roman" w:hAnsi="Times New Roman" w:cs="Times New Roman" w:eastAsia="Times New Roman"/>
          <w:color w:val="auto"/>
          <w:spacing w:val="0"/>
          <w:position w:val="0"/>
          <w:sz w:val="24"/>
          <w:shd w:fill="auto" w:val="clear"/>
        </w:rPr>
        <w:t xml:space="preserve"> 2. ed. Salvador: JusPODIUM,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GARBI, Carlos Alberto. Igualdade entre os cônjuges – as principais alterações após a Constituição Federal de 1988 </w:t>
      </w:r>
      <w:r>
        <w:rPr>
          <w:rFonts w:ascii="Times New Roman" w:hAnsi="Times New Roman" w:cs="Times New Roman" w:eastAsia="Times New Roman"/>
          <w:i/>
          <w:color w:val="auto"/>
          <w:spacing w:val="0"/>
          <w:position w:val="0"/>
          <w:sz w:val="24"/>
          <w:shd w:fill="auto" w:val="clear"/>
        </w:rPr>
        <w:t xml:space="preserve">In Revista dos Tribunais, vol. 746.</w:t>
      </w:r>
      <w:r>
        <w:rPr>
          <w:rFonts w:ascii="Times New Roman" w:hAnsi="Times New Roman" w:cs="Times New Roman" w:eastAsia="Times New Roman"/>
          <w:color w:val="auto"/>
          <w:spacing w:val="0"/>
          <w:position w:val="0"/>
          <w:sz w:val="24"/>
          <w:shd w:fill="auto" w:val="clear"/>
        </w:rPr>
        <w:t xml:space="preserve"> Ano 86, Dez/97. p. 36-55.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GONÇALVES, Marcus Vinícius Rios. </w:t>
      </w:r>
      <w:r>
        <w:rPr>
          <w:rFonts w:ascii="Times New Roman" w:hAnsi="Times New Roman" w:cs="Times New Roman" w:eastAsia="Times New Roman"/>
          <w:i/>
          <w:color w:val="auto"/>
          <w:spacing w:val="0"/>
          <w:position w:val="0"/>
          <w:sz w:val="24"/>
          <w:shd w:fill="auto" w:val="clear"/>
        </w:rPr>
        <w:t xml:space="preserve">Novo curso de direito processual civil, vol. 1.</w:t>
      </w:r>
      <w:r>
        <w:rPr>
          <w:rFonts w:ascii="Times New Roman" w:hAnsi="Times New Roman" w:cs="Times New Roman" w:eastAsia="Times New Roman"/>
          <w:color w:val="auto"/>
          <w:spacing w:val="0"/>
          <w:position w:val="0"/>
          <w:sz w:val="24"/>
          <w:shd w:fill="auto" w:val="clear"/>
        </w:rPr>
        <w:t xml:space="preserve"> São Paulo: Saraiva, 2004.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MARINONI, Luiz Guilherme; MITIDIERO, Daniel.</w:t>
      </w:r>
      <w:r>
        <w:rPr>
          <w:rFonts w:ascii="Times New Roman" w:hAnsi="Times New Roman" w:cs="Times New Roman" w:eastAsia="Times New Roman"/>
          <w:i/>
          <w:color w:val="auto"/>
          <w:spacing w:val="0"/>
          <w:position w:val="0"/>
          <w:sz w:val="24"/>
          <w:shd w:fill="auto" w:val="clear"/>
        </w:rPr>
        <w:t xml:space="preserve"> Código de processo civil comentado artigo por artigo.</w:t>
      </w:r>
      <w:r>
        <w:rPr>
          <w:rFonts w:ascii="Times New Roman" w:hAnsi="Times New Roman" w:cs="Times New Roman" w:eastAsia="Times New Roman"/>
          <w:color w:val="auto"/>
          <w:spacing w:val="0"/>
          <w:position w:val="0"/>
          <w:sz w:val="24"/>
          <w:shd w:fill="auto" w:val="clear"/>
        </w:rPr>
        <w:t xml:space="preserve"> São Paulo: RT, 2008.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MARQUES, José Frederico. </w:t>
      </w:r>
      <w:r>
        <w:rPr>
          <w:rFonts w:ascii="Times New Roman" w:hAnsi="Times New Roman" w:cs="Times New Roman" w:eastAsia="Times New Roman"/>
          <w:i/>
          <w:color w:val="auto"/>
          <w:spacing w:val="0"/>
          <w:position w:val="0"/>
          <w:sz w:val="24"/>
          <w:shd w:fill="auto" w:val="clear"/>
        </w:rPr>
        <w:t xml:space="preserve">Instituições de direito processual civil, vol. 1.</w:t>
      </w:r>
      <w:r>
        <w:rPr>
          <w:rFonts w:ascii="Times New Roman" w:hAnsi="Times New Roman" w:cs="Times New Roman" w:eastAsia="Times New Roman"/>
          <w:color w:val="auto"/>
          <w:spacing w:val="0"/>
          <w:position w:val="0"/>
          <w:sz w:val="24"/>
          <w:shd w:fill="auto" w:val="clear"/>
        </w:rPr>
        <w:t xml:space="preserve"> Campinas/SP: Millenium, 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MELLO, Celso Antônio Bandeira de. </w:t>
      </w:r>
      <w:r>
        <w:rPr>
          <w:rFonts w:ascii="Times New Roman" w:hAnsi="Times New Roman" w:cs="Times New Roman" w:eastAsia="Times New Roman"/>
          <w:i/>
          <w:color w:val="auto"/>
          <w:spacing w:val="0"/>
          <w:position w:val="0"/>
          <w:sz w:val="24"/>
          <w:shd w:fill="auto" w:val="clear"/>
        </w:rPr>
        <w:t xml:space="preserve">O conteúdo jurídico do princípio da igualdade.</w:t>
      </w:r>
      <w:r>
        <w:rPr>
          <w:rFonts w:ascii="Times New Roman" w:hAnsi="Times New Roman" w:cs="Times New Roman" w:eastAsia="Times New Roman"/>
          <w:color w:val="auto"/>
          <w:spacing w:val="0"/>
          <w:position w:val="0"/>
          <w:sz w:val="24"/>
          <w:shd w:fill="auto" w:val="clear"/>
        </w:rPr>
        <w:t xml:space="preserve"> 3. Ed. São Paulo: Malheiros, 1995-1999.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NEGRÃO, Theotonio; GOUVÊA, José Roberto Ferreira; BONDIOLI, Luis Guilherme Aidar. </w:t>
      </w:r>
      <w:r>
        <w:rPr>
          <w:rFonts w:ascii="Times New Roman" w:hAnsi="Times New Roman" w:cs="Times New Roman" w:eastAsia="Times New Roman"/>
          <w:i/>
          <w:color w:val="auto"/>
          <w:spacing w:val="0"/>
          <w:position w:val="0"/>
          <w:sz w:val="24"/>
          <w:shd w:fill="auto" w:val="clear"/>
        </w:rPr>
        <w:t xml:space="preserve">Código de processo civil e legislação processual em vigor.</w:t>
      </w:r>
      <w:r>
        <w:rPr>
          <w:rFonts w:ascii="Times New Roman" w:hAnsi="Times New Roman" w:cs="Times New Roman" w:eastAsia="Times New Roman"/>
          <w:color w:val="auto"/>
          <w:spacing w:val="0"/>
          <w:position w:val="0"/>
          <w:sz w:val="24"/>
          <w:shd w:fill="auto" w:val="clear"/>
        </w:rPr>
        <w:t xml:space="preserve"> 42. ed. São Paulo: Saraiva,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NERY JUNIOR, Nelson; NERY, Rosa Maria de Andrade. </w:t>
      </w:r>
      <w:r>
        <w:rPr>
          <w:rFonts w:ascii="Times New Roman" w:hAnsi="Times New Roman" w:cs="Times New Roman" w:eastAsia="Times New Roman"/>
          <w:i/>
          <w:color w:val="auto"/>
          <w:spacing w:val="0"/>
          <w:position w:val="0"/>
          <w:sz w:val="24"/>
          <w:shd w:fill="auto" w:val="clear"/>
        </w:rPr>
        <w:t xml:space="preserve">Código de processo civil comentado e legislação extravagante.</w:t>
      </w:r>
      <w:r>
        <w:rPr>
          <w:rFonts w:ascii="Times New Roman" w:hAnsi="Times New Roman" w:cs="Times New Roman" w:eastAsia="Times New Roman"/>
          <w:color w:val="auto"/>
          <w:spacing w:val="0"/>
          <w:position w:val="0"/>
          <w:sz w:val="24"/>
          <w:shd w:fill="auto" w:val="clear"/>
        </w:rPr>
        <w:t xml:space="preserve"> 9. ed. São Paulo: RT, 2006.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PINHO, Leda de Oliveira. </w:t>
      </w:r>
      <w:r>
        <w:rPr>
          <w:rFonts w:ascii="Times New Roman" w:hAnsi="Times New Roman" w:cs="Times New Roman" w:eastAsia="Times New Roman"/>
          <w:i/>
          <w:color w:val="auto"/>
          <w:spacing w:val="0"/>
          <w:position w:val="0"/>
          <w:sz w:val="24"/>
          <w:shd w:fill="auto" w:val="clear"/>
        </w:rPr>
        <w:t xml:space="preserve">Princípio da igualdade: investigação na perspectiva de gênero.</w:t>
      </w:r>
      <w:r>
        <w:rPr>
          <w:rFonts w:ascii="Times New Roman" w:hAnsi="Times New Roman" w:cs="Times New Roman" w:eastAsia="Times New Roman"/>
          <w:color w:val="auto"/>
          <w:spacing w:val="0"/>
          <w:position w:val="0"/>
          <w:sz w:val="24"/>
          <w:shd w:fill="auto" w:val="clear"/>
        </w:rPr>
        <w:t xml:space="preserve"> Porto Alegre: Fabris, 2005.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PIZZOL, Patrícia Miranda. </w:t>
      </w:r>
      <w:r>
        <w:rPr>
          <w:rFonts w:ascii="Times New Roman" w:hAnsi="Times New Roman" w:cs="Times New Roman" w:eastAsia="Times New Roman"/>
          <w:i/>
          <w:color w:val="auto"/>
          <w:spacing w:val="0"/>
          <w:position w:val="0"/>
          <w:sz w:val="24"/>
          <w:shd w:fill="auto" w:val="clear"/>
        </w:rPr>
        <w:t xml:space="preserve">A competência no processo civil.</w:t>
      </w:r>
      <w:r>
        <w:rPr>
          <w:rFonts w:ascii="Times New Roman" w:hAnsi="Times New Roman" w:cs="Times New Roman" w:eastAsia="Times New Roman"/>
          <w:color w:val="auto"/>
          <w:spacing w:val="0"/>
          <w:position w:val="0"/>
          <w:sz w:val="24"/>
          <w:shd w:fill="auto" w:val="clear"/>
        </w:rPr>
        <w:t xml:space="preserve"> São Paulo: RT, 2003.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Moacyr Amaral. </w:t>
      </w:r>
      <w:r>
        <w:rPr>
          <w:rFonts w:ascii="Times New Roman" w:hAnsi="Times New Roman" w:cs="Times New Roman" w:eastAsia="Times New Roman"/>
          <w:i/>
          <w:color w:val="auto"/>
          <w:spacing w:val="0"/>
          <w:position w:val="0"/>
          <w:sz w:val="24"/>
          <w:shd w:fill="auto" w:val="clear"/>
        </w:rPr>
        <w:t xml:space="preserve">Primeiras linhas de direito processual civil, vol. 1.</w:t>
      </w:r>
      <w:r>
        <w:rPr>
          <w:rFonts w:ascii="Times New Roman" w:hAnsi="Times New Roman" w:cs="Times New Roman" w:eastAsia="Times New Roman"/>
          <w:color w:val="auto"/>
          <w:spacing w:val="0"/>
          <w:position w:val="0"/>
          <w:sz w:val="24"/>
          <w:shd w:fill="auto" w:val="clear"/>
        </w:rPr>
        <w:t xml:space="preserve"> 25. ed. São Paulo: Saraiva, 2007.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Sandro Schmitz dos. A mulher e o direito internacional: um estudo sobre a realidade das mulheres na atualidade internacional </w:t>
      </w:r>
      <w:r>
        <w:rPr>
          <w:rFonts w:ascii="Times New Roman" w:hAnsi="Times New Roman" w:cs="Times New Roman" w:eastAsia="Times New Roman"/>
          <w:i/>
          <w:color w:val="auto"/>
          <w:spacing w:val="0"/>
          <w:position w:val="0"/>
          <w:sz w:val="24"/>
          <w:shd w:fill="auto" w:val="clear"/>
        </w:rPr>
        <w:t xml:space="preserve">In Revista Jurídica, vol. 330.</w:t>
      </w:r>
      <w:r>
        <w:rPr>
          <w:rFonts w:ascii="Times New Roman" w:hAnsi="Times New Roman" w:cs="Times New Roman" w:eastAsia="Times New Roman"/>
          <w:color w:val="auto"/>
          <w:spacing w:val="0"/>
          <w:position w:val="0"/>
          <w:sz w:val="24"/>
          <w:shd w:fill="auto" w:val="clear"/>
        </w:rPr>
        <w:t xml:space="preserve"> Ano 53, Abril/2005. p. 69-75.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SENADO FEDERAL. </w:t>
      </w:r>
      <w:hyperlink xmlns:r="http://schemas.openxmlformats.org/officeDocument/2006/relationships" r:id="docRId132">
        <w:r>
          <w:rPr>
            <w:rFonts w:ascii="Times New Roman" w:hAnsi="Times New Roman" w:cs="Times New Roman" w:eastAsia="Times New Roman"/>
            <w:color w:val="0000FF"/>
            <w:spacing w:val="0"/>
            <w:position w:val="0"/>
            <w:sz w:val="24"/>
            <w:u w:val="single"/>
            <w:shd w:fill="auto" w:val="clear"/>
          </w:rPr>
          <w:t xml:space="preserve">http://www.senado.gov.br/senado/novocpc/pdf/Anteprojeto.pdf</w:t>
        </w:r>
      </w:hyperlink>
      <w:r>
        <w:rPr>
          <w:rFonts w:ascii="Times New Roman" w:hAnsi="Times New Roman" w:cs="Times New Roman" w:eastAsia="Times New Roman"/>
          <w:color w:val="auto"/>
          <w:spacing w:val="0"/>
          <w:position w:val="0"/>
          <w:sz w:val="24"/>
          <w:shd w:fill="auto" w:val="clear"/>
        </w:rPr>
        <w:t xml:space="preserve">. Acesso em 13 de setembro de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VADE MECUM RT. 5. ed. São Paulo: RT, 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TRÊS MULHERES E UM DESTINO</w: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"Minha é a vingança e a recompensa"</w:t>
      </w:r>
    </w:p>
    <w:p>
      <w:pPr>
        <w:spacing w:before="0" w:after="0" w:line="240"/>
        <w:ind w:right="0"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Deuteronômio, Bíblia sagrada.</w:t>
      </w:r>
    </w:p>
    <w:p>
      <w:pPr>
        <w:spacing w:before="0" w:after="0" w:line="360"/>
        <w:ind w:right="0" w:left="0" w:firstLine="0"/>
        <w:jc w:val="center"/>
        <w:rPr>
          <w:rFonts w:ascii="Arial" w:hAnsi="Arial" w:cs="Arial" w:eastAsia="Arial"/>
          <w:b/>
          <w:color w:val="auto"/>
          <w:spacing w:val="0"/>
          <w:position w:val="0"/>
          <w:sz w:val="24"/>
          <w:u w:val="single"/>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Resumo:</w:t>
      </w:r>
      <w:r>
        <w:rPr>
          <w:rFonts w:ascii="Arial" w:hAnsi="Arial" w:cs="Arial" w:eastAsia="Arial"/>
          <w:color w:val="auto"/>
          <w:spacing w:val="0"/>
          <w:position w:val="0"/>
          <w:sz w:val="22"/>
          <w:shd w:fill="auto" w:val="clear"/>
        </w:rPr>
        <w:t xml:space="preserve"> Três mulheres que em países diferentes viveram histórias de amor, ciúmes e traições.</w:t>
      </w:r>
    </w:p>
    <w:p>
      <w:pPr>
        <w:spacing w:before="0" w:after="0" w:line="360"/>
        <w:ind w:right="0" w:left="0" w:firstLine="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Palavras chaves: </w:t>
      </w:r>
      <w:r>
        <w:rPr>
          <w:rFonts w:ascii="Arial" w:hAnsi="Arial" w:cs="Arial" w:eastAsia="Arial"/>
          <w:color w:val="auto"/>
          <w:spacing w:val="0"/>
          <w:position w:val="0"/>
          <w:sz w:val="22"/>
          <w:shd w:fill="auto" w:val="clear"/>
        </w:rPr>
        <w:t xml:space="preserve">Amor, Adultério, vingança, sociedade.</w:t>
      </w:r>
    </w:p>
    <w:p>
      <w:pPr>
        <w:spacing w:before="0" w:after="0" w:line="360"/>
        <w:ind w:right="0" w:left="0" w:firstLine="0"/>
        <w:jc w:val="center"/>
        <w:rPr>
          <w:rFonts w:ascii="Arial" w:hAnsi="Arial" w:cs="Arial" w:eastAsia="Arial"/>
          <w:b/>
          <w:color w:val="auto"/>
          <w:spacing w:val="0"/>
          <w:position w:val="0"/>
          <w:sz w:val="24"/>
          <w:u w:val="single"/>
          <w:shd w:fill="auto" w:val="clear"/>
        </w:rPr>
      </w:pPr>
    </w:p>
    <w:p>
      <w:pPr>
        <w:spacing w:before="0" w:after="0" w:line="360"/>
        <w:ind w:right="0" w:left="0" w:firstLine="0"/>
        <w:jc w:val="center"/>
        <w:rPr>
          <w:rFonts w:ascii="Arial" w:hAnsi="Arial" w:cs="Arial" w:eastAsia="Arial"/>
          <w:b/>
          <w:color w:val="auto"/>
          <w:spacing w:val="0"/>
          <w:position w:val="0"/>
          <w:sz w:val="24"/>
          <w:u w:val="single"/>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Introdução</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Ao ler o romance “Ana Karênina” de Leon Tolstoi, o leitor pode ter reações adversas. Pode sentir pena da pobre Ana que se perde na ânsia de um amor proibido e acaba com a própria vida procurando vingar-se do amante. Pode sentir repulsa por Ana, uma mulher adúltera que abandona o filho e o marido aristocrata para viver uma história desde o começo marcada pela tragédia. Pode sentir pena de Karenin, o marido traído, ou achar que ele não amava Ana de verdade e não merecia o seu respeito e o seu amor. O leitor pode ter várias reações, depende dos seus conceitos e dos seus critérios ao avaliar a história construída por Tolstoi. Algo que o leitor não consegue é não sentir nada e não se envolver com Ana Karênina. A intensidade dos sentimentos de Ana e os fatos que se desenvolvem durante a sua vida são marcantes e não passam despercebidos, independente das nossas crenças e dos nossos valores.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Da mesma forma, ao ler “Madame Bovary” de Gustave Flaubert, o leitor pode acreditar que Emma é uma mulher fútil, filha de uma burguesia mais fútil ainda e que mereceu o trágico fim que teve e a morte dolorosa. Pode acreditar que Emma era apenas uma mulher vítima dos “romances açucarados” e da criação que teve e que tinha o direito de procurar satisfazer-se com seus amantes. O marido de Emma, Charles Bovary, é um personagem às vezes risível para o leitor e às vezes digno de pena. Assim, quem lê o clássico francês não consegue ficar sem nenhuma reação diante de tantos fatos que envolvem valores tão discutidos na sociedade, como adultério, consumismo e a família.</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“Dom Casmurro” nunca passará despercebido em qualquer ocasião que seja lido ou discutido. Muitas vezes ele é reduzido à questão “Capitu traiu ou não traiu?” Não há como negar que Capitu é intrigante desde a sua apresentação feita pelo marido depois de muitos anos de separação, até os momentos cruciais, como o velório de Escobar, por exemplo. A narração é feita por Bentinho, fato que causa muitas dúvidas e questionamentos sobre a veracidade dos fatos que ele conta. Um homem ciumento, que acredita ter sido traído, não é isento no que diz e exclui a opinião do outro lado da história: a mulher “adúltera”, Capitu, que tem como desfecho o exílio na Suíça.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Três romances que contam mais do que histórias de amor e adultério. Contam com personagens que nos fazem refletir e discutir e que trazem sentimentos impossíveis de serem negados. Ao comparar as diferenças e semelhanças entre eles, podemos entender porque são atuais mesmo depois das mudanças que a sociedade sofreu desde que foram escritos e como continuam sendo lidos com o mesmo ardor de quando eram novidades realistas entre os folhetins românticos russos, franceses e brasileiros.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Um romance, um poema, um drama, é o fruto, mediato ou imediato, da influência de realizações congêneres alheias, coletâneas ou remotas. Foi mister, então, criar uma disciplina nova. Esta disciplina é a Literatura Comparada.</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Os romances analisados neste artigo têm características comuns que nos levam a aproximá-los: três obras escritas por três autores diferentes, em um tempo semelhante, mas em países diferentes... tudo isto leva a crer que são obras instigantes. Cada uma a sua maneira, o foco literário apresenta Ana, Emma e Capitu. Filhas do mesmo tempo, elas cometem erros que qualquer sociedade daquela época repugnaria. E a sociedade foi a mesma na Rússia, França e no Brasil. Todas as julgaram e condenaram à morte ou ao exílio.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Aproximando-as, podemos descobrir diferenças entre elas também. A personalidade da angustiada Ana Karênina difere da egoísta e sonhadora Emma, que por sua vez, distancia-se da sedutora e misteriosa Capitu.</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Nenhum povo pode furtar-se, nas Letras, de influência de outros povos, portanto, é justo que um país como o Brasil, que tem um romance enigmático como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volte seus olhos para obras de outros países que possam ajudar a compreender melhor a obra do mestre Machado de Assis.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O especialista em Literatura Comparada, a que chamamos </w:t>
      </w:r>
      <w:r>
        <w:rPr>
          <w:rFonts w:ascii="Arial" w:hAnsi="Arial" w:cs="Arial" w:eastAsia="Arial"/>
          <w:i/>
          <w:color w:val="auto"/>
          <w:spacing w:val="0"/>
          <w:position w:val="0"/>
          <w:sz w:val="24"/>
          <w:shd w:fill="auto" w:val="clear"/>
        </w:rPr>
        <w:t xml:space="preserve">comparatista,</w:t>
      </w:r>
      <w:r>
        <w:rPr>
          <w:rFonts w:ascii="Arial" w:hAnsi="Arial" w:cs="Arial" w:eastAsia="Arial"/>
          <w:color w:val="auto"/>
          <w:spacing w:val="0"/>
          <w:position w:val="0"/>
          <w:sz w:val="24"/>
          <w:shd w:fill="auto" w:val="clear"/>
        </w:rPr>
        <w:t xml:space="preserve"> é um crítico “sui generis”. A ele, diretamente, não lhe incumbe a análise da obra literária em sua estruturação intrínseca, nem a exegese dos sentidos múltiplos dessa obra.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Que há a fazer-se, no Brasil, no domínio da Literatura Comparada? Simplesmente, a pergunta seria irrisória. Deixemos-nos, contudo, de pessimismos. Se nada, ou quase nada, fizemos ainda em tal sentido, comecemos agora como denodo e entusiasmo, dispostos a recuperar tanto tempo perdido. E é para recuperar este tempo perdido, que este artigo foi elaborado, para contribuir com os estudos da Literatura comparada no Brasil.</w:t>
      </w:r>
    </w:p>
    <w:p>
      <w:pPr>
        <w:spacing w:before="0" w:after="0" w:line="24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Os romances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“Todas as famílias felizes são parecidas entre si. As infelizes são infelizes cada uma a sua maneira.”</w:t>
      </w:r>
      <w:r>
        <w:rPr>
          <w:rFonts w:ascii="Arial" w:hAnsi="Arial" w:cs="Arial" w:eastAsia="Arial"/>
          <w:color w:val="auto"/>
          <w:spacing w:val="0"/>
          <w:position w:val="0"/>
          <w:sz w:val="24"/>
          <w:shd w:fill="auto" w:val="clear"/>
        </w:rPr>
        <w:t xml:space="preserve"> Esta enigmática frase inicia o romance de Leon Tolstoi. Ela introduz a situação que fará Ana sair de São Petersburgo para ir até Moscou tentar salvar o casamento do irmão Stiepan Arcádievitch Oblonski. </w:t>
      </w:r>
    </w:p>
    <w:p>
      <w:pPr>
        <w:spacing w:before="0" w:after="0" w:line="360"/>
        <w:ind w:right="0" w:left="0" w:firstLine="162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Ana karênina depara-se com Vronski, um homem jovem e sedutor, bem diferente do seu marido Karenin, vinte anos mais velho do que ela e mais preocupado com a sua posição aristocrática do que com a vida pessoal e familiar.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Quando o inicia-se o caso entre Ana e Vronski, Karenin tem uma atitude de cautela, pedindo para que a esposa fosse ao menos discreta nos seus amores. Um exemplo disto é momento no qual Vronski sofre um acidente durante um campeonato de equitação e Ana se desespera: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Que te pareceu incorreto no meu comportamento?</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O desespero que não soubeste esconder quando caiu um dos cavaleiros.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Karenin aguardava que ela respondesse, mas Ana permaneceu calada, o olhar fixo diante de si. </w:t>
      </w:r>
    </w:p>
    <w:p>
      <w:pPr>
        <w:spacing w:before="0" w:after="0" w:line="240"/>
        <w:ind w:right="0" w:left="2340" w:firstLine="0"/>
        <w:jc w:val="both"/>
        <w:rPr>
          <w:rFonts w:ascii="Arial" w:hAnsi="Arial" w:cs="Arial" w:eastAsia="Arial"/>
          <w:i/>
          <w:color w:val="auto"/>
          <w:spacing w:val="0"/>
          <w:position w:val="0"/>
          <w:sz w:val="20"/>
          <w:shd w:fill="auto" w:val="clear"/>
        </w:rPr>
      </w:pPr>
      <w:r>
        <w:rPr>
          <w:rFonts w:ascii="Arial" w:hAnsi="Arial" w:cs="Arial" w:eastAsia="Arial"/>
          <w:color w:val="auto"/>
          <w:spacing w:val="0"/>
          <w:position w:val="0"/>
          <w:sz w:val="20"/>
          <w:shd w:fill="auto" w:val="clear"/>
        </w:rPr>
        <w:tab/>
        <w:t xml:space="preserve">- Já te pedi que te comportasse corretamente em sociedade para que as más línguas nada tivessem a dizer de ti. De uma vez falei-te, mesmo, das nossas relações íntimas; agora, não, agora falo das relações externas. Comportaste-te de forma inconveniente e desejaria que isto não voltasse a repetir-se.</w:t>
      </w:r>
      <w:r>
        <w:rPr>
          <w:rFonts w:ascii="Arial" w:hAnsi="Arial" w:cs="Arial" w:eastAsia="Arial"/>
          <w:i/>
          <w:color w:val="auto"/>
          <w:spacing w:val="0"/>
          <w:position w:val="0"/>
          <w:sz w:val="20"/>
          <w:shd w:fill="auto" w:val="clear"/>
        </w:rPr>
        <w:t xml:space="preserve"> (Ana Karênina p. 209).</w:t>
      </w:r>
    </w:p>
    <w:p>
      <w:pPr>
        <w:spacing w:before="0" w:after="0" w:line="360"/>
        <w:ind w:right="0" w:left="0" w:firstLine="1620"/>
        <w:jc w:val="both"/>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ab/>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Ana enfim, decide-se a abandonar o filho e o marido e vai viver com o amante, mas sua vida não se torna um “mar de rosas”, já que ela sente que terá de pagar um preço pela atitude: ser vista como uma mulher adúltera e sem escrúpulos.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Aos poucos, Ana se desespera no medo de perder tudo que lhe restou: o amor de Vronski. Por mais que este lhe dispusesse cuidados e carinhos ela não se sente segura.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Coração insaciável é o de Ana, que se torna possessiva e dualista. Às vezes fica feliz por ter tomado a decisão de abandonar a família para viver com Vronski, em outros momentos, se sente culpada por estar longe do filho que teve com Karenin.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 As brigas entre Ana e Vronski se tornam cada vez mais freqüentes e ela cobra atenção do amante:</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4"/>
          <w:shd w:fill="auto" w:val="clear"/>
        </w:rPr>
        <w:tab/>
      </w:r>
      <w:r>
        <w:rPr>
          <w:rFonts w:ascii="Arial" w:hAnsi="Arial" w:cs="Arial" w:eastAsia="Arial"/>
          <w:color w:val="auto"/>
          <w:spacing w:val="0"/>
          <w:position w:val="0"/>
          <w:sz w:val="20"/>
          <w:shd w:fill="auto" w:val="clear"/>
        </w:rPr>
        <w:t xml:space="preserve">_ Naturalmente quisestes ficar e ficaste. Fazes tudo o que queres (...) – exclamou,  cada vez mais exaltada.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ab/>
        <w:t xml:space="preserve">- Acaso alguém aqui discute os teus direitos? Queres ter razão, pois fique com ela.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ab/>
        <w:t xml:space="preserve">Vronski  fechou a mão, endireitando-se, e no rosto pintou-se-lhe uma expressão ainda mais firme.</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ab/>
        <w:t xml:space="preserve">- Para ti é uma questão de casmurrice, sim, de casmurrice – repetiu ela, olhando fixamente Vronski, quando encontrou um qualitativo para aquela expressão que tanto a irritava. – Para ti o que importa é saber qual de nós acabará por sair vencedor. Mas para mim... – outra vez sentiu compaixão por si própria e pouco faltou para romper a chorar. – Se soubesses o que significa  para mim a tua hostilidade, sim, é essa a palavra! Se soubesses o medo que eu tenho de uma desgraça em momentos assim, o medo que tenho de mim mesma! – e Ana voltou o rosto para esconder as lágrimas. .(ANA KARÊNINA Vol.2 p. 250.).</w:t>
      </w:r>
    </w:p>
    <w:p>
      <w:pPr>
        <w:spacing w:before="0" w:after="0" w:line="240"/>
        <w:ind w:right="0" w:left="2340" w:firstLine="0"/>
        <w:jc w:val="both"/>
        <w:rPr>
          <w:rFonts w:ascii="Arial" w:hAnsi="Arial" w:cs="Arial" w:eastAsia="Arial"/>
          <w:i/>
          <w:color w:val="auto"/>
          <w:spacing w:val="0"/>
          <w:position w:val="0"/>
          <w:sz w:val="20"/>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morte de Ana é sua vingança contra Vronski, que para ela, já havia esquecido de seu amor. Descontrolada ela se suicida na mesma estação de trem na qual os dois se conheceram. “Escrito na estrelas”? Difícil questão a ser respondida, já que Leon Tolstoi construiu o romance sob um clima de maus presságios da protagonista, agoniada por viver uma história de amor condenável aos olhos de todos e que por isso, sempre esperava que algo de mal fosse acontecer para destruir a felicidade conseguida a custo de lágrimas alheias.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Vronski tem a guerra da Sérvia como solução para a sua tristeza. </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i/>
          <w:color w:val="auto"/>
          <w:spacing w:val="0"/>
          <w:position w:val="0"/>
          <w:sz w:val="24"/>
          <w:shd w:fill="auto" w:val="clear"/>
        </w:rPr>
        <w:tab/>
      </w:r>
      <w:r>
        <w:rPr>
          <w:rFonts w:ascii="Arial" w:hAnsi="Arial" w:cs="Arial" w:eastAsia="Arial"/>
          <w:color w:val="auto"/>
          <w:spacing w:val="0"/>
          <w:position w:val="0"/>
          <w:sz w:val="20"/>
          <w:shd w:fill="auto" w:val="clear"/>
        </w:rPr>
        <w:t xml:space="preserve">_ O meu único mérito – tornou Vronki – está em que a vida para mim nada mais significa. Apenas sei que ainda me resta energia suficiente para entrar na liça e matar ou morrer. Compraz-me saber que existe alguma coisa por que possa das a minha vida, e não porque precise dela, mas apenas porque se me tornou odiosa. Assim servirá a alguém – acrescentou, com um movimento de impaciência do maxilar, resultado da dor no maxilar que o atormentava e, outrossim, não lhe permitia falar com a expressão desejada. (ANA KARÊNINA VOL.2 p. 320.).</w:t>
      </w:r>
    </w:p>
    <w:p>
      <w:pPr>
        <w:spacing w:before="0" w:after="0" w:line="240"/>
        <w:ind w:right="0" w:left="2340" w:firstLine="0"/>
        <w:jc w:val="both"/>
        <w:rPr>
          <w:rFonts w:ascii="Arial" w:hAnsi="Arial" w:cs="Arial" w:eastAsia="Arial"/>
          <w:color w:val="auto"/>
          <w:spacing w:val="0"/>
          <w:position w:val="0"/>
          <w:sz w:val="20"/>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Um romance de adultério? Uma crítica à sociedade aristocrata? A estória de amor entre Ana e Vronski poderia ter se tornado piegas e exageradamente romântica, não fosse a habilidade de Tolstoi em incutir-lhe um tom introspectivo e dualista que leva o leitor a sentimentos diversos em relação à Ana... ora culpada, ora vítima de uma paixão desenfreada por um homem que lhe proporcionaria todos os carinhos que a família clássica da aristocracia não lhe proporcionava mais.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“Madame Bovary sou eu”. </w:t>
      </w:r>
      <w:r>
        <w:rPr>
          <w:rFonts w:ascii="Arial" w:hAnsi="Arial" w:cs="Arial" w:eastAsia="Arial"/>
          <w:color w:val="auto"/>
          <w:spacing w:val="0"/>
          <w:position w:val="0"/>
          <w:sz w:val="24"/>
          <w:shd w:fill="auto" w:val="clear"/>
        </w:rPr>
        <w:t xml:space="preserve">Esta frase antológica de Gustave Flaubert é uma resposta durante seu julgamento por imoralidade, quando perguntado: </w:t>
      </w:r>
      <w:r>
        <w:rPr>
          <w:rFonts w:ascii="Arial" w:hAnsi="Arial" w:cs="Arial" w:eastAsia="Arial"/>
          <w:i/>
          <w:color w:val="auto"/>
          <w:spacing w:val="0"/>
          <w:position w:val="0"/>
          <w:sz w:val="24"/>
          <w:shd w:fill="auto" w:val="clear"/>
        </w:rPr>
        <w:t xml:space="preserve">“Quem é madame Bovary?”</w:t>
      </w:r>
      <w:r>
        <w:rPr>
          <w:rFonts w:ascii="Arial" w:hAnsi="Arial" w:cs="Arial" w:eastAsia="Arial"/>
          <w:color w:val="auto"/>
          <w:spacing w:val="0"/>
          <w:position w:val="0"/>
          <w:sz w:val="24"/>
          <w:shd w:fill="auto" w:val="clear"/>
        </w:rPr>
        <w:t xml:space="preserve"> É claro que a resposta enigmática não tem o significado denotativo. Isto não seria possível, já que a famosa personagem possuía características bem femininas. Ela simboliza a temática do livro, já que “Madame Bovary” é toda uma sociedade que se distanciava cada vez mais dos princípios de “Liberdade, Igualdade e Fraternidade” propostos durante a Revolução Francesa.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Emma é uma jovem criada pelo pai viúvo e educada num convento, lá, ela lê romances românticos que tinham como público leitor mulheres como ela, que idealizavam a vida e os amores presentes naquela literatura. </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Emma lera Paulo e Virgínia, sonhara com a cabana de bambus, com o preto Domingos, com o cão fiel e, principalmente, com a doce amizade de algum irmãozinho, que lhe colhesse frutos maduros em árvores mais altas que campanários ou que corresse descalço pela areia, para lhe trazer um ninho. (MADAME BOVARY p.29).</w:t>
      </w:r>
    </w:p>
    <w:p>
      <w:pPr>
        <w:spacing w:before="0" w:after="0" w:line="240"/>
        <w:ind w:right="0" w:left="2340" w:firstLine="0"/>
        <w:jc w:val="both"/>
        <w:rPr>
          <w:rFonts w:ascii="Arial" w:hAnsi="Arial" w:cs="Arial" w:eastAsia="Arial"/>
          <w:color w:val="auto"/>
          <w:spacing w:val="0"/>
          <w:position w:val="0"/>
          <w:sz w:val="20"/>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Depois de algum tempo casada com Charles Bovary, um médico viúvo, Emma percebe que ele não é nenhum herói das suas leituras, começa então a esperar alguma ação do marido que conseguisse despertar nela o amor tão sonhado e esperado. Nem mesmo o nascimento da filha Berta faz com que Emma anime-se a sentir amor pela família que constituiu. Ela só se torna amável quando encontra o primeiro amante Rodolfo Boulanger. Emma faz planos de fugir com o amante, não esperava, porém, que as intenções do conquistador não eram tão românticas quanto às dela. Ao ser abandonada, Emma mergulha-se numa profunda apatia da vida e muitos acreditam que ela não irá resistir. A doença de Emma faz Charles contrair dívidas, mas ele se sente compensado quando a vê restituída e fora de perigo.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Emma consegue restituir a felicidade ao reencontrar um conhecido da família, o jovem Leon, que ela reencontra numa apresentação de ópera que assistiu junto com o marido durante uma viagem do casal à capital.</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medo de perder o novo amante e a chance de viver o tão esperado “Romance romântico” vai aos poucos construindo a ruína da Madame Bovary. Ela se afunda em dívidas e o consumismo, comum entre os burgueses do século XIX, a coloca num beco sem saída. Com o abandono de Leon, Emma não vê solução além do suicídio. As cenas que antecedem a sua morte por envenenamento com  arsênico, têm fortes raízes naturalistas, com direito a agonia e detalhes médicos do sofrimento da protagonista. </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...Emma começou a gemer, a princípio muito fracamente. Sacudiam-lhe os ombros grandes arrepios e tornou-se mais branca do que o lençol em que cravava as unhas. O pulso irregular era agora quase insensível (MADAME BOVARY p.233).</w:t>
      </w:r>
    </w:p>
    <w:p>
      <w:pPr>
        <w:spacing w:before="0" w:after="0" w:line="240"/>
        <w:ind w:right="0" w:left="2340" w:firstLine="0"/>
        <w:jc w:val="both"/>
        <w:rPr>
          <w:rFonts w:ascii="Arial" w:hAnsi="Arial" w:cs="Arial" w:eastAsia="Arial"/>
          <w:color w:val="auto"/>
          <w:spacing w:val="0"/>
          <w:position w:val="0"/>
          <w:sz w:val="20"/>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Depois da morte de Emma, Charles descobre estar falido e torna-se um pobre que luta contra a tristeza de perder o amor da sua vida. Mesmo quando descobre a traição da esposa, o amargurado Charles não toma as atitudes de um “Otelo” orgulhoso. Pelo contrário, ele procura encontrar em Rodolfo algo que possa ter encantado Emma, que não destrua a imagem da esposa aos seus olhos.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Um dia em que Carlos foi à feira de Argueil para vender o cavalo – último recurso -, encontrou Rodolfo. Mal se viram, empalideceram. Rodolfo, que apenas enviara o seu cartão, principiou por balbuciar desculpas, depois animou-se e levou  o aprumo  (fazia então muito calor, porque estavam em agosto) a ponto de convidá-lo a tomar um copo de cerveja.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Sentado em frente dele, mordia o charuto, conversando, e Charles perdia-se em devaneios diante daquele rosto que amara. Parecia-lhe tornar a ver alguma coisa dela. Era uma espécie de encantamento. Quisera ser aquele homem. (MADAME BOVARY p.256).</w:t>
      </w:r>
    </w:p>
    <w:p>
      <w:pPr>
        <w:spacing w:before="0" w:after="0" w:line="240"/>
        <w:ind w:right="0" w:left="2340" w:firstLine="0"/>
        <w:jc w:val="both"/>
        <w:rPr>
          <w:rFonts w:ascii="Arial" w:hAnsi="Arial" w:cs="Arial" w:eastAsia="Arial"/>
          <w:color w:val="auto"/>
          <w:spacing w:val="0"/>
          <w:position w:val="0"/>
          <w:sz w:val="20"/>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Seu trágico e patético desfecho é a morte por desgosto num dia qualquer, no jardim de casa. A filha Berta, esquecida por todos, começa a afazer parte do proletariado e trabalhar em fábricas depois da morte de quase toda a família.</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Muitos se perguntam qual é o verdadeiro tema de “Madame Bovary”. Seria o adultério feminino, a crítica ao estilo romântico, crítica ao consumismo, à burguesia? Ao ler o romance pela primeira vez, o leitor tende a acreditar em qualquer um destes, ou em todos. Eles estão presentes sim. Mas a partir da segunda leitura, o leitor atencioso percebe que o grande tema proposto por Gustave Flaubert é a mediocridade humana. Mediocridade que permite que  Charles seja dominado por todas as mulheres que se aproximam dele, que faz os amantes de Emma a usarem apenas para o seu próprio prazer, que faz Emma colocar a sua vida em jogo por uma ilusão lida em romances na juventude.</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Gustave Flaubert não se equivocou ao responder “Madame Bovary sou eu”, já que ele fazia parte da sociedade que procurou descrever na sua obra-prima e que inaugurou, se assim se pode afirmar, um movimento Realista, que se tornaria fecundo no mundo inteiro criticando e contrariando o Romantismo que Emma tanto amava e que a fez procurar nos homens menos “cavalheiros”, os heróis que deixariam tudo por amor e a fariam a mulher mais realizada do mundo.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“A fruta já estava dentro da casca”. </w:t>
      </w:r>
      <w:r>
        <w:rPr>
          <w:rFonts w:ascii="Arial" w:hAnsi="Arial" w:cs="Arial" w:eastAsia="Arial"/>
          <w:color w:val="auto"/>
          <w:spacing w:val="0"/>
          <w:position w:val="0"/>
          <w:sz w:val="24"/>
          <w:shd w:fill="auto" w:val="clear"/>
        </w:rPr>
        <w:t xml:space="preserve">Esta é a conclusão de Bentinho ao fim das suas memórias. Mas afinal de contas, Capitu era mesmo dissimulada ou apenas uma mulher a frente do seu tempo? Questões como estas permeiam o romance e imortalizaram a obra-prima de Machado de Assis.</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quieto e amargurado Bentinho, já na velhice, conta a história do seu amor pela vizinha Capitu desde a descoberta do sentimento, até o desfecho de abandono, ciúmes e solidão.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Algumas partes do enredo de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parecem tiradas de um folhetim romântico: a diferença social dos amantes, a promessa cristã como obstáculo, o casamento vencendo todos os impedimentos ao amor de infância... mas, Machado de Assis surpreende a todos os românticos com o rumo destes episódios.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Capitu não é nenhuma romântica Cecília da obra de José de Alencar, sendo assim, faz de tudo para alcançar seu objetivo de casar com Bentinho. Torna-se então, uma mulher rica, da burguesia. Desta forma, cai por terra o cristianismo e qualquer tipo de fidelidade à Igreja. O casamento de Capitu e Bentinho desde o início está marcado pelo ciúme, sentimento que começa cedo, quando os dois ainda nem tinham a relação assumida: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Capitu e a passagem de um dandy... Ora, o dandy de cavalo baio não passou como os outros; era a trombeta do juízo final e soou a tempo; assim faz o destino, que é o seu próprio contra-regra. O cavaleiro não se contentou de ir andando, mas voltou a cabeça para o nosso lado, o lado de Capitu, e olhou para Capitu, e Capitu olhou para ele; o cavalo andava, a cabeça do homem deixava-se ir olhando para trás. Tal foi o segundo dente de ciúme que me mordeu. (DOM CASMURRO p.123). </w:t>
      </w:r>
    </w:p>
    <w:p>
      <w:pPr>
        <w:spacing w:before="0" w:after="0" w:line="240"/>
        <w:ind w:right="0" w:left="2340" w:firstLine="0"/>
        <w:jc w:val="both"/>
        <w:rPr>
          <w:rFonts w:ascii="Arial" w:hAnsi="Arial" w:cs="Arial" w:eastAsia="Arial"/>
          <w:color w:val="auto"/>
          <w:spacing w:val="0"/>
          <w:position w:val="0"/>
          <w:sz w:val="20"/>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Esta foi a primeira passagem na qual o olhar de Capitu causou ciúmes em Bento. Nota-se uma grande certeza nas palavras do narrador. Aí está outra questão importante no romance: todas as informações são passadas a nós, leitores, sob o olhar ciumento e melancólico de um marido que acredita ter sido traído.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Ao mesmo tempo em que coloca situações comprometedoras para Capitu, como a semelhança de Ezequiel com Escobar, o olhar dela ao cadáver deste, o episódio no qual Bentinho encontra Escobar em casa enquanto havia ido ao teatro sem a esposa, pois ela recusou-se alegando estar doente... ele também deixa dúvidas com outras questões intrigantes: A mãe de Sancha se parecia com Capitu e as duas não eram parentes, a semelhança de Ezequiel com Escobar poderia ter sido fruto do ciúme de Bentinho, já que quando o “filho” retorna da Europa, já adulto, ele vê no rapaz semelhanças até mesmo  em trejeitos que podem ser comuns a muitas pessoas sem elas serem pais e filhos necessariamente.</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Era o próprio, o exato, o verdadeiro Escobar. Era o meu comborço, era o filho de seu pai.</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 voz era a mesma de Escobar, o sotaque afrancesado.”(DOM CASMURRO p.205).</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Estendeu o copo ao vinho que eu lhe oferecia, bebeu um gole, e continuou  a comer. Escobar comia assim também, com  a cara metida no prato. (...) contava o Egito e os seus milhares de séculos, sem se perder nos algarismos; tinha a cabeça aritmética do pai.  (DOM CASMURRO p.206).</w:t>
      </w:r>
    </w:p>
    <w:p>
      <w:pPr>
        <w:spacing w:before="0" w:after="0" w:line="240"/>
        <w:ind w:right="0" w:left="2340" w:firstLine="0"/>
        <w:jc w:val="both"/>
        <w:rPr>
          <w:rFonts w:ascii="Arial" w:hAnsi="Arial" w:cs="Arial" w:eastAsia="Arial"/>
          <w:color w:val="auto"/>
          <w:spacing w:val="0"/>
          <w:position w:val="0"/>
          <w:sz w:val="20"/>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poder da pena de Machado de Assis fez com que </w:t>
      </w:r>
      <w:r>
        <w:rPr>
          <w:rFonts w:ascii="Arial" w:hAnsi="Arial" w:cs="Arial" w:eastAsia="Arial"/>
          <w:i/>
          <w:color w:val="auto"/>
          <w:spacing w:val="0"/>
          <w:position w:val="0"/>
          <w:sz w:val="24"/>
          <w:shd w:fill="auto" w:val="clear"/>
        </w:rPr>
        <w:t xml:space="preserve">“Dom Casmurro”</w:t>
      </w:r>
      <w:r>
        <w:rPr>
          <w:rFonts w:ascii="Arial" w:hAnsi="Arial" w:cs="Arial" w:eastAsia="Arial"/>
          <w:color w:val="auto"/>
          <w:spacing w:val="0"/>
          <w:position w:val="0"/>
          <w:sz w:val="24"/>
          <w:shd w:fill="auto" w:val="clear"/>
        </w:rPr>
        <w:t xml:space="preserve"> se tornasse um clássico da língua portuguesa, que até hoje é motivo de discussões entre os críticos. Estas discussões vão muito além da tradicional questão “Capitu traiu ou não traiu?” Há no livro coisas intrigantes demais para se prender a esta dúvida, como por exemplo, o que fez uma sociedade machista como a do século XIX desconfiar das afirmações de um marido traído e dar crédito a uma mulher possivelmente adúltera? De certo, eles foram seduzidos também pelos olhos de ressaca de Capitu, olhos estes que seduziram a todos e fizeram com que Bentinho se fechasse na Casmurrice e não pudesse amar outra mulher que não tivesse os mesmos olhos da sua primeira amada. </w:t>
      </w:r>
    </w:p>
    <w:p>
      <w:pPr>
        <w:spacing w:before="0" w:after="0" w:line="360"/>
        <w:ind w:right="0" w:left="0" w:firstLine="0"/>
        <w:jc w:val="both"/>
        <w:rPr>
          <w:rFonts w:ascii="Arial" w:hAnsi="Arial" w:cs="Arial" w:eastAsia="Arial"/>
          <w:b/>
          <w:color w:val="auto"/>
          <w:spacing w:val="0"/>
          <w:position w:val="0"/>
          <w:sz w:val="24"/>
          <w:u w:val="single"/>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Ponto de convergência </w:t>
      </w: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Dois romances analisados são narrados em terceira pessoa.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foge a regra e é narrado pelo marido da protagonista.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w:t>
      </w:r>
      <w:r>
        <w:rPr>
          <w:rFonts w:ascii="Arial" w:hAnsi="Arial" w:cs="Arial" w:eastAsia="Arial"/>
          <w:i/>
          <w:color w:val="auto"/>
          <w:spacing w:val="0"/>
          <w:position w:val="0"/>
          <w:sz w:val="24"/>
          <w:shd w:fill="auto" w:val="clear"/>
        </w:rPr>
        <w:t xml:space="preserve">“Ana Karênina” </w:t>
      </w:r>
      <w:r>
        <w:rPr>
          <w:rFonts w:ascii="Arial" w:hAnsi="Arial" w:cs="Arial" w:eastAsia="Arial"/>
          <w:color w:val="auto"/>
          <w:spacing w:val="0"/>
          <w:position w:val="0"/>
          <w:sz w:val="24"/>
          <w:shd w:fill="auto" w:val="clear"/>
        </w:rPr>
        <w:t xml:space="preserve">temos uma mulher da mais alta sociedade russa, uma dama por volta dos trinta anos, casada com um aristocrata vinte anos mais velho e mãe de um filho de oito anos. </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w:t>
      </w:r>
      <w:r>
        <w:rPr>
          <w:rFonts w:ascii="Arial" w:hAnsi="Arial" w:cs="Arial" w:eastAsia="Arial"/>
          <w:i/>
          <w:color w:val="auto"/>
          <w:spacing w:val="0"/>
          <w:position w:val="0"/>
          <w:sz w:val="24"/>
          <w:shd w:fill="auto" w:val="clear"/>
        </w:rPr>
        <w:t xml:space="preserve">“Madame Bovary” </w:t>
      </w:r>
      <w:r>
        <w:rPr>
          <w:rFonts w:ascii="Arial" w:hAnsi="Arial" w:cs="Arial" w:eastAsia="Arial"/>
          <w:color w:val="auto"/>
          <w:spacing w:val="0"/>
          <w:position w:val="0"/>
          <w:sz w:val="24"/>
          <w:shd w:fill="auto" w:val="clear"/>
        </w:rPr>
        <w:t xml:space="preserve">uma mulher criada num convento, acostumada a ler romances românticos e sonhar com príncipe que a tiraria daquele marasmo do campo e a levasse a frequentar as grandes festas burguesas. Em </w:t>
      </w:r>
      <w:r>
        <w:rPr>
          <w:rFonts w:ascii="Arial" w:hAnsi="Arial" w:cs="Arial" w:eastAsia="Arial"/>
          <w:i/>
          <w:color w:val="auto"/>
          <w:spacing w:val="0"/>
          <w:position w:val="0"/>
          <w:sz w:val="24"/>
          <w:shd w:fill="auto" w:val="clear"/>
        </w:rPr>
        <w:t xml:space="preserve">“Dom Casmurro”,</w:t>
      </w:r>
      <w:r>
        <w:rPr>
          <w:rFonts w:ascii="Arial" w:hAnsi="Arial" w:cs="Arial" w:eastAsia="Arial"/>
          <w:color w:val="auto"/>
          <w:spacing w:val="0"/>
          <w:position w:val="0"/>
          <w:sz w:val="24"/>
          <w:shd w:fill="auto" w:val="clear"/>
        </w:rPr>
        <w:t xml:space="preserve"> uma jovem, desde a infância descrita como “dissimulada”, casa-se com um jovem frágil, inseguro e enciumado.  O que estas três mulheres têm em comum? As três chocaram a sociedade ao transpor as regras e cometer adultério, mas isto lhes custou muito e foi cobrado até mesmo com a própria vida.</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forma como cada autor conduz a trama, leva o leitor a ter reações diferentes sobre as três mulheres. A personalidade delas deixa isto bem claro.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Ana reluta em se entregar ao amante,</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Sempre parte, realmente amanhã? – perguntou ele.</w:t>
      </w:r>
    </w:p>
    <w:p>
      <w:pPr>
        <w:tabs>
          <w:tab w:val="left" w:pos="270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 Sim, acho que sim- volveu-lhe Ana, como que surpreendida com o     atrevimento da pergunta.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Mas o irresistível brilho dos seus olhos e o sorriso que lhe lançou enquanto lhe dirigia a palavra abrasaram-no.</w:t>
      </w:r>
    </w:p>
    <w:p>
      <w:pPr>
        <w:spacing w:before="0" w:after="0" w:line="240"/>
        <w:ind w:right="0" w:left="2340" w:firstLine="15"/>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Ana Arcádievna partiu sem ter querido cear. (ANA KARÊNINA p.91 1º       vol.).</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amor de Ana e Vronski faz com que ela seja excluída da sociedade e todos a olhem de forma diferente. Ana se sente mal ao ser olhada por Kitty, antiga namorada de Vronski, pouco tempo antes de sua morte:</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Olhava para mim como se eu fosse uma coisa horrível e curiosa! (ANA KARENINA p.299 Vol 2).</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Este é o preço que ela teve que pagar por viver o seu amor de forma livre, ao contrário da condessa Vronskaia, mãe de Vronski, que viveu vários casos com o conhecimento de todos, mas nunca os assumiu abertamente. A questão então não era o adultério em si, mas o escândalo e a reprovação que ele causa a quem não é discreto ao cometê-lo.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situação de Ana faz com que ela perca o controle e tenha crises de ciúme acreditando que Vronski irá abandoná-la quando ela não for mais um capricho seu. Brigas constantes tornam a sua vida ao lado do amante muito difícil:</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_ Naturalmente quisestes ficar e ficaste. Fazes tudo o que queres (...) – exclamou,  cada vez mais exaltada.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Acaso alguém aqui discute os teus direitos? Queres ter razão, pois fique com ela.</w:t>
      </w:r>
    </w:p>
    <w:p>
      <w:pPr>
        <w:tabs>
          <w:tab w:val="left" w:pos="2340" w:leader="none"/>
        </w:tabs>
        <w:spacing w:before="0" w:after="0" w:line="240"/>
        <w:ind w:right="0" w:left="2340" w:hanging="234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Vronski  fechou a mão, endireitando-se, e no rosto pintou-se-lhe uma expressão ainda mais firme.</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Para ti é uma questão de casmurrice, sim, de casmurrice – repetiu ela, olhando fixamente Vronski, quando encontrou um qualitativo para aquela expressão que tanto a irritava. – Para ti o que importa é saber qual de nós acabará por sair vencedor. Mas para mim... – outra vez sentiu compaixão por si própria e pouco faltou para romper a chorar. – Se soubesses o que significa  para mim a tua hostilidade, sim, é essa a palavra! Se soubesses o medo que eu tenho de uma desgraça em momentos assim, o medo que tenho de mim mesma! – e Ana voltou o rosto para esconder as lágrimas.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Mas a que propósito tudo isso? – perguntou Vronski, horrorizado, ao ver o desespero de Ana. E, inclinando-se de novo para ela, beijou-lhe a mão. – Por que me falas assim? Porventura busco distrações fora de casa? Não é verdade que evito o convívio de mulheres?</w:t>
      </w:r>
    </w:p>
    <w:p>
      <w:pPr>
        <w:spacing w:before="0" w:after="0" w:line="240"/>
        <w:ind w:right="0" w:left="0" w:firstLine="234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Não faltava mais nada – exclamou Ana.</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Dize-me o que queres que eu faça para te tranqüilizar. Estou pronto a tudo para te fazer feliz – insistiu Vronski, comovido ao vê-la tão infeliz.</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Não é nada! Não é nada! – replicou Ana. – Nem eu própria sei. Talvez a minha vida solitária, talvez os meus nervos...Bom, não falemos mais nisso. Conta-me das corridas. Ainda não me disseste nada – concluiu, procurando esconder a alegria da vitória que acabara por obter. (ANA KARÊNINA Vol.2 p. 250.).</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Às vezes, as brigas eram resolvidas com uma noite de amor, mas as desconfianças e o medo de Ana permaneciam e ela sentia-se desprezada por todos: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Não, não te permitirei que me atormentes”, pensou. Essa ameaça nem lhe era dirigida a ele nem a ela própria, mas apenas à causa de seus sofrimentos.  (ANA KARÊNINA p.306 Vol.2).</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Ana cai numa rede de intrigas construída por ela própria através da hipocrisia e do preconceito que a rodeavam. Isto a leva ao suicídio e a  transformar todo o seu amor em vingança.</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leitor fica confuso com Ana Karênina. Ela merece ser julgada por seu adultério? Ou merece a piedade por seus últimos dias, nos quais ela definhava acreditando não ser mais digna do amor de Vronski? Seu orgulho e o desejo de vingança contra o amante fazem com que ela perca a vida, mostrando que a sociedade, apesar de condoer-se dela, jamais poderia perdoá-la por uma falta tão grave.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Já Emma Bovary é descrita como uma mulher que procurava realizar-se de todas as formas e por isso, escolheu o adultério como forma de realização. Já na composição da personagem protagonista, o foco literário é voltado para as futilidades de Emma e sua paixão pela idealização da literatura da época. Emma Bovary desde jovem teve uma “queda” por romances idealizados, seja pela criação que recebeu, por futilidade ou por ser fruto de uma sociedade burguesa que consumia a literatura como se fosse pão fresco.</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Emma lera Paulo e Virgínia, sonhara com a cabana de bambus, com o preto Domingos, com o cão fiel e, principalmente, com a doce amizade de algum irmãozinho, que lhe colhesse frutos maduros em árvores mais altas que campanários ou que corresse descalço pela areia, para lhe trazer um ninho.  (MADAME BOVARY p.29).</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Sendo assim, a caracterização do marido de Emma, Charles Bovary, servirá para que o leitor perceba que ele não é o ideal de perfeição que ela procura. E isto leva a crer que ela não obterá a “felicidade” no seu casamento.</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0"/>
          <w:shd w:fill="auto" w:val="clear"/>
        </w:rPr>
        <w:t xml:space="preserve">A um canto, atrás da porta, mal podíamos ver o novato. Era um rapaz do campo, de quinze anos mais ou menos, mais alto que qualquer de nós, os cabelos rentes sobre a testa, como um sacristão de aldeia, um aspecto compenetrado e acanhadíssimo. Embora não fosse espadaúdo, a jaqueta verde de botões pretos, muito apertada nas ombreiras, devia incomodá-lo bastante. Pela abertura das mangas, viam-se dois punhos vermelhos, acostumados à nudez. As pernas, enfiadas em meias azuis, saíam-lhe dumas calças amareladas muito repuxadas pelos suspensórios. Calçava uns sapatos grosseiros, mal engraxados, reforçados com pregos.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Começou-se  a recitar a lição. Ele era todo ouvidos, atento como a um sermão, sem ousar mesmo cruzar as pernas ou apoiar-se no cotovelo. E, às 2 horas, com o toque da sineta, o professor teve de avisá-lo de que era preciso entrar na fila conosco. (MADAME BOVARY p.5).</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Era difícil para uma mulher acostumada a ler sobre heróis, se apaixonar por um homem risível. O casamento por conveniência não fez com que Charles conquistasse o amor de Emma e ela procurou em outros homens o que não via no marido. A sua última tentativa de sentir algo mais forte por Charles foi à ocasião da operação de Hipólito. Ela acreditou que se o rapaz fosse curado pelo marido, com a ajuda do farmacêutico Senhor Lê François, ela se apaixonaria pelo ato de glória. Mas tudo dá errado, e Hipólito quase morre depois de ser operado por Charles.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Hipólito estorcia-se em convulsões atrozes, e de tal forma, que o motor mecânico em que estava presa a sua perna batia na parede como querendo arrombá-la.  (MADAME BOVARY p.133).</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Sob outra perspectiva, Charles era também o marido perfeito para que Emma vivesse eventuais casos adúlteros, já que ele era facilmente dominado pelas mulheres que passavam por sua vida: primeiro pela primeira esposa, pela mãe e agora por Emma.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primeira tentativa de Emma é com Rodolfo, que vai procurar ajuda ao seu marido e se encanta pela beleza e pelo espírito de Emma que não se sente mal ao ver uma sangria. Quando Emma está com ele, ela faz a felicidade do lar e se torna uma esposa melhor e mais carinhosa com Charles.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Os dois planejam fugir, mas quando Rodolfo vê que os propósitos românticos de Emma, ele a abandona e desencadeia uma crise que quase a leva à morte e faz com que Charles gaste muito no seu tratamento.</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Experimentou comer. A comida sufocava-a. Desdobrou, então, o guardanapo, como a examinar nele as costuras; quis prender realmente a atenção nisso, contar os fios do tecido. De repente, a lembrança da carta lhe voltou. Tê-la-ia perdido? Onde a encontrar? Mas sentia tal fadiga de espírito, que nunca teria sido capaz de inventar uma desculpa para sair da mesa. Além disso, tornara-se fraca, tinha medo de Carlos – ele sabia de tudo, tinha certeza! (MADAME BOVARY p.152).</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 o pobre homem, além de tudo, tinha falta de dinheiro! (MADAME BOVARY p.155).</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Emma tem a sua primeira decepção e não está preparada para isto, já que os manuais de felicidade que ela conhece bem, sempre terminam com um “Happy End” e ela não conhece a outra face das histórias de amor.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Quando recuperada, encontra um amigo da família, o jovem Leon. Eles iniciam um caso e madame Bovary começa a construir o seu trágico fim. Com medo de perdê-lo, ela se afunda em dívidas e no consumismo e  quando é abandonada, não encontra outra forma melhor escapar da reprovação de todos e opta por se suicidar. Uma morte lenta e agonizante não só para ela, mas para os que a acompanharam no seu sofrimento:</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...Emma começou a gemer, a princípio muito fracamente. Sacudiam-lhe os ombros grandes arrepios e tornou-se mais branca do que o lençol em que cravava as unhas. O pulso irregular era agora quase insensível.  (MADAME BOVARY p.233).</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Podemos dizer que Emma Bovary viveu intensamente a sua vida, embora ela acreditasse não ter encontrado a felicidade, já que nenhum dos seus casos teve uma final feliz, mas o importante na caracterização da protagonista deste romance, é que ela era uma mulher filha do seu tempo e que representava uma burguesia ascendente na época. Por isso, o escândalo que causou na sociedade francesa do século XIX quando sua história veio a público. Muitos acreditaram não estar lendo uma história de pura ficção, tamanha era a verossimilhança de Emma que lhe davam uma alcunha de “retrato da burguesia”, o que machucava muito a instituição familiar pregada por ela.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Através de uma análise sociológica, o narrador nos leva a conhecer a vida desta mulher, que morreu na tentativa de encontrar a emoção do herói que desejava tanto.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Ela não conseguiu alcançar os seus objetivos, mas viveu intensamente cada instante dos seus romances, todos com desfechos trágicos, nos quais ela terminava abandonada e rejeitada por um “herói sem caráter” literalmente.</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romance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trás uma situação diferente dos outros dois analisados neste artigo. A história narrada nele, tem apenas uma versão: um homem ciumento e rancoroso, que acredita ter sido traído pela mulher que mais amou, conta tudo sobre seu romance, desde o início até a separação e por fim, a solidão no fim da vida. Em nenhum momento ele permite que Capitu se defenda e todos os sentimentos desta, são filtrados por ele, numa análise do caráter da esposa já falecida.</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Capitu, com seus olhos de ressaca, nos é descrita por seu marido Bento num momento no qual ele está convicto da sua traição. A protagonista é uma mulher de comportamento questionável para a sociedade do século XIX, ela toma a iniciativa em vários momentos da relação, isso se deve a força do seu temperamento em contraste com a fragilidade e o lado passional tão evidentes em Bentinho.</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Em vez de ir ao espelho, que pensais que fez Capitu? Não vos esqueçais que estava sentada, de costas para mim. Capitu derreou a cabeça, a tal ponto que me foi preciso acudir com as mãos para ampará-la; o espaldar da cadeira era baixo. Inclinei-me depois sobre ela, rosto a rosto, mas trocados, os olhos de uma na linha da boca do outro. Pedi-lhe que levantasse a cabeça, podia ficar tonta, machucar o pescoço. Cheguei a dizer-lhe que estava feia; mas nem esta razão a moveu.</w:t>
      </w:r>
    </w:p>
    <w:p>
      <w:pPr>
        <w:spacing w:before="0" w:after="0" w:line="240"/>
        <w:ind w:right="0" w:left="0" w:firstLine="234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 Levanta, Capitu!</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Não quis, não levantou a cabeça, e ficamos assim a olhar um para o outro, até que ela abrochou os lábios, eu desci os meus, e... (DOM CASMURRO p. 66).</w:t>
      </w: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Esta característica sedutora de Capitu cria um contraste e que não é bem vista pela sociedade, mas proporciona à Capitu muitos aliados que no começo  opuseram-se a ela.</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O ciúme de Bentinho é construído aos poucos, como se houvesse um Iago colocando em seu coração uma desconfiança em vários pontos:</w:t>
      </w: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 Capitu e a passagem de um dandy... Ora, o dandy de cavalo baio não passou como os outros; era a trombeta do juízo final e soou a tempo; assim faz o destino, que é o seu próprio contra-regra. O cavaleiro não se contentou de ir andando, mas voltou a cabeça para o nosso lado, o lado de Capitu, e olhou para Capitu, e Capitu olhou para ele; o cavalo andava, a cabeça do homem deixava-se ir olhando para trás. Tal foi o segundo dente de ciúme que me mordeu. (DOM CASMURRO p.123). </w:t>
      </w:r>
    </w:p>
    <w:p>
      <w:pPr>
        <w:spacing w:before="0" w:after="0" w:line="240"/>
        <w:ind w:right="0" w:left="0" w:firstLine="234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...Os braços merecem um período.</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Eram belos, e na primeira noite que os levou nus ao baile, não creio que houvesse iguais na cidade, nem os seus, leitora, que eram então de menina, se eram nascidos, mas provavelmente estariam ainda no mármore, donde vieram, ou nas mãos do divino escultor. Eram os mais belos da noite, a ponto que me encheram de desvanecimento. Conversava mal com as outras pessoas, só para vê-los, por mais que eles se entrelaçassem aos das casacas alheias. Já não foi assim no segundo baile; nesse, quando vi que os homens não se fartavam de olhar para eles, de os buscar, quase de os pedir, e que roçavam por eles as mangas pretas, fiquei vexado e aborrecido. Ao terceiro não fui, e aqui tive o apoio de Escobar, a quem confiei candidamente os meus tédios; concordou logo comigo.  (DOM CASMURRO p.160 e 161).</w:t>
      </w: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Uma situação interessante presente no romance, é que num dia crucial para o desenvolvimento do enredo, o velório de Escobar, Bentinho acredita ver uma lágrima nos “olhos de ressaca” de Capitu, isto acontece numa sala cheia de pessoas, num ambiente em que a visão pode ser deturpada, como ele pode terá certeza de que era mesmo uma lágrima? Situações como estas colaboram para que o leitor fique confuso e não se solidarize tanto com o narrador Bentinho, que fica cada vez mais solitário sem ter mesmo nem a compaixão e compreensão dos leitores.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...Capitu olhou alguns instantes para o cadáver tão fixa, tão apaixonadamente fixa, que não admira lhe saltassem algumas lágrimas poucas e caladas...</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Momento houve em que os olhos de Capitu fitaram o defunto, quais os da viúva, sem o pranto nem palavras desta, mas grandes e abertos, como a vaga do mar lá fora, como se quisesse tragar também o nadador da manhã. (DOM CASMURRO p.183).</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Portanto, a dúvida plantada no coração do leitor por Machado de Assis vai muito além da tradicional “Capitu traiu Bentinho ou não?” A questão é: ela teria coragem de trair os sonhos e a pureza da infância ou tais sentimentos não existiam? </w:t>
      </w: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 te lembras bem da Capitu menina, hás de reconhecer que uma estava dentro da outra, como a fruta dentro da casca. (DOM CASMURRO p.209).</w:t>
      </w: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Sendo assim, temos uma situação adversa, já que uma sociedade machista como a do século XIX, chega a ser seduzida por Capitu, uma mulher considerada adúltera. Esta mesma sociedade, desconfia dos argumentos de um marido possivelmente traído, que teria todas as razões para desprezar a esposa, segundo as normas vigentes naquela época. Isso se deve a forma como o foco narrativo guia o leitor através de situações ambíguas, que fazem com que a famosa questão “Capitu traiu ou não?”</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se torne um mero detalhe, perante a riqueza dos argumentos de um narrador que quer a todo custo, fazer com que o leitor se compadeça dele e da sua dor.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Os três romances têm uma semelhança primordial, o adultério feminino. Num deles,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o adultério não é comprovado, fato que se deve a uma forma de narração em primeira pessoa, na qual um marido ciumento e cego por este sentimento acredita ter sido traído não só pela esposa, mas também pelo melhor amigo. Outra semelhança entre os três romances é o tempo do enredo: todos vivem suas histórias de amor, desconfianças e traições no século XIX, mas em países diferentes: na Rússia Czarista, na França Burguesa e pós-revolucionária e no Brasil do Império.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Dois romances, </w:t>
      </w:r>
      <w:r>
        <w:rPr>
          <w:rFonts w:ascii="Arial" w:hAnsi="Arial" w:cs="Arial" w:eastAsia="Arial"/>
          <w:i/>
          <w:color w:val="auto"/>
          <w:spacing w:val="0"/>
          <w:position w:val="0"/>
          <w:sz w:val="24"/>
          <w:shd w:fill="auto" w:val="clear"/>
        </w:rPr>
        <w:t xml:space="preserve">“Ana Karênina” </w:t>
      </w:r>
      <w:r>
        <w:rPr>
          <w:rFonts w:ascii="Arial" w:hAnsi="Arial" w:cs="Arial" w:eastAsia="Arial"/>
          <w:color w:val="auto"/>
          <w:spacing w:val="0"/>
          <w:position w:val="0"/>
          <w:sz w:val="24"/>
          <w:shd w:fill="auto" w:val="clear"/>
        </w:rPr>
        <w:t xml:space="preserve">e </w:t>
      </w:r>
      <w:r>
        <w:rPr>
          <w:rFonts w:ascii="Arial" w:hAnsi="Arial" w:cs="Arial" w:eastAsia="Arial"/>
          <w:i/>
          <w:color w:val="auto"/>
          <w:spacing w:val="0"/>
          <w:position w:val="0"/>
          <w:sz w:val="24"/>
          <w:shd w:fill="auto" w:val="clear"/>
        </w:rPr>
        <w:t xml:space="preserve">“Madame Bovary”, </w:t>
      </w:r>
      <w:r>
        <w:rPr>
          <w:rFonts w:ascii="Arial" w:hAnsi="Arial" w:cs="Arial" w:eastAsia="Arial"/>
          <w:color w:val="auto"/>
          <w:spacing w:val="0"/>
          <w:position w:val="0"/>
          <w:sz w:val="24"/>
          <w:shd w:fill="auto" w:val="clear"/>
        </w:rPr>
        <w:t xml:space="preserve">são narrados em terceira pessoa, já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é narrado pelo marido de Capitu, o que leva o leitor a desconfiar dos fatos que este apresenta, já que ele não permite que Capitu, em nenhum momento, tome a palavra e se defenda das acusações que o marido faz.</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As três protagonistas tiveram filhos, Ana teve um filho do marido, que ela acabou abandonando, e uma filha do amante. Emma teve uma única filha, que em meio ao seu egoísmo e ao seu tédio da vida, não conseguia fazer brotar em seu coração um amor que se espera de uma mãe. Capitu, por fim, teve um único filho, muito desejado por seu marido e que foi responsável por parte das desconfianças de Bento, já que, segundo ele, o filho era semelhante ao verdadeiro pai, o amigo Escobar.</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 forma como elas agiram com seus filhos deixa claro que elas não são mulheres como “pede” a sociedade, pois, tinham em primeiro lugar, sentimentos próprios em detrimento dos filhos. Elas não deixaram de ser mulher para ser mãe.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Assim, Ana deixou a sociedade boquiaberta com sua atitude de deixar transparecer o amor que sentia por Vronski e abandonar o filho e o marido de tantos anos para viver com um amante que, apesar de rico, era visto como um boêmio pelo conservadorismo.</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Emma por sua vez, é mais discreta e até planeja uma fuga com o primeiro amante, mas esta é abortada pelo próprio. Ela choca o próprio leitor, que não se simpatiza com uma mulher como ela, que é filha da burguesia e busca no consumismo satisfazer seus desejos.</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Capitu, ainda menina, é a primeira a tomar posição no seu romance com Bentinho, ele chega a afirmar que é o “chorão” da história. Ao contrário dos enredos românticos, Capitu faz de tudo para seduzir aqueles que são contra seu romance e contornar situações que podem separá-la de Bentinho, a promessa de Dona Glória é uma destas situações que ela consegue desfazer, com a ajuda de José Dias, que no início era opositor a paixão dos dois. Ele acaba tornando-se seu aliado, assim como muitos leitores que são seduzidos pela presença de Capitu no romance, como uma menina que sabe o que quer e se transforma numa mulher sedutora, com seus olhos misteriosos que sempre intrigaram Bentinho e se tornaram intriga para quem lê o romance, seja qual for a sua opinião sobre a suposta traição dela.</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Os três autores utilizam-se de questões capciosas para intrigar o leitor. Ana Karênina é aristocrata e vive uma ótima e tranqüila vida ao lado do marido, sendo assim, não havia motivos para sentir necessidades na vida. Mas, tudo parece tranqüilo demais e ela procura nos braços do amante Vronski, a alegria e a aventura de viver um grande amor. Emma Bovary, por sua vez, deveria agradecer a Charles que lhe tirou da vida monótona do campo, mas ao tirá-lo daquele marasmo, ele não proporcionou a vida que ela esperava e, sobretudo, por sua descrição, nota-se que ele não era o marido dos sonhos de Emma. Capitu, também é tirada de uma situação adversa pelo marido: a condição de pobre, numa sociedade consumista e que visava os bens matérias, mas, a sensibilidade e a fragilidade de Bentinho não condiziam com a força e o temperamento de uma mulher tão a frente do seu tempo como Capitu. Teria ela procurado nos braços de um amante forte, o filho que Bentinho não foi capaz de lhe dar? Questões como estas causam no leitor uma catarse comum aos três romances: a dualidade quanto à questão moral. </w:t>
        <w:tab/>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Segundo as leis vigentes naquela época, as mulheres adúlteras deviam ser odiadas e desprezadas, mas o leitor, seja do sexo feminino ou masculino, é tomado por dúvidas contrárias à moral e os bons costumes que conheceu na sua educação. É muito conhecido do público o processo contra Gustave Flaubert por imoralidade, na época da publicação de “</w:t>
      </w:r>
      <w:r>
        <w:rPr>
          <w:rFonts w:ascii="Arial" w:hAnsi="Arial" w:cs="Arial" w:eastAsia="Arial"/>
          <w:i/>
          <w:color w:val="auto"/>
          <w:spacing w:val="0"/>
          <w:position w:val="0"/>
          <w:sz w:val="24"/>
          <w:shd w:fill="auto" w:val="clear"/>
        </w:rPr>
        <w:t xml:space="preserve">Madame Bovary”.</w:t>
      </w:r>
      <w:r>
        <w:rPr>
          <w:rFonts w:ascii="Arial" w:hAnsi="Arial" w:cs="Arial" w:eastAsia="Arial"/>
          <w:color w:val="auto"/>
          <w:spacing w:val="0"/>
          <w:position w:val="0"/>
          <w:sz w:val="24"/>
          <w:shd w:fill="auto" w:val="clear"/>
        </w:rPr>
        <w:t xml:space="preserve"> No julgamento, ao ser indagado “Quem era Madame Bovary?” ele apenas respondeu: </w:t>
      </w:r>
      <w:r>
        <w:rPr>
          <w:rFonts w:ascii="Arial" w:hAnsi="Arial" w:cs="Arial" w:eastAsia="Arial"/>
          <w:i/>
          <w:color w:val="auto"/>
          <w:spacing w:val="0"/>
          <w:position w:val="0"/>
          <w:sz w:val="24"/>
          <w:shd w:fill="auto" w:val="clear"/>
        </w:rPr>
        <w:t xml:space="preserve">“Madame Bovary sou eu”. </w:t>
      </w:r>
      <w:r>
        <w:rPr>
          <w:rFonts w:ascii="Arial" w:hAnsi="Arial" w:cs="Arial" w:eastAsia="Arial"/>
          <w:color w:val="auto"/>
          <w:spacing w:val="0"/>
          <w:position w:val="0"/>
          <w:sz w:val="24"/>
          <w:shd w:fill="auto" w:val="clear"/>
        </w:rPr>
        <w:t xml:space="preserve">Seu intuito era criticar a sociedade francesa representada por Emma Bovary e não a alguém em particular.</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Assim, cada uma destas três mulheres representa um pouco da situação vivida pela sociedade russa, francesa e brasileira em meados do século XIX, um século confuso, dividido entre o cientificismo e o cristianismo que não queria ceder lugar a este. Um século que vivia as conseqüências da Revolução Francesa na qual nobres perderam a cabeça, mas o poder acabou passando para outra classe, a burguesia, e formou uma classe que vive até hoje as injustiças daquela época, o proletariado. Seriam então, Ana, Emma e Capitu fruto de um espaço ou pessoas com uma índole já formada desde a infância? São questões que não devem ser respondidas, pois suas respostas são um conjunto de convicções do leitor, unidas ao estilo narrativo presente nos romances.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O marido de Ana, Karenin, é um personagem dúbio, às vezes parece estar apenas preocupado com sua posição social e um escândalo que o adultério da esposa pode causar. Mas, quando Ana dá a luz à filha do amante, em sua casa, e fica entre a vida e a morte, sua sensibilidade e sua forma de agir com ela e a criança, traz ao leitor uma nova visão daquele homem aristocrata, uma visão diferente, mais sensível e até mesmo, de pena.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Já Charles, marido de Emma é muito ingênuo e se deixa dominar pelo leitor, ele também é digno de pena e em certos momentos, chega a ser risível a sua ingenuidade e os cuidados que desvela para Emma quando ela fica doente ao ser abandonada pelo primeiro amante.</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Bentinho, por sua vez, causa raiva nos leitores seduzidos por Capitu e que acreditam na sua inocência. Ele se torna cada vez mais sozinho, e não pode contar nem com a solidariedade da sociedade à qual escreve. Um homem frágil, que se torna um casmurro na velhice. Neste período da sua vida, as alegrias do passado são substituídas pela solidão do presente e ele procura escrever suas memórias para unir o passado e o presente, por isso, constrói uma casa semelhante à casa de sua infância, alegando que esta já não lhe reconhece.</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São três homens que podem ir de vítima a algoz, mas através da pena sutil dos três autores se tornam dúbios aos olhos do leitor e causam os mais diferentes sentimentos.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 sensualidade presente no enredo dos três é muito discreta e velada, isso porque a os conceitos da moralidade ainda não permitiam que o amor entre os casais protagonistas fosse explícito, afinal de contas, jovens leitoras iriam ler o romance. Ana se entrega a Vronski cheia de dúvidas e angústias, numa mistura de prazer e culpa que se estende por muito tempo,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até engravidar e ter certeza que o filho é do amante, já que o marido não mantém relações íntimas com ela há mais de seis meses.</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Emma, no seu desejo de viver uma paixão como nos livros que leu no passado, se entrega freneticamente aos seus amantes e durante estes períodos, se torna mais doce e amável com o marido e com a filha.</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No romance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há um capítulo que parece ter sido escrito só para servir de dúvida sobre o suposto caso de Capitu e Escobar. Certa noite, na qual Bento convida a esposa para ir ao teatro, ele se nega e diz ter dor de cabeça, mas ao chegar mais cedo em casa, ele encontra o amigo Escobar no corredor, este alega que estava à espera de Bento e eles iniciam uma conversa. É uma situação que Bentinho vê com outros olhos quando acredita na traição. Para ele, naquela noite talvez eles tivessem gerado Ezequiel, e esta é uma questão que ele se coloca a refletir depois da morte do filho. “Qual teria sido o dia da criação de Ezequiel?”.</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O foco narrativo leva o leitor a se identificar com as protagonistas ou não. Numa análise sociológica, o intuito de Gustave Flaubert ao escrever </w:t>
      </w:r>
      <w:r>
        <w:rPr>
          <w:rFonts w:ascii="Arial" w:hAnsi="Arial" w:cs="Arial" w:eastAsia="Arial"/>
          <w:i/>
          <w:color w:val="auto"/>
          <w:spacing w:val="0"/>
          <w:position w:val="0"/>
          <w:sz w:val="24"/>
          <w:shd w:fill="auto" w:val="clear"/>
        </w:rPr>
        <w:t xml:space="preserve">“Madame Bovary” </w:t>
      </w:r>
      <w:r>
        <w:rPr>
          <w:rFonts w:ascii="Arial" w:hAnsi="Arial" w:cs="Arial" w:eastAsia="Arial"/>
          <w:color w:val="auto"/>
          <w:spacing w:val="0"/>
          <w:position w:val="0"/>
          <w:sz w:val="24"/>
          <w:shd w:fill="auto" w:val="clear"/>
        </w:rPr>
        <w:t xml:space="preserve">é criticar a burguesia francesa ascendente no século XIX, portanto, através de sua narração, ele constrói uma personagem com uma característica pouco atraente ao leitor: A futilidade. Emma é uma mulher consumista e que passa por cima de qualquer coisa para conseguir sua felicidade, que na sua concepção, é ter um amante e viver aventuras e paixões avassaladoras como as dos folhetins. No romance, Emma casa-se tentando encontrar a felicidade, arranja amantes para encontrar a felicidade e compra muitos presentes a estes amantes e coisas para si própria para tentar manter esta felicidade. Ela tem relações vazias e baseadas no materialismo, o que representa o individualismo crescente na sociedade francesa pós-revolução industrial.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Agora era cada um por si, uma livre concorrência nem sempre justa, já que os industriais com mais recursos passavam por cima de qualquer pequeno artesão ainda remanescente dos tempos passados. O “lugar ao sol” era necessário para se firmar como burguês. As aparências deviam ser mantidas para que esta classe se consolidasse como a classe dominante, perfeita e feliz. </w:t>
      </w: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Nascia então, a hipocrisia, tão criticada por Flaubert através da figura de Emma Bovary, que é gentil e solicita ao marido enquanto está com seus amantes, que contrata uma ama de leite para criar a filha para ter mais tempo de pensar em si própria e nos seus anseios... são as relações mecânicas que nasciam com a nova era industrial, o ser humano cada vez mais mecanizado e individualista.</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Através da figura polêmica de uma mulher adúltera, Flaubert constrói um retrato francês da sua época, se transformando num cronista das coisas que a burguesia tentava esconder a qualquer custo. Isto é a razão das críticas e até mesmo um processo contra ele. Ninguém queria se ver retratado como o risível Charles Bovary, os cafajestes amantes de Madame Bovary e principalmente, como a própria Emma, que não consegue alcançar a felicidade que ela tanto almeja e que sem forças para enfrentar as situações que criou, se suicida, como se isto apagasse todos os erros que cometeu. Como cartada final, Flaubert coloca Emma como uma covarde.</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Tolstoi, através da sua narração, conseguiu empregar dignidade à Ana Karênina, mesmo tendo os preceitos morais contra ela.  Ana teve apenas um amante e este foi o amor da sua vida, sua ruína, isso a torna, perante a sociedade que condena a promiscuidade, mais digna do que Emma, por exemplo, que se envolvia em paixões sem raízes.</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Ana aceitou, com relutância, se entregar a um homem que não era seu marido, esta era uma situação de adultério, mas o maior escândalo foi o fato do casal de amantes não ser discreto e deixar seu amor transparecer a todos. Ora, a mãe de Vronski não tinha vivido casos extraconjugais também? Ela não era vista com maus olhos por ter feito tudo às escondidas e não ter tido a coragem de abandonar seu marido e filhos para viver nenhum grande amor, talvez porque ela só tenha vivido aventuras e o grande mau, era amar de verdade e se perder por este sentimento.</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Tolstoi, através de sua pena, cria uma personagem com sentimentos e fraquezas bem comuns a qualquer ser humano, ela tem medo de se entregar ao amante não pela culpa, mas pelo julgamento que iria receber se isto acontecesse. Depois de estar com o amante, ela tem medo de perdê-lo, pois conhece a fama do amado e acha que pode ter sido só mais uma conquista que agora não era mais interessante para ele.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Mas em seu íntimo, Ana usava este ciúme como uma forma de se culpar por ter feito algo que não era correto, por isso ela não se permite ser feliz e é cercada por lembranças que a escravizam, como a imagem do camponês morto no dia que conheceu Vronski.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Desta forma, o foco narrativo leva o leitor a ter compaixão por Ana, e aquele que se identifica com ela, fica satisfeito após o desfecho triste da personagem. Ela se atira debaixo dum trem, na mesma estação onde ela e Vronski se conheceram, numa cena cercada de simbologia para ela. Lá, onde tudo começou tudo iria terminar para ela, mas para Vronski, restaria uma eternidade de culpa, por ter deixado-a de lado. É o último resquício de orgulho e humanidade para ela, um sentimento de vingança faz com que tenha coragem de tirar a própria vida.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Sendo assim, nota-se que Tolstoi pretendia criticar através de Ana, a sociedade hipócrita que aceitava o adultério, mas não o divórcio. A trajetória de Ana retrata a vida da mulher naquela sociedade, que devia ser submissa como Dolly e aceitar as traições do marido, já que o adultério masculino não é visto de forma ruim.</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Isto faz com que o romance de Tolstoi tenha uma ligação com a obra de Flaubert, cada um ao seu modo, eles criticaram a sociedade na qual viviam através das situações e personagens que escreveram.</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No romance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temos uma situação atípica dos outros dois analisados: a narração em primeira pessoa. Pela primeira vez, um marido toma a palavra e decide contar uma história de amor frustrado, uma situação incômoda e constrangedora. Ele acredita que existe uma única verdade; a de que foi traído pela esposa e melhor amiga e pelo amigo compadre Escobar, e, além disso, nem um filho não lhe restou, já que ele vê semelhanças suficientes entre o menino Ezequiel e Escobar para afirmar que eles são pai e filho.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Bentinho tenta através de sua história, atar o passado e o presente. Mas se ele vivesse até nossos dias, ficaria frustrado, já que sua amada Capitu, sedutora como sempre, seduziu o leitor que fica em dúvidas sobre os argumentos daquele marido ciumento.  O seu ciúme é um dos motivos para o leitor desconfiar...ele poderia estar cego por este sentimento e ter interpretado situações de uma forma diferente da realidade. </w:t>
      </w: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 narração do livro leva o leitor a uma dualidade que não lhe permite aceitar qualquer fato como verdade absoluta. Em nenhum momento Capitu toma a palavra e se defende. Até mesmo alguns fatos que Bento apresenta não são tão confiáveis, como a semelhança entre Ezequiel e Escobar, por exemplo. A mãe falecida de Sancha, esposa de Escobar, era muito parecida com Capitu e elas não eram mãe e filha. Escobar no corredor da sua casa numa noite em que ele estava fora poderia estar mesmo apenas esperando o amigo.</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Machado de Assis, como retratista da realidade, descreve Capitu como uma filha de seu tempo. Uma mulher sedutora, como o próprio período do século XIX com seus avanços e sua burguesia que afloravam; mas acima de tudo, uma mulher que sabe conter-se perante a sociedade. Ela, com seus “olhos de ressaca” se tiver mesmo traído Bentinho, como ele acreditou, foi muito discreta e seu único erro, foi ter tido um filho do amante, que agora denunciava sua condição. Bento, como filho da burguesia, procura viver sua vida calma com a família, sem problemas externos para se preocupar. Mas ele escolheu uma mulher a frente do seu tempo e isto pode ter atrapalhado os seus planos, assim como tudo que foge aos padrões atrapalha os planos da burguesia.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Como não comparar três romances que têm como fio condutor três mulheres subjugadas por sua época e que intrigam leitor até hoje? </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Como não comparar três obras escritas num mesmo século, em três países diferentes, mas que contam com julgamentos tão semelhantes?</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Como não comparar três obras nas quais o foco narrativo guia a opinião do leitor e descreve cada uma das protagonistas como retratos do seu tempo e da sua sociedade?</w:t>
      </w:r>
    </w:p>
    <w:p>
      <w:pPr>
        <w:spacing w:before="0" w:after="0" w:line="360"/>
        <w:ind w:right="0" w:left="0" w:firstLine="10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Por isso que entre as suas diferenças e semelhanças, </w:t>
      </w:r>
      <w:r>
        <w:rPr>
          <w:rFonts w:ascii="Arial" w:hAnsi="Arial" w:cs="Arial" w:eastAsia="Arial"/>
          <w:i/>
          <w:color w:val="auto"/>
          <w:spacing w:val="0"/>
          <w:position w:val="0"/>
          <w:sz w:val="24"/>
          <w:shd w:fill="auto" w:val="clear"/>
        </w:rPr>
        <w:t xml:space="preserve">“Ana Karênina”, “Madame Bovary”, “Dom Casmurro” </w:t>
      </w:r>
      <w:r>
        <w:rPr>
          <w:rFonts w:ascii="Arial" w:hAnsi="Arial" w:cs="Arial" w:eastAsia="Arial"/>
          <w:color w:val="auto"/>
          <w:spacing w:val="0"/>
          <w:position w:val="0"/>
          <w:sz w:val="24"/>
          <w:shd w:fill="auto" w:val="clear"/>
        </w:rPr>
        <w:t xml:space="preserve">são mais que simples histórias de amor, são histórias da sociedade.</w:t>
      </w: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CONSIDERAÇÕES FINAIS</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Três mulheres, três romances, três estórias, três sociedades diferentes...o que faz haver uma aproximação entre eles? Além do adultério comprovado em dois deles e suposto em um, temos três desfechos trágicos, duas mortes e um abandono. Mas, ainda não é isto que faz com que eles possam ser aproximados.</w:t>
      </w:r>
    </w:p>
    <w:p>
      <w:pPr>
        <w:spacing w:before="0" w:after="0" w:line="360"/>
        <w:ind w:right="0" w:left="0" w:firstLine="1620"/>
        <w:jc w:val="both"/>
        <w:rPr>
          <w:rFonts w:ascii="Arial" w:hAnsi="Arial" w:cs="Arial" w:eastAsia="Arial"/>
          <w:color w:val="auto"/>
          <w:spacing w:val="0"/>
          <w:position w:val="0"/>
          <w:sz w:val="24"/>
          <w:shd w:fill="auto" w:val="clear"/>
        </w:rPr>
      </w:pP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Eles se aproximem pelo julgamento que cada sociedade diferente entre si fez destas mulheres que ousaram transpor os costumes da alta classe.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Realismo vigente na época em que as três obras foram publicadas era diferente em cada sociedade. Na Rússia ele voltou-se para o cristianismo e a moral, enquanto na França, foi totalmente objetivo e científico, no Brasil, procura denunciar a realidade e a podridão escondida nos pilares da sociedade, entre eles, a família.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Sendo assim, temos três personagens construídas através de um foco literário que leva o leitor a amá-las ou odiá-las, ou até mesmo apiedar-se delas. O que o leitor não consegue é ficar inerte a narrativa densa e bem construída de três autores que marcaram a literatura mundial. </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Leon Tolstoi, não deixou de lado o realismo moralista russo na hora de compor o enredo de </w:t>
      </w:r>
      <w:r>
        <w:rPr>
          <w:rFonts w:ascii="Arial" w:hAnsi="Arial" w:cs="Arial" w:eastAsia="Arial"/>
          <w:i/>
          <w:color w:val="auto"/>
          <w:spacing w:val="0"/>
          <w:position w:val="0"/>
          <w:sz w:val="24"/>
          <w:shd w:fill="auto" w:val="clear"/>
        </w:rPr>
        <w:t xml:space="preserve">“Ana Karênina”, </w:t>
      </w:r>
      <w:r>
        <w:rPr>
          <w:rFonts w:ascii="Arial" w:hAnsi="Arial" w:cs="Arial" w:eastAsia="Arial"/>
          <w:color w:val="auto"/>
          <w:spacing w:val="0"/>
          <w:position w:val="0"/>
          <w:sz w:val="24"/>
          <w:shd w:fill="auto" w:val="clear"/>
        </w:rPr>
        <w:t xml:space="preserve">um romance cercado por conceitos da época que são observados através das atitudes da sociedade quanto ao adultério feminino e o masculino.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Gustave Flaubert por sua vez, inicia o realismo mundialmente com seu polêmico romance, que retrata as mazelas de uma sociedade de forma tão “realista” que foi até julgado por imoralidade...tão verossímil era sua Emma Bovary. No julgamento, ao responder “Madame Bovary sou eu”, ele quis dizer que Madame Bovary não era um caso isolado e sim, o retrato de uma sociedade inteira que se afastava cada vez mais dos ideais de “Igualdade, Liberdade e Fraternidade” pregados na Revolução Francesa e se aproximava do igual materialista e consumista pregado pela burguesia em ascensão.</w:t>
      </w:r>
    </w:p>
    <w:p>
      <w:pPr>
        <w:spacing w:before="0" w:after="0" w:line="360"/>
        <w:ind w:right="0" w:left="0" w:firstLine="16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Machado de Assis tem por mérito fazer com que a sociedade machista brasileira do século XIX duvidasse de um marido possivelmente traído e se sentisse atraído por uma mulher a frente do seu tempo, dissimulada e sedutora. Seu “</w:t>
      </w:r>
      <w:r>
        <w:rPr>
          <w:rFonts w:ascii="Arial" w:hAnsi="Arial" w:cs="Arial" w:eastAsia="Arial"/>
          <w:i/>
          <w:color w:val="auto"/>
          <w:spacing w:val="0"/>
          <w:position w:val="0"/>
          <w:sz w:val="24"/>
          <w:shd w:fill="auto" w:val="clear"/>
        </w:rPr>
        <w:t xml:space="preserve">Dom Casmurro” </w:t>
      </w:r>
      <w:r>
        <w:rPr>
          <w:rFonts w:ascii="Arial" w:hAnsi="Arial" w:cs="Arial" w:eastAsia="Arial"/>
          <w:color w:val="auto"/>
          <w:spacing w:val="0"/>
          <w:position w:val="0"/>
          <w:sz w:val="24"/>
          <w:shd w:fill="auto" w:val="clear"/>
        </w:rPr>
        <w:t xml:space="preserve">tornou-se imortal e é bem mais do que a simples questão: Traiu ou não traiu?</w:t>
      </w:r>
    </w:p>
    <w:p>
      <w:pPr>
        <w:spacing w:before="0" w:after="0" w:line="360"/>
        <w:ind w:right="0" w:left="0" w:firstLine="1620"/>
        <w:jc w:val="both"/>
        <w:rPr>
          <w:rFonts w:ascii="Arial" w:hAnsi="Arial" w:cs="Arial" w:eastAsia="Arial"/>
          <w:b/>
          <w:color w:val="auto"/>
          <w:spacing w:val="0"/>
          <w:position w:val="0"/>
          <w:sz w:val="24"/>
          <w:u w:val="single"/>
          <w:shd w:fill="auto" w:val="clear"/>
        </w:rPr>
      </w:pPr>
      <w:r>
        <w:rPr>
          <w:rFonts w:ascii="Arial" w:hAnsi="Arial" w:cs="Arial" w:eastAsia="Arial"/>
          <w:color w:val="auto"/>
          <w:spacing w:val="0"/>
          <w:position w:val="0"/>
          <w:sz w:val="24"/>
          <w:shd w:fill="auto" w:val="clear"/>
        </w:rPr>
        <w:t xml:space="preserve">Três obras imortais que tratam de mulheres que amaram, viveram intensamente seus amores e pagaram um preço muito caro por isso.</w:t>
      </w: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Referências Bibliográficas</w:t>
      </w:r>
    </w:p>
    <w:p>
      <w:pPr>
        <w:spacing w:before="0" w:after="0" w:line="240"/>
        <w:ind w:right="0" w:left="0" w:firstLine="0"/>
        <w:jc w:val="both"/>
        <w:rPr>
          <w:rFonts w:ascii="Arial" w:hAnsi="Arial" w:cs="Arial" w:eastAsia="Arial"/>
          <w:b/>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ASSIS, Machado de. 1839-1908. </w:t>
      </w:r>
      <w:r>
        <w:rPr>
          <w:rFonts w:ascii="Arial" w:hAnsi="Arial" w:cs="Arial" w:eastAsia="Arial"/>
          <w:b/>
          <w:color w:val="auto"/>
          <w:spacing w:val="0"/>
          <w:position w:val="0"/>
          <w:sz w:val="24"/>
          <w:shd w:fill="auto" w:val="clear"/>
        </w:rPr>
        <w:t xml:space="preserve">Dom Casmurro</w:t>
      </w:r>
      <w:r>
        <w:rPr>
          <w:rFonts w:ascii="Arial" w:hAnsi="Arial" w:cs="Arial" w:eastAsia="Arial"/>
          <w:color w:val="auto"/>
          <w:spacing w:val="0"/>
          <w:position w:val="0"/>
          <w:sz w:val="24"/>
          <w:shd w:fill="auto" w:val="clear"/>
        </w:rPr>
        <w:t xml:space="preserve">. 5ª Edição, São Paulo: FTD, 1999, (Coleção Grandes Leituras).</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CARVALHAL, Tânia Franco, </w:t>
      </w:r>
      <w:r>
        <w:rPr>
          <w:rFonts w:ascii="Arial" w:hAnsi="Arial" w:cs="Arial" w:eastAsia="Arial"/>
          <w:b/>
          <w:color w:val="auto"/>
          <w:spacing w:val="0"/>
          <w:position w:val="0"/>
          <w:sz w:val="24"/>
          <w:shd w:fill="auto" w:val="clear"/>
        </w:rPr>
        <w:t xml:space="preserve">Literatura Comparada</w:t>
      </w:r>
      <w:r>
        <w:rPr>
          <w:rFonts w:ascii="Arial" w:hAnsi="Arial" w:cs="Arial" w:eastAsia="Arial"/>
          <w:color w:val="auto"/>
          <w:spacing w:val="0"/>
          <w:position w:val="0"/>
          <w:sz w:val="24"/>
          <w:shd w:fill="auto" w:val="clear"/>
        </w:rPr>
        <w:t xml:space="preserve">/São Paulo: Ática, 1998.94 páginas.</w: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CARVALHAL, Tânia Franco. </w:t>
      </w:r>
      <w:r>
        <w:rPr>
          <w:rFonts w:ascii="Arial" w:hAnsi="Arial" w:cs="Arial" w:eastAsia="Arial"/>
          <w:b/>
          <w:color w:val="auto"/>
          <w:spacing w:val="0"/>
          <w:position w:val="0"/>
          <w:sz w:val="24"/>
          <w:shd w:fill="auto" w:val="clear"/>
        </w:rPr>
        <w:t xml:space="preserve">O próprio e o alheio: Ensaios de Literatura Comparada</w:t>
      </w:r>
      <w:r>
        <w:rPr>
          <w:rFonts w:ascii="Arial" w:hAnsi="Arial" w:cs="Arial" w:eastAsia="Arial"/>
          <w:color w:val="auto"/>
          <w:spacing w:val="0"/>
          <w:position w:val="0"/>
          <w:sz w:val="24"/>
          <w:shd w:fill="auto" w:val="clear"/>
        </w:rPr>
        <w:t xml:space="preserve">. São Leopoldo: Ed. da UNISINOS, 2003. 264 páginas.</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FLAUBERT, Gustave. 1821-1880. </w:t>
      </w:r>
      <w:r>
        <w:rPr>
          <w:rFonts w:ascii="Arial" w:hAnsi="Arial" w:cs="Arial" w:eastAsia="Arial"/>
          <w:b/>
          <w:color w:val="auto"/>
          <w:spacing w:val="0"/>
          <w:position w:val="0"/>
          <w:sz w:val="24"/>
          <w:shd w:fill="auto" w:val="clear"/>
        </w:rPr>
        <w:t xml:space="preserve">Madame Bovary</w:t>
      </w:r>
      <w:r>
        <w:rPr>
          <w:rFonts w:ascii="Arial" w:hAnsi="Arial" w:cs="Arial" w:eastAsia="Arial"/>
          <w:color w:val="auto"/>
          <w:spacing w:val="0"/>
          <w:position w:val="0"/>
          <w:sz w:val="24"/>
          <w:shd w:fill="auto" w:val="clear"/>
        </w:rPr>
        <w:t xml:space="preserve">, Tradução de Araújo Nabuco - São Paulo: Abril Cultural, 1981 (grandes sucessos).</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MARQUES, Reinaldo; BITTENCOURT, Gilda Nevez. (organizadores) </w:t>
      </w:r>
      <w:r>
        <w:rPr>
          <w:rFonts w:ascii="Arial" w:hAnsi="Arial" w:cs="Arial" w:eastAsia="Arial"/>
          <w:b/>
          <w:color w:val="auto"/>
          <w:spacing w:val="0"/>
          <w:position w:val="0"/>
          <w:sz w:val="24"/>
          <w:shd w:fill="auto" w:val="clear"/>
        </w:rPr>
        <w:t xml:space="preserve">Limiares críticos: ensaio de literatura comparada</w:t>
      </w:r>
      <w:r>
        <w:rPr>
          <w:rFonts w:ascii="Arial" w:hAnsi="Arial" w:cs="Arial" w:eastAsia="Arial"/>
          <w:color w:val="auto"/>
          <w:spacing w:val="0"/>
          <w:position w:val="0"/>
          <w:sz w:val="24"/>
          <w:shd w:fill="auto" w:val="clear"/>
        </w:rPr>
        <w:t xml:space="preserve">/. Belo Horizonte: Autêntica, 1998. 253 páginas.</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REUTER, Yves. </w:t>
      </w:r>
      <w:r>
        <w:rPr>
          <w:rFonts w:ascii="Arial" w:hAnsi="Arial" w:cs="Arial" w:eastAsia="Arial"/>
          <w:b/>
          <w:color w:val="auto"/>
          <w:spacing w:val="0"/>
          <w:position w:val="0"/>
          <w:sz w:val="24"/>
          <w:shd w:fill="auto" w:val="clear"/>
        </w:rPr>
        <w:t xml:space="preserve">A análise da narrativa: o texto, a ficção e a narração</w:t>
      </w:r>
      <w:r>
        <w:rPr>
          <w:rFonts w:ascii="Arial" w:hAnsi="Arial" w:cs="Arial" w:eastAsia="Arial"/>
          <w:color w:val="auto"/>
          <w:spacing w:val="0"/>
          <w:position w:val="0"/>
          <w:sz w:val="24"/>
          <w:shd w:fill="auto" w:val="clear"/>
        </w:rPr>
        <w:t xml:space="preserve">. Tradução Mario Pontes. Rio de Janeiro. DIFEL, 2002.</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TOSTÓI, Leon Nikolaievitch. </w:t>
      </w:r>
      <w:r>
        <w:rPr>
          <w:rFonts w:ascii="Arial" w:hAnsi="Arial" w:cs="Arial" w:eastAsia="Arial"/>
          <w:b/>
          <w:color w:val="auto"/>
          <w:spacing w:val="0"/>
          <w:position w:val="0"/>
          <w:sz w:val="24"/>
          <w:shd w:fill="auto" w:val="clear"/>
        </w:rPr>
        <w:t xml:space="preserve">Ana Karênina</w:t>
      </w:r>
      <w:r>
        <w:rPr>
          <w:rFonts w:ascii="Arial" w:hAnsi="Arial" w:cs="Arial" w:eastAsia="Arial"/>
          <w:color w:val="auto"/>
          <w:spacing w:val="0"/>
          <w:position w:val="0"/>
          <w:sz w:val="24"/>
          <w:shd w:fill="auto" w:val="clear"/>
        </w:rPr>
        <w:t xml:space="preserve">. São Paulo, Nova Cultural. 1995. Volumes 1 e 2.</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53" w:after="0" w:line="240"/>
        <w:ind w:right="103" w:left="3252"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Gênero, trabalho e família</w:t>
      </w:r>
    </w:p>
    <w:p>
      <w:pPr>
        <w:spacing w:before="11" w:after="0" w:line="240"/>
        <w:ind w:right="0" w:left="0" w:firstLine="0"/>
        <w:jc w:val="left"/>
        <w:rPr>
          <w:rFonts w:ascii="Arial" w:hAnsi="Arial" w:cs="Arial" w:eastAsia="Arial"/>
          <w:b/>
          <w:color w:val="auto"/>
          <w:spacing w:val="0"/>
          <w:position w:val="0"/>
          <w:sz w:val="21"/>
          <w:shd w:fill="auto" w:val="clear"/>
        </w:rPr>
      </w:pPr>
    </w:p>
    <w:p>
      <w:pPr>
        <w:spacing w:before="0" w:after="0" w:line="266"/>
        <w:ind w:right="103" w:left="4947" w:firstLine="1672"/>
        <w:jc w:val="left"/>
        <w:rPr>
          <w:rFonts w:ascii="Arial" w:hAnsi="Arial" w:cs="Arial" w:eastAsia="Arial"/>
          <w:color w:val="auto"/>
          <w:spacing w:val="0"/>
          <w:position w:val="11"/>
          <w:sz w:val="16"/>
          <w:shd w:fill="auto" w:val="clear"/>
        </w:rPr>
      </w:pPr>
      <w:r>
        <w:rPr>
          <w:rFonts w:ascii="Arial" w:hAnsi="Arial" w:cs="Arial" w:eastAsia="Arial"/>
          <w:color w:val="auto"/>
          <w:spacing w:val="0"/>
          <w:position w:val="0"/>
          <w:sz w:val="20"/>
          <w:shd w:fill="auto" w:val="clear"/>
        </w:rPr>
        <w:t xml:space="preserve">Sabrina Mello Lazarin</w:t>
      </w:r>
      <w:r>
        <w:rPr>
          <w:rFonts w:ascii="Arial" w:hAnsi="Arial" w:cs="Arial" w:eastAsia="Arial"/>
          <w:color w:val="auto"/>
          <w:spacing w:val="0"/>
          <w:position w:val="10"/>
          <w:sz w:val="13"/>
          <w:shd w:fill="auto" w:val="clear"/>
        </w:rPr>
        <w:t xml:space="preserve">1 </w:t>
      </w:r>
      <w:r>
        <w:rPr>
          <w:rFonts w:ascii="Arial" w:hAnsi="Arial" w:cs="Arial" w:eastAsia="Arial"/>
          <w:color w:val="auto"/>
          <w:spacing w:val="0"/>
          <w:position w:val="10"/>
          <w:sz w:val="20"/>
          <w:shd w:fill="auto" w:val="clear"/>
        </w:rPr>
        <w:t xml:space="preserve">Orientadora: Profa. Me. Adriana De Toni</w:t>
      </w:r>
      <w:r>
        <w:rPr>
          <w:rFonts w:ascii="Arial" w:hAnsi="Arial" w:cs="Arial" w:eastAsia="Arial"/>
          <w:color w:val="auto"/>
          <w:spacing w:val="0"/>
          <w:position w:val="11"/>
          <w:sz w:val="16"/>
          <w:shd w:fill="auto" w:val="clear"/>
        </w:rPr>
        <w:t xml:space="preserve">2</w:t>
      </w:r>
    </w:p>
    <w:p>
      <w:pPr>
        <w:spacing w:before="0" w:after="0" w:line="240"/>
        <w:ind w:right="0" w:left="0" w:firstLine="0"/>
        <w:jc w:val="left"/>
        <w:rPr>
          <w:rFonts w:ascii="Arial" w:hAnsi="Arial" w:cs="Arial" w:eastAsia="Arial"/>
          <w:color w:val="auto"/>
          <w:spacing w:val="0"/>
          <w:position w:val="0"/>
          <w:sz w:val="20"/>
          <w:shd w:fill="auto" w:val="clear"/>
        </w:rPr>
      </w:pPr>
    </w:p>
    <w:p>
      <w:pPr>
        <w:spacing w:before="6" w:after="0" w:line="240"/>
        <w:ind w:right="0" w:left="0" w:firstLine="0"/>
        <w:jc w:val="left"/>
        <w:rPr>
          <w:rFonts w:ascii="Arial" w:hAnsi="Arial" w:cs="Arial" w:eastAsia="Arial"/>
          <w:color w:val="auto"/>
          <w:spacing w:val="0"/>
          <w:position w:val="0"/>
          <w:sz w:val="21"/>
          <w:shd w:fill="auto" w:val="clear"/>
        </w:rPr>
      </w:pPr>
    </w:p>
    <w:p>
      <w:pPr>
        <w:numPr>
          <w:ilvl w:val="0"/>
          <w:numId w:val="2955"/>
        </w:numPr>
        <w:tabs>
          <w:tab w:val="left" w:pos="1032" w:leader="none"/>
        </w:tabs>
        <w:spacing w:before="0" w:after="0" w:line="240"/>
        <w:ind w:right="0" w:left="102" w:firstLine="728"/>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Introdução</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7" w:after="0" w:line="240"/>
        <w:ind w:right="0" w:left="0" w:firstLine="0"/>
        <w:jc w:val="left"/>
        <w:rPr>
          <w:rFonts w:ascii="Arial" w:hAnsi="Arial" w:cs="Arial" w:eastAsia="Arial"/>
          <w:b/>
          <w:color w:val="auto"/>
          <w:spacing w:val="0"/>
          <w:position w:val="0"/>
          <w:sz w:val="31"/>
          <w:shd w:fill="auto" w:val="clear"/>
        </w:rPr>
      </w:pPr>
    </w:p>
    <w:p>
      <w:pPr>
        <w:spacing w:before="0" w:after="0" w:line="360"/>
        <w:ind w:right="115" w:left="122" w:firstLine="707"/>
        <w:jc w:val="both"/>
        <w:rPr>
          <w:rFonts w:ascii="Arial" w:hAnsi="Arial" w:cs="Arial" w:eastAsia="Arial"/>
          <w:color w:val="auto"/>
          <w:spacing w:val="0"/>
          <w:position w:val="11"/>
          <w:sz w:val="24"/>
          <w:shd w:fill="auto" w:val="clear"/>
        </w:rPr>
      </w:pPr>
      <w:r>
        <w:rPr>
          <w:rFonts w:ascii="Arial" w:hAnsi="Arial" w:cs="Arial" w:eastAsia="Arial"/>
          <w:color w:val="auto"/>
          <w:spacing w:val="0"/>
          <w:position w:val="0"/>
          <w:sz w:val="24"/>
          <w:shd w:fill="auto" w:val="clear"/>
        </w:rPr>
        <w:t xml:space="preserve">O presente artigo</w:t>
      </w:r>
      <w:r>
        <w:rPr>
          <w:rFonts w:ascii="Arial" w:hAnsi="Arial" w:cs="Arial" w:eastAsia="Arial"/>
          <w:color w:val="auto"/>
          <w:spacing w:val="0"/>
          <w:position w:val="11"/>
          <w:sz w:val="16"/>
          <w:shd w:fill="auto" w:val="clear"/>
        </w:rPr>
        <w:t xml:space="preserve">3 </w:t>
      </w:r>
      <w:r>
        <w:rPr>
          <w:rFonts w:ascii="Arial" w:hAnsi="Arial" w:cs="Arial" w:eastAsia="Arial"/>
          <w:color w:val="auto"/>
          <w:spacing w:val="0"/>
          <w:position w:val="11"/>
          <w:sz w:val="24"/>
          <w:shd w:fill="auto" w:val="clear"/>
        </w:rPr>
        <w:t xml:space="preserve">aborda dois aspectos que se relacionam. O primeiro aspecto é o trabalho social como uma atividade impregnada da condição de gênero (feminino), que historicamente tem sido predominantemente atribuído às mulheres, em virtude de uma suposta “natureza feminina”, especialmente em se tratando do cuidado e do desenvolvimento de atividades direcionadas às crianças e adolescentes, aflorando o “espírito” do cuidado feminino. O segundo aspecto que pretendemos abordar é o significativo aumento das mulheres no mercado de trabalho que vem ocorrendo desde a década de 1970, especialmente nessa área social e como são estabelecidas as relações de gênero tanto no âmbito público quanto no âmbito</w:t>
      </w:r>
      <w:r>
        <w:rPr>
          <w:rFonts w:ascii="Arial" w:hAnsi="Arial" w:cs="Arial" w:eastAsia="Arial"/>
          <w:color w:val="auto"/>
          <w:spacing w:val="-19"/>
          <w:position w:val="11"/>
          <w:sz w:val="24"/>
          <w:shd w:fill="auto" w:val="clear"/>
        </w:rPr>
        <w:t xml:space="preserve"> </w:t>
      </w:r>
      <w:r>
        <w:rPr>
          <w:rFonts w:ascii="Arial" w:hAnsi="Arial" w:cs="Arial" w:eastAsia="Arial"/>
          <w:color w:val="auto"/>
          <w:spacing w:val="0"/>
          <w:position w:val="11"/>
          <w:sz w:val="24"/>
          <w:shd w:fill="auto" w:val="clear"/>
        </w:rPr>
        <w:t xml:space="preserve">privado.</w:t>
      </w:r>
    </w:p>
    <w:p>
      <w:pPr>
        <w:spacing w:before="0" w:after="0" w:line="240"/>
        <w:ind w:right="0" w:left="0" w:firstLine="0"/>
        <w:jc w:val="left"/>
        <w:rPr>
          <w:rFonts w:ascii="Arial" w:hAnsi="Arial" w:cs="Arial" w:eastAsia="Arial"/>
          <w:color w:val="auto"/>
          <w:spacing w:val="0"/>
          <w:position w:val="0"/>
          <w:sz w:val="24"/>
          <w:shd w:fill="auto" w:val="clear"/>
        </w:rPr>
      </w:pPr>
    </w:p>
    <w:p>
      <w:pPr>
        <w:spacing w:before="7" w:after="0" w:line="240"/>
        <w:ind w:right="0" w:left="0" w:firstLine="0"/>
        <w:jc w:val="left"/>
        <w:rPr>
          <w:rFonts w:ascii="Arial" w:hAnsi="Arial" w:cs="Arial" w:eastAsia="Arial"/>
          <w:color w:val="auto"/>
          <w:spacing w:val="0"/>
          <w:position w:val="0"/>
          <w:sz w:val="29"/>
          <w:shd w:fill="auto" w:val="clear"/>
        </w:rPr>
      </w:pPr>
    </w:p>
    <w:p>
      <w:pPr>
        <w:numPr>
          <w:ilvl w:val="0"/>
          <w:numId w:val="2961"/>
        </w:numPr>
        <w:tabs>
          <w:tab w:val="left" w:pos="1234" w:leader="none"/>
        </w:tabs>
        <w:spacing w:before="0" w:after="0" w:line="240"/>
        <w:ind w:right="0" w:left="1233" w:hanging="403"/>
        <w:jc w:val="righ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Objetivos</w:t>
      </w:r>
    </w:p>
    <w:p>
      <w:pPr>
        <w:spacing w:before="5" w:after="0" w:line="240"/>
        <w:ind w:right="0" w:left="0" w:firstLine="0"/>
        <w:jc w:val="left"/>
        <w:rPr>
          <w:rFonts w:ascii="Arial" w:hAnsi="Arial" w:cs="Arial" w:eastAsia="Arial"/>
          <w:b/>
          <w:color w:val="auto"/>
          <w:spacing w:val="0"/>
          <w:position w:val="0"/>
          <w:sz w:val="29"/>
          <w:shd w:fill="auto" w:val="clear"/>
        </w:rPr>
      </w:pPr>
    </w:p>
    <w:p>
      <w:pPr>
        <w:spacing w:before="0" w:after="0" w:line="360"/>
        <w:ind w:right="116"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objetivo geral que orientou a elaboração deste artigo foi “entender as configurações de gênero nesse campo social, mapeando a divisão sexual do trabalho nas organizações em que atuam os trabalhadores”. Como objetivos específicos elencamos: </w:t>
      </w:r>
      <w:r>
        <w:rPr>
          <w:rFonts w:ascii="Arial" w:hAnsi="Arial" w:cs="Arial" w:eastAsia="Arial"/>
          <w:i/>
          <w:color w:val="auto"/>
          <w:spacing w:val="0"/>
          <w:position w:val="0"/>
          <w:sz w:val="24"/>
          <w:shd w:fill="auto" w:val="clear"/>
        </w:rPr>
        <w:t xml:space="preserve">i) </w:t>
      </w:r>
      <w:r>
        <w:rPr>
          <w:rFonts w:ascii="Arial" w:hAnsi="Arial" w:cs="Arial" w:eastAsia="Arial"/>
          <w:color w:val="auto"/>
          <w:spacing w:val="0"/>
          <w:position w:val="0"/>
          <w:sz w:val="24"/>
          <w:shd w:fill="auto" w:val="clear"/>
        </w:rPr>
        <w:t xml:space="preserve">conhecer a configuração sociocultural e econômica dos trabalhadores; </w:t>
      </w:r>
      <w:r>
        <w:rPr>
          <w:rFonts w:ascii="Arial" w:hAnsi="Arial" w:cs="Arial" w:eastAsia="Arial"/>
          <w:i/>
          <w:color w:val="auto"/>
          <w:spacing w:val="0"/>
          <w:position w:val="0"/>
          <w:sz w:val="24"/>
          <w:shd w:fill="auto" w:val="clear"/>
        </w:rPr>
        <w:t xml:space="preserve">ii) </w:t>
      </w:r>
      <w:r>
        <w:rPr>
          <w:rFonts w:ascii="Arial" w:hAnsi="Arial" w:cs="Arial" w:eastAsia="Arial"/>
          <w:color w:val="auto"/>
          <w:spacing w:val="0"/>
          <w:position w:val="0"/>
          <w:sz w:val="24"/>
          <w:shd w:fill="auto" w:val="clear"/>
        </w:rPr>
        <w:t xml:space="preserve">identificar como os trabalhadores (as) pesquisados conciliam trabalho e família.</w:t>
      </w:r>
    </w:p>
    <w:p>
      <w:pPr>
        <w:spacing w:before="0" w:after="0" w:line="240"/>
        <w:ind w:right="0" w:left="0" w:firstLine="0"/>
        <w:jc w:val="left"/>
        <w:rPr>
          <w:rFonts w:ascii="Arial" w:hAnsi="Arial" w:cs="Arial" w:eastAsia="Arial"/>
          <w:color w:val="auto"/>
          <w:spacing w:val="0"/>
          <w:position w:val="0"/>
          <w:sz w:val="20"/>
          <w:shd w:fill="auto" w:val="clear"/>
        </w:rPr>
      </w:pPr>
    </w:p>
    <w:p>
      <w:pPr>
        <w:spacing w:before="9" w:after="0" w:line="240"/>
        <w:ind w:right="0" w:left="0" w:firstLine="0"/>
        <w:jc w:val="left"/>
        <w:rPr>
          <w:rFonts w:ascii="Arial" w:hAnsi="Arial" w:cs="Arial" w:eastAsia="Arial"/>
          <w:color w:val="auto"/>
          <w:spacing w:val="0"/>
          <w:position w:val="0"/>
          <w:sz w:val="21"/>
          <w:shd w:fill="auto" w:val="clear"/>
        </w:rPr>
      </w:pPr>
    </w:p>
    <w:p>
      <w:pPr>
        <w:spacing w:before="37" w:after="0" w:line="240"/>
        <w:ind w:right="120" w:left="122" w:firstLine="0"/>
        <w:jc w:val="both"/>
        <w:rPr>
          <w:rFonts w:ascii="Arial" w:hAnsi="Arial" w:cs="Arial" w:eastAsia="Arial"/>
          <w:color w:val="auto"/>
          <w:spacing w:val="0"/>
          <w:position w:val="10"/>
          <w:sz w:val="20"/>
          <w:shd w:fill="auto" w:val="clear"/>
        </w:rPr>
      </w:pPr>
      <w:r>
        <w:rPr>
          <w:rFonts w:ascii="Arial" w:hAnsi="Arial" w:cs="Arial" w:eastAsia="Arial"/>
          <w:color w:val="auto"/>
          <w:spacing w:val="0"/>
          <w:position w:val="10"/>
          <w:sz w:val="13"/>
          <w:shd w:fill="auto" w:val="clear"/>
        </w:rPr>
        <w:t xml:space="preserve">1 </w:t>
      </w:r>
      <w:r>
        <w:rPr>
          <w:rFonts w:ascii="Arial" w:hAnsi="Arial" w:cs="Arial" w:eastAsia="Arial"/>
          <w:color w:val="auto"/>
          <w:spacing w:val="0"/>
          <w:position w:val="10"/>
          <w:sz w:val="20"/>
          <w:shd w:fill="auto" w:val="clear"/>
        </w:rPr>
        <w:t xml:space="preserve">Bacharel em Serviço Social pela Universidade Comunitária da Região de Chapecó - Unochapecó, participante do grupo de pesquisa Trabalho, Sociedade e Políticas Sociais.</w:t>
      </w:r>
    </w:p>
    <w:p>
      <w:pPr>
        <w:spacing w:before="4" w:after="0" w:line="240"/>
        <w:ind w:right="127" w:left="122" w:firstLine="0"/>
        <w:jc w:val="both"/>
        <w:rPr>
          <w:rFonts w:ascii="Arial" w:hAnsi="Arial" w:cs="Arial" w:eastAsia="Arial"/>
          <w:color w:val="auto"/>
          <w:spacing w:val="0"/>
          <w:position w:val="10"/>
          <w:sz w:val="20"/>
          <w:shd w:fill="auto" w:val="clear"/>
        </w:rPr>
      </w:pPr>
      <w:r>
        <w:rPr>
          <w:rFonts w:ascii="Arial" w:hAnsi="Arial" w:cs="Arial" w:eastAsia="Arial"/>
          <w:color w:val="auto"/>
          <w:spacing w:val="0"/>
          <w:position w:val="10"/>
          <w:sz w:val="13"/>
          <w:shd w:fill="auto" w:val="clear"/>
        </w:rPr>
        <w:t xml:space="preserve">2 </w:t>
      </w:r>
      <w:r>
        <w:rPr>
          <w:rFonts w:ascii="Arial" w:hAnsi="Arial" w:cs="Arial" w:eastAsia="Arial"/>
          <w:color w:val="auto"/>
          <w:spacing w:val="0"/>
          <w:position w:val="10"/>
          <w:sz w:val="20"/>
          <w:shd w:fill="auto" w:val="clear"/>
        </w:rPr>
        <w:t xml:space="preserve">Professora e coordenadora do curso de Serviço Social da Universidade Comunitária da Região de Chapecó – Unochapecó, sendo professora pesquisadora do grupo de pesquisa Trabalho, Organizações e Inclusão Social.</w:t>
      </w:r>
    </w:p>
    <w:p>
      <w:pPr>
        <w:spacing w:before="0" w:after="0" w:line="263"/>
        <w:ind w:right="0" w:left="122" w:firstLine="0"/>
        <w:jc w:val="both"/>
        <w:rPr>
          <w:rFonts w:ascii="Arial" w:hAnsi="Arial" w:cs="Arial" w:eastAsia="Arial"/>
          <w:b/>
          <w:color w:val="auto"/>
          <w:spacing w:val="0"/>
          <w:position w:val="11"/>
          <w:sz w:val="20"/>
          <w:shd w:fill="auto" w:val="clear"/>
        </w:rPr>
      </w:pPr>
      <w:r>
        <w:rPr>
          <w:rFonts w:ascii="Arial" w:hAnsi="Arial" w:cs="Arial" w:eastAsia="Arial"/>
          <w:color w:val="auto"/>
          <w:spacing w:val="0"/>
          <w:position w:val="11"/>
          <w:sz w:val="16"/>
          <w:shd w:fill="auto" w:val="clear"/>
        </w:rPr>
        <w:t xml:space="preserve">3 </w:t>
      </w:r>
      <w:r>
        <w:rPr>
          <w:rFonts w:ascii="Arial" w:hAnsi="Arial" w:cs="Arial" w:eastAsia="Arial"/>
          <w:color w:val="auto"/>
          <w:spacing w:val="0"/>
          <w:position w:val="11"/>
          <w:sz w:val="20"/>
          <w:shd w:fill="auto" w:val="clear"/>
        </w:rPr>
        <w:t xml:space="preserve">Este artigo foi elaborado a partir do Trabalho de Conclusão de Curso – TCC intitulado </w:t>
      </w:r>
      <w:r>
        <w:rPr>
          <w:rFonts w:ascii="Arial" w:hAnsi="Arial" w:cs="Arial" w:eastAsia="Arial"/>
          <w:b/>
          <w:color w:val="auto"/>
          <w:spacing w:val="0"/>
          <w:position w:val="11"/>
          <w:sz w:val="20"/>
          <w:shd w:fill="auto" w:val="clear"/>
        </w:rPr>
        <w:t xml:space="preserve">“Os</w:t>
      </w:r>
    </w:p>
    <w:p>
      <w:pPr>
        <w:spacing w:before="7" w:after="0" w:line="240"/>
        <w:ind w:right="117" w:left="122"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sentidos e significados atribuídos ao trabalho por trabalhadores de políticas sociais dirigidas às crianças e adolescentes do município de Chapecó”</w:t>
      </w:r>
      <w:r>
        <w:rPr>
          <w:rFonts w:ascii="Arial" w:hAnsi="Arial" w:cs="Arial" w:eastAsia="Arial"/>
          <w:color w:val="auto"/>
          <w:spacing w:val="0"/>
          <w:position w:val="0"/>
          <w:sz w:val="20"/>
          <w:shd w:fill="auto" w:val="clear"/>
        </w:rPr>
        <w:t xml:space="preserve">. Um dos objetivos do trabalho foi “entender as configurações de gênero nesse campo social, mapeando a divisão sexual do trabalho nas organizações em que atuam os trabalhadores”. O TCC é uma exigência da disciplina de Orientação de Trabalho de Conclusão de Curso – OTCC II, ministrada no primeiro semestre de 2010, com o intuito da obtenção de grau de Bacharel em Serviço Social pela Universidade Comunitária da Região de Chapecó - Unochapecó.</w:t>
      </w:r>
    </w:p>
    <w:p>
      <w:pPr>
        <w:spacing w:before="0" w:after="0" w:line="240"/>
        <w:ind w:right="0" w:left="0" w:firstLine="0"/>
        <w:jc w:val="both"/>
        <w:rPr>
          <w:rFonts w:ascii="Arial" w:hAnsi="Arial" w:cs="Arial" w:eastAsia="Arial"/>
          <w:color w:val="auto"/>
          <w:spacing w:val="0"/>
          <w:position w:val="0"/>
          <w:sz w:val="20"/>
          <w:shd w:fill="auto" w:val="clear"/>
        </w:rPr>
      </w:pPr>
    </w:p>
    <w:p>
      <w:pPr>
        <w:numPr>
          <w:ilvl w:val="0"/>
          <w:numId w:val="2971"/>
        </w:numPr>
        <w:tabs>
          <w:tab w:val="left" w:pos="1365" w:leader="none"/>
        </w:tabs>
        <w:spacing w:before="55" w:after="0" w:line="240"/>
        <w:ind w:right="0" w:left="1364" w:hanging="400"/>
        <w:jc w:val="righ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Metodologia</w:t>
      </w:r>
    </w:p>
    <w:p>
      <w:pPr>
        <w:spacing w:before="5" w:after="0" w:line="240"/>
        <w:ind w:right="0" w:left="0" w:firstLine="0"/>
        <w:jc w:val="left"/>
        <w:rPr>
          <w:rFonts w:ascii="Arial" w:hAnsi="Arial" w:cs="Arial" w:eastAsia="Arial"/>
          <w:b/>
          <w:color w:val="auto"/>
          <w:spacing w:val="0"/>
          <w:position w:val="0"/>
          <w:sz w:val="29"/>
          <w:shd w:fill="auto" w:val="clear"/>
        </w:rPr>
      </w:pPr>
    </w:p>
    <w:p>
      <w:pPr>
        <w:spacing w:before="0" w:after="0" w:line="360"/>
        <w:ind w:right="117"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Para concretizar os propósitos deste estudo optamos por uma abordagem metodológica qualitativa, ou seja, uma abordagem com níveis da realidade que não podem ser quantificados, pois trabalham de acordo com MINAYO [apud SERAPIONI, 2000, 188] partindo de “valores, crenças, representações, hábitos, atitudes e opiniões”</w:t>
      </w:r>
    </w:p>
    <w:p>
      <w:pPr>
        <w:spacing w:before="204" w:after="0" w:line="360"/>
        <w:ind w:right="115"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universo da pesquisa de campo foi constituído por trabalhadores que atuam em organizações da sociedade civil, cujas ações socio-assistenciais dirigidas às crianças e adolescentes no Município de Chapecó tiveram início entre as décadas de 1970 e 1990, e que atualmente compõem a Rede de Atendimento à Infância e Adolescência (RAIA).</w:t>
      </w:r>
    </w:p>
    <w:p>
      <w:pPr>
        <w:spacing w:before="204" w:after="0" w:line="352"/>
        <w:ind w:right="115" w:left="122" w:firstLine="707"/>
        <w:jc w:val="both"/>
        <w:rPr>
          <w:rFonts w:ascii="Arial" w:hAnsi="Arial" w:cs="Arial" w:eastAsia="Arial"/>
          <w:color w:val="auto"/>
          <w:spacing w:val="0"/>
          <w:position w:val="11"/>
          <w:sz w:val="24"/>
          <w:shd w:fill="auto" w:val="clear"/>
        </w:rPr>
      </w:pPr>
      <w:r>
        <w:rPr>
          <w:rFonts w:ascii="Arial" w:hAnsi="Arial" w:cs="Arial" w:eastAsia="Arial"/>
          <w:color w:val="auto"/>
          <w:spacing w:val="0"/>
          <w:position w:val="0"/>
          <w:sz w:val="24"/>
          <w:shd w:fill="auto" w:val="clear"/>
        </w:rPr>
        <w:t xml:space="preserve">A partir de mapeamento realizado em 2007 (resultado de um dos objetivos específicos de pesquisa</w:t>
      </w:r>
      <w:r>
        <w:rPr>
          <w:rFonts w:ascii="Arial" w:hAnsi="Arial" w:cs="Arial" w:eastAsia="Arial"/>
          <w:color w:val="auto"/>
          <w:spacing w:val="0"/>
          <w:position w:val="11"/>
          <w:sz w:val="16"/>
          <w:shd w:fill="auto" w:val="clear"/>
        </w:rPr>
        <w:t xml:space="preserve">4 </w:t>
      </w:r>
      <w:r>
        <w:rPr>
          <w:rFonts w:ascii="Arial" w:hAnsi="Arial" w:cs="Arial" w:eastAsia="Arial"/>
          <w:color w:val="auto"/>
          <w:spacing w:val="0"/>
          <w:position w:val="11"/>
          <w:sz w:val="24"/>
          <w:shd w:fill="auto" w:val="clear"/>
        </w:rPr>
        <w:t xml:space="preserve">que caracterizou 54 programas, projetos e serviços) foram identificadas as seguintes organizações não governamentais: Pastoral da Criança (1975); Associação de Pais e Amigos dos Excepcionais – APAE (1970); Centro Associativo de Atividades Psicofísicas Patrick</w:t>
      </w:r>
      <w:r>
        <w:rPr>
          <w:rFonts w:ascii="Arial" w:hAnsi="Arial" w:cs="Arial" w:eastAsia="Arial"/>
          <w:color w:val="auto"/>
          <w:spacing w:val="50"/>
          <w:position w:val="11"/>
          <w:sz w:val="24"/>
          <w:shd w:fill="auto" w:val="clear"/>
        </w:rPr>
        <w:t xml:space="preserve"> </w:t>
      </w:r>
      <w:r>
        <w:rPr>
          <w:rFonts w:ascii="Arial" w:hAnsi="Arial" w:cs="Arial" w:eastAsia="Arial"/>
          <w:color w:val="auto"/>
          <w:spacing w:val="0"/>
          <w:position w:val="11"/>
          <w:sz w:val="24"/>
          <w:shd w:fill="auto" w:val="clear"/>
        </w:rPr>
        <w:t xml:space="preserve">– CAPP</w:t>
      </w:r>
    </w:p>
    <w:p>
      <w:pPr>
        <w:spacing w:before="11" w:after="0" w:line="360"/>
        <w:ind w:right="118" w:left="12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(1991), Centro Social Urbano Ilma Rosa De Nês - organização responsável Conselho Comunitário dos Bairros SAIC e Jardim Itália (1980) e o Programa Viver - Mantenedora Sociedade Espírita dos Filhos de Dom Inácio de Loyola (1996). Este último foi </w:t>
      </w:r>
      <w:r>
        <w:rPr>
          <w:rFonts w:ascii="Arial" w:hAnsi="Arial" w:cs="Arial" w:eastAsia="Arial"/>
          <w:i/>
          <w:color w:val="auto"/>
          <w:spacing w:val="0"/>
          <w:position w:val="0"/>
          <w:sz w:val="24"/>
          <w:shd w:fill="auto" w:val="clear"/>
        </w:rPr>
        <w:t xml:space="preserve">lócus </w:t>
      </w:r>
      <w:r>
        <w:rPr>
          <w:rFonts w:ascii="Arial" w:hAnsi="Arial" w:cs="Arial" w:eastAsia="Arial"/>
          <w:color w:val="auto"/>
          <w:spacing w:val="0"/>
          <w:position w:val="0"/>
          <w:sz w:val="24"/>
          <w:shd w:fill="auto" w:val="clear"/>
        </w:rPr>
        <w:t xml:space="preserve">de pesquisa anterior.</w:t>
      </w:r>
    </w:p>
    <w:p>
      <w:pPr>
        <w:spacing w:before="204" w:after="0" w:line="360"/>
        <w:ind w:right="119"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Os sujeitos da pesquisa (trabalhadores) foram definidos  intencionalmente de acordo com os critérios de cargos e atribuições desenvolvidos, tempo de vínculo com a instituição, áreas de formação, bem como de acordo com a divisão sexual na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instituição.</w:t>
      </w:r>
    </w:p>
    <w:p>
      <w:pPr>
        <w:spacing w:before="205" w:after="0" w:line="360"/>
        <w:ind w:right="116"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partir desses condicionantes, no segundo semestre do ano de 2009 – período em que foram realizadas as entrevistas em razão do desenvolvimento do projeto de pesquisa “Trabalho e processos de subjetivação de agentes de políticas públicas a crianças e adolescentes” -, contatou-se os responsáveis pelos programas, projetos e serviços para informar os propósitos da pesquisa, bem  como  verificar  a  possibilidade  e  disponibilidade  de  participação.   </w:t>
      </w:r>
    </w:p>
    <w:p>
      <w:pPr>
        <w:spacing w:before="39" w:after="0" w:line="240"/>
        <w:ind w:right="103" w:left="122" w:firstLine="0"/>
        <w:jc w:val="left"/>
        <w:rPr>
          <w:rFonts w:ascii="Arial" w:hAnsi="Arial" w:cs="Arial" w:eastAsia="Arial"/>
          <w:color w:val="auto"/>
          <w:spacing w:val="0"/>
          <w:position w:val="9"/>
          <w:sz w:val="18"/>
          <w:shd w:fill="auto" w:val="clear"/>
        </w:rPr>
      </w:pPr>
      <w:r>
        <w:rPr>
          <w:rFonts w:ascii="Arial" w:hAnsi="Arial" w:cs="Arial" w:eastAsia="Arial"/>
          <w:color w:val="auto"/>
          <w:spacing w:val="0"/>
          <w:position w:val="9"/>
          <w:sz w:val="12"/>
          <w:shd w:fill="auto" w:val="clear"/>
        </w:rPr>
        <w:t xml:space="preserve">4 </w:t>
      </w:r>
      <w:r>
        <w:rPr>
          <w:rFonts w:ascii="Arial" w:hAnsi="Arial" w:cs="Arial" w:eastAsia="Arial"/>
          <w:color w:val="auto"/>
          <w:spacing w:val="0"/>
          <w:position w:val="9"/>
          <w:sz w:val="18"/>
          <w:shd w:fill="auto" w:val="clear"/>
        </w:rPr>
        <w:t xml:space="preserve">Projeto “Trabalho, subjetivação e cidadania de agentes de políticas dirigidas a crianças e adolescentes” da Proposta Integrada de Pesquisa em Políticas Públicas e Cidadania (Edital 005/REITORIA/2007).</w:t>
      </w:r>
    </w:p>
    <w:p>
      <w:pPr>
        <w:spacing w:before="0" w:after="0" w:line="240"/>
        <w:ind w:right="0" w:left="0" w:firstLine="0"/>
        <w:jc w:val="left"/>
        <w:rPr>
          <w:rFonts w:ascii="Arial" w:hAnsi="Arial" w:cs="Arial" w:eastAsia="Arial"/>
          <w:color w:val="auto"/>
          <w:spacing w:val="0"/>
          <w:position w:val="0"/>
          <w:sz w:val="18"/>
          <w:shd w:fill="auto" w:val="clear"/>
        </w:rPr>
      </w:pPr>
    </w:p>
    <w:p>
      <w:pPr>
        <w:spacing w:before="55" w:after="0" w:line="360"/>
        <w:ind w:right="119"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Dos contatos estabelecidos, obteve-se resposta afirmativa de três organizações. Entretanto, face aos imponderáveis que tangenciam os processos de pesquisa científica, não se efetivou entrevistas com os trabalhadores do Centro de Atividades Psicofísicas Patrick (CAAP). Houve, neste caso, dificuldade para compatibilizar os horários de agendamento das entrevistas entre os sujeitos envolvidos.</w:t>
      </w:r>
    </w:p>
    <w:p>
      <w:pPr>
        <w:spacing w:before="204"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Ao final desse processo foram entrevistados 15 (quinze) trabalhadores das seguintes organizações: Pastoral da Criança: 04 (quatro) – todas mulheres; Associação de Pais e Amigos dos Excepcionais e Chapecó (APAE): 07 (sete) – 02 (dois) homens e 05 (cinco) mulheres e o Centro Social Urbano Ilma Rosa   De Nês: 04 (quatro) – 02 (dois) homens e 02 (duas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mulheres).</w:t>
      </w:r>
    </w:p>
    <w:p>
      <w:pPr>
        <w:spacing w:before="202" w:after="0" w:line="360"/>
        <w:ind w:right="118"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pesquisa de campo foi desenvolvida com trabalhadores que atuam diretamente nesses espaços socio-assistenciais. A coleta de dados foi realizada a partir de entrevistas semi-estruturadas, cujos depoimentos foram gravados com a necessária autorização e posteriormente transcritos. O desenvolvimento da coleta de dados em campo também esteve condicionado ao termo de consentimento livre e esclarecido para a participação dos sujeitos na</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pesquisa.</w:t>
      </w:r>
    </w:p>
    <w:p>
      <w:pPr>
        <w:numPr>
          <w:ilvl w:val="0"/>
          <w:numId w:val="2984"/>
        </w:numPr>
        <w:tabs>
          <w:tab w:val="left" w:pos="1175" w:leader="none"/>
        </w:tabs>
        <w:spacing w:before="204" w:after="0" w:line="360"/>
        <w:ind w:right="122" w:left="102" w:firstLine="708"/>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 perfil socioeconômico e cultural dos trabalhadores e trabalhadoras</w:t>
      </w:r>
      <w:r>
        <w:rPr>
          <w:rFonts w:ascii="Arial" w:hAnsi="Arial" w:cs="Arial" w:eastAsia="Arial"/>
          <w:b/>
          <w:color w:val="auto"/>
          <w:spacing w:val="-12"/>
          <w:position w:val="0"/>
          <w:sz w:val="24"/>
          <w:shd w:fill="auto" w:val="clear"/>
        </w:rPr>
        <w:t xml:space="preserve"> </w:t>
      </w:r>
      <w:r>
        <w:rPr>
          <w:rFonts w:ascii="Arial" w:hAnsi="Arial" w:cs="Arial" w:eastAsia="Arial"/>
          <w:b/>
          <w:color w:val="auto"/>
          <w:spacing w:val="0"/>
          <w:position w:val="0"/>
          <w:sz w:val="24"/>
          <w:shd w:fill="auto" w:val="clear"/>
        </w:rPr>
        <w:t xml:space="preserve">entrevistadas</w:t>
      </w:r>
    </w:p>
    <w:p>
      <w:pPr>
        <w:spacing w:before="122"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 universo de agentes entrevistados, atuando na política infanto-juvenil em Chapecó, no que tange a idade, verificamos que, a maioria deles, independente do sexo, estão nas faixas etárias de 20-29 anos e 40-49 anos – fase da vida associada à produtividade (BRUSCHINNI, 1998).  Os  demais estão entre 31-39, 50-59 anos, e somente um entrevistado está na faixa etária dos 60-69 anos. Chamou nossa atenção a presença de jovens na condição de trabalhadores nesses programas, projetos e serviços. Ainda, em relação à idade, observamos a tendência apontada por Bruschinni (1998) de que as trabalhadoras a partir da década de 1980 passaram a ser mais velhas, casadas e mães, pois até fins da década de 1970 eram, em sua maioria,  jovens, solteiras e sem filhos. Estes dados aos quais a autora se referem dizem respeito ao trabalho</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formal.</w:t>
      </w:r>
    </w:p>
    <w:p>
      <w:pPr>
        <w:spacing w:before="0" w:after="0" w:line="360"/>
        <w:ind w:right="0" w:left="0" w:firstLine="0"/>
        <w:jc w:val="left"/>
        <w:rPr>
          <w:rFonts w:ascii="Arial" w:hAnsi="Arial" w:cs="Arial" w:eastAsia="Arial"/>
          <w:color w:val="auto"/>
          <w:spacing w:val="0"/>
          <w:position w:val="0"/>
          <w:sz w:val="22"/>
          <w:shd w:fill="auto" w:val="clear"/>
        </w:rPr>
      </w:pPr>
    </w:p>
    <w:p>
      <w:pPr>
        <w:spacing w:before="55"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relação ao estado civil observamos, principalmente, no universo feminino trabalhadoras casadas – 7 (sete) mulheres (6 civil e religioso, 1 união estável) e 3 (três) homens (2 civil e religioso e 1 união estável). As demais mulheres são solteiras, sendo que duas já foram casadas. Sobre as formas de união conjugal, percebemos a maior incidência de pessoas casadas legalmente e sob as bençãos da Igreja. Relativo à composição familiar identificamos que a maioria dos entrevistados possuem filhos. Entretanto, a composição familiar é pequena: 7 (sete) entrevistados possuem dois filhos, 3 (três) possui um filho e apenas 2 (dois) dos entrevistado possui 3 (três) filhos. Ainda, 3 (três) não têm filhos, dados estes, consoantes à tendência nas décadas recentes de redução no tamanho das famílias brasileiras. Outro ponto que nos chamou a atenção  em relação aos filhos, é que a maioria já não mora mais com os pais, ou os </w:t>
      </w:r>
      <w:r>
        <w:rPr>
          <w:rFonts w:ascii="Arial" w:hAnsi="Arial" w:cs="Arial" w:eastAsia="Arial"/>
          <w:color w:val="auto"/>
          <w:spacing w:val="-2"/>
          <w:position w:val="0"/>
          <w:sz w:val="24"/>
          <w:shd w:fill="auto" w:val="clear"/>
        </w:rPr>
        <w:t xml:space="preserve">que </w:t>
      </w:r>
      <w:r>
        <w:rPr>
          <w:rFonts w:ascii="Arial" w:hAnsi="Arial" w:cs="Arial" w:eastAsia="Arial"/>
          <w:color w:val="auto"/>
          <w:spacing w:val="0"/>
          <w:position w:val="0"/>
          <w:sz w:val="24"/>
          <w:shd w:fill="auto" w:val="clear"/>
        </w:rPr>
        <w:t xml:space="preserve">ainda moram, são menores de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idade.</w:t>
      </w:r>
    </w:p>
    <w:p>
      <w:pPr>
        <w:spacing w:before="125" w:after="0" w:line="360"/>
        <w:ind w:right="114"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Quanto ao grau de escolaridade constatamos que a maioria, 7 (sete) trabalhadores - todas mulheres - possuem ensino superior completo, ao passo que 3 (três) dos entrevistados possuem ensino superior incompleto, estão cursando a graduação; entre aqueles já formados, 6 (seis) possuem pós- graduação em nível de especialização. Tanto as mulheres quanto os homens com nível superior atuam no campo de sua formação profissional. Ainda em relação à escolaridade, duas mulheres e um homem, concluíram o ensino médio, uma mulher concluiu o ensino fundamental e um homem possui a escolaridade até a </w:t>
      </w:r>
      <w:r>
        <w:rPr>
          <w:rFonts w:ascii="Arial" w:hAnsi="Arial" w:cs="Arial" w:eastAsia="Arial"/>
          <w:color w:val="auto"/>
          <w:spacing w:val="0"/>
          <w:position w:val="0"/>
          <w:sz w:val="22"/>
          <w:shd w:fill="auto" w:val="clear"/>
        </w:rPr>
        <w:t xml:space="preserve">4</w:t>
      </w:r>
      <w:r>
        <w:rPr>
          <w:rFonts w:ascii="Arial" w:hAnsi="Arial" w:cs="Arial" w:eastAsia="Arial"/>
          <w:color w:val="auto"/>
          <w:spacing w:val="0"/>
          <w:position w:val="0"/>
          <w:sz w:val="16"/>
          <w:shd w:fill="auto" w:val="clear"/>
        </w:rPr>
        <w:t xml:space="preserve">ª </w:t>
      </w:r>
      <w:r>
        <w:rPr>
          <w:rFonts w:ascii="Arial" w:hAnsi="Arial" w:cs="Arial" w:eastAsia="Arial"/>
          <w:color w:val="auto"/>
          <w:spacing w:val="0"/>
          <w:position w:val="0"/>
          <w:sz w:val="22"/>
          <w:shd w:fill="auto" w:val="clear"/>
        </w:rPr>
        <w:t xml:space="preserve">Série. </w:t>
      </w:r>
      <w:r>
        <w:rPr>
          <w:rFonts w:ascii="Arial" w:hAnsi="Arial" w:cs="Arial" w:eastAsia="Arial"/>
          <w:color w:val="auto"/>
          <w:spacing w:val="0"/>
          <w:position w:val="0"/>
          <w:sz w:val="24"/>
          <w:shd w:fill="auto" w:val="clear"/>
        </w:rPr>
        <w:t xml:space="preserve">Dos homens que não possuem ensino superior completo, um atua como motorista e o outro como auxiliar de serviços externos na mesma instituição. Desta forma, identificamos na pesquisa os profissionais das seguintes áreas: serviço social, pedagogia, terapia ocupacional, psicologia, informática, história e geografia (estas duas últimas, não são as atuais áreas de atuação da entrevistada).</w:t>
      </w:r>
    </w:p>
    <w:p>
      <w:pPr>
        <w:spacing w:before="125"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que diz respeito à religiosidade dos trabalhadores envolvidos na pesquisa verificamos significativa predominância da religião católica – declarada em todos os casos, porém com formas diversificadas de vivência, de envolvimento com seus ritos e preceitos. Essas formas caracterizam-se na pesquisa por nós realizada, quando os trabalhadores afirmam que já participaram   da   igreja,   entretanto, </w:t>
      </w:r>
    </w:p>
    <w:p>
      <w:pPr>
        <w:spacing w:before="125" w:after="0" w:line="360"/>
        <w:ind w:right="116" w:left="102" w:firstLine="707"/>
        <w:jc w:val="both"/>
        <w:rPr>
          <w:rFonts w:ascii="Arial" w:hAnsi="Arial" w:cs="Arial" w:eastAsia="Arial"/>
          <w:color w:val="auto"/>
          <w:spacing w:val="0"/>
          <w:position w:val="0"/>
          <w:sz w:val="24"/>
          <w:shd w:fill="auto" w:val="clear"/>
        </w:rPr>
      </w:pPr>
    </w:p>
    <w:p>
      <w:pPr>
        <w:spacing w:before="125"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por   motivos   diversos,   acabaram  </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se afastando; outros se denominam católicos não praticantes, e há ainda os que participam das ações desenvolvidas na igreja e na comunidade. </w:t>
      </w:r>
      <w:r>
        <w:rPr>
          <w:rFonts w:ascii="Arial" w:hAnsi="Arial" w:cs="Arial" w:eastAsia="Arial"/>
          <w:color w:val="auto"/>
          <w:spacing w:val="-9"/>
          <w:position w:val="0"/>
          <w:sz w:val="24"/>
          <w:shd w:fill="auto" w:val="clear"/>
        </w:rPr>
        <w:t xml:space="preserve">Tal </w:t>
      </w:r>
      <w:r>
        <w:rPr>
          <w:rFonts w:ascii="Arial" w:hAnsi="Arial" w:cs="Arial" w:eastAsia="Arial"/>
          <w:color w:val="auto"/>
          <w:spacing w:val="0"/>
          <w:position w:val="0"/>
          <w:sz w:val="24"/>
          <w:shd w:fill="auto" w:val="clear"/>
        </w:rPr>
        <w:t xml:space="preserve">configuração está relacionada à cultura religiosa local, que foi sendo adotada no processo de colonização da região a partir da década de 1920, em </w:t>
      </w:r>
      <w:r>
        <w:rPr>
          <w:rFonts w:ascii="Arial" w:hAnsi="Arial" w:cs="Arial" w:eastAsia="Arial"/>
          <w:color w:val="auto"/>
          <w:spacing w:val="-2"/>
          <w:position w:val="0"/>
          <w:sz w:val="24"/>
          <w:shd w:fill="auto" w:val="clear"/>
        </w:rPr>
        <w:t xml:space="preserve">que </w:t>
      </w:r>
      <w:r>
        <w:rPr>
          <w:rFonts w:ascii="Arial" w:hAnsi="Arial" w:cs="Arial" w:eastAsia="Arial"/>
          <w:color w:val="auto"/>
          <w:spacing w:val="0"/>
          <w:position w:val="0"/>
          <w:sz w:val="24"/>
          <w:shd w:fill="auto" w:val="clear"/>
        </w:rPr>
        <w:t xml:space="preserve">comunidades (muitas das quais hoje municípios) foram constituídas levando-se em conta a religião e o grupo étnico (italianos, alemães, entre outros) das famílias de decendência</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européia.</w:t>
      </w:r>
    </w:p>
    <w:p>
      <w:pPr>
        <w:spacing w:before="125" w:after="0" w:line="360"/>
        <w:ind w:right="116"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Sobre a remuneração pelos trabalhos desenvolvidos, apenas um entrevistado optou por não informar. Os dados obtidos indicam variações entre 2 e 3 salários mínimos (SM) e 3 a 4 salários mínimos (SM). Em relação ao primeiro, são 4 (quatro) trabalhadores, dentre os quais, a maioria com nível superior completo e uma trabalha como voluntária e possui renda proveniente de aposentadoria. No que tange ao segundo, também são 4 (quatro) trabalhadores, sendo que uma destas também trabalha como voluntária e possui renda proveniente de aposentadoria. Acerca dos cargos deste trabalhadores, atuam de modo geral nas oficinas desenvolvidas nas organizações, exceto pelas duas voluntárias.</w:t>
      </w:r>
    </w:p>
    <w:p>
      <w:pPr>
        <w:spacing w:before="125" w:after="0" w:line="240"/>
        <w:ind w:right="103" w:left="83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que diz respeito aos demais entrevistados, uma possui renda de 5   a</w:t>
      </w:r>
    </w:p>
    <w:p>
      <w:pPr>
        <w:spacing w:before="137" w:after="0" w:line="360"/>
        <w:ind w:right="116" w:left="12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salários mínimos (SM) atuando como coordenadora pedagógica ; uma entrevistada possui renda entre 4 e 5 salários mínimos (SM), 2 (dois) entrevistados possuem renda entre 1 e 2 salários mínimos (SM), neste caso, uma desenvolve atividades no setor clínico da instituição (possui 20 horas semanais) e o outro é auxiliar de serviços gerais sendo que a escolaridade é baixa, as outras duas não tem renda própria e trabalham como voluntárias.</w:t>
      </w:r>
    </w:p>
    <w:p>
      <w:pPr>
        <w:spacing w:before="0" w:after="0" w:line="240"/>
        <w:ind w:right="0" w:left="0" w:firstLine="0"/>
        <w:jc w:val="left"/>
        <w:rPr>
          <w:rFonts w:ascii="Arial" w:hAnsi="Arial" w:cs="Arial" w:eastAsia="Arial"/>
          <w:color w:val="auto"/>
          <w:spacing w:val="0"/>
          <w:position w:val="0"/>
          <w:sz w:val="24"/>
          <w:shd w:fill="auto" w:val="clear"/>
        </w:rPr>
      </w:pPr>
    </w:p>
    <w:p>
      <w:pPr>
        <w:spacing w:before="1" w:after="0" w:line="240"/>
        <w:ind w:right="0" w:left="0" w:firstLine="0"/>
        <w:jc w:val="left"/>
        <w:rPr>
          <w:rFonts w:ascii="Arial" w:hAnsi="Arial" w:cs="Arial" w:eastAsia="Arial"/>
          <w:color w:val="auto"/>
          <w:spacing w:val="0"/>
          <w:position w:val="0"/>
          <w:sz w:val="21"/>
          <w:shd w:fill="auto" w:val="clear"/>
        </w:rPr>
      </w:pPr>
    </w:p>
    <w:p>
      <w:pPr>
        <w:numPr>
          <w:ilvl w:val="0"/>
          <w:numId w:val="2995"/>
        </w:numPr>
        <w:spacing w:before="0" w:after="0" w:line="362"/>
        <w:ind w:right="103" w:left="102" w:hanging="202"/>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 trabalho social e as configurações de gênero no âmbito público e privado – um recorte para as instituições pesquisadas</w:t>
      </w:r>
    </w:p>
    <w:p>
      <w:pPr>
        <w:spacing w:before="0" w:after="0" w:line="362"/>
        <w:ind w:right="103" w:left="0" w:firstLine="0"/>
        <w:jc w:val="left"/>
        <w:rPr>
          <w:rFonts w:ascii="Arial" w:hAnsi="Arial" w:cs="Arial" w:eastAsia="Arial"/>
          <w:b/>
          <w:color w:val="auto"/>
          <w:spacing w:val="0"/>
          <w:position w:val="0"/>
          <w:sz w:val="24"/>
          <w:shd w:fill="auto" w:val="clear"/>
        </w:rPr>
      </w:pPr>
    </w:p>
    <w:p>
      <w:pPr>
        <w:spacing w:before="199" w:after="0" w:line="331"/>
        <w:ind w:right="119" w:left="122" w:firstLine="707"/>
        <w:jc w:val="both"/>
        <w:rPr>
          <w:rFonts w:ascii="Arial" w:hAnsi="Arial" w:cs="Arial" w:eastAsia="Arial"/>
          <w:color w:val="auto"/>
          <w:spacing w:val="0"/>
          <w:position w:val="11"/>
          <w:sz w:val="24"/>
          <w:shd w:fill="auto" w:val="clear"/>
        </w:rPr>
      </w:pPr>
      <w:r>
        <w:rPr>
          <w:rFonts w:ascii="Arial" w:hAnsi="Arial" w:cs="Arial" w:eastAsia="Arial"/>
          <w:color w:val="auto"/>
          <w:spacing w:val="0"/>
          <w:position w:val="0"/>
          <w:sz w:val="24"/>
          <w:shd w:fill="auto" w:val="clear"/>
        </w:rPr>
        <w:t xml:space="preserve">Tendo em vista a dificuldade quanto as produções bibliográfica acerca  do assunto “trabalho social” </w:t>
      </w:r>
      <w:r>
        <w:rPr>
          <w:rFonts w:ascii="Arial" w:hAnsi="Arial" w:cs="Arial" w:eastAsia="Arial"/>
          <w:color w:val="auto"/>
          <w:spacing w:val="0"/>
          <w:position w:val="11"/>
          <w:sz w:val="16"/>
          <w:shd w:fill="auto" w:val="clear"/>
        </w:rPr>
        <w:t xml:space="preserve">5</w:t>
      </w:r>
      <w:r>
        <w:rPr>
          <w:rFonts w:ascii="Arial" w:hAnsi="Arial" w:cs="Arial" w:eastAsia="Arial"/>
          <w:color w:val="auto"/>
          <w:spacing w:val="0"/>
          <w:position w:val="11"/>
          <w:sz w:val="24"/>
          <w:shd w:fill="auto" w:val="clear"/>
        </w:rPr>
        <w:t xml:space="preserve">, optamos por abordá-lo de forma sucinta ao</w:t>
      </w:r>
      <w:r>
        <w:rPr>
          <w:rFonts w:ascii="Arial" w:hAnsi="Arial" w:cs="Arial" w:eastAsia="Arial"/>
          <w:color w:val="auto"/>
          <w:spacing w:val="-4"/>
          <w:position w:val="11"/>
          <w:sz w:val="24"/>
          <w:shd w:fill="auto" w:val="clear"/>
        </w:rPr>
        <w:t xml:space="preserve"> </w:t>
      </w:r>
      <w:r>
        <w:rPr>
          <w:rFonts w:ascii="Arial" w:hAnsi="Arial" w:cs="Arial" w:eastAsia="Arial"/>
          <w:color w:val="auto"/>
          <w:spacing w:val="0"/>
          <w:position w:val="11"/>
          <w:sz w:val="24"/>
          <w:shd w:fill="auto" w:val="clear"/>
        </w:rPr>
        <w:t xml:space="preserve">longo</w:t>
      </w:r>
    </w:p>
    <w:p>
      <w:pPr>
        <w:spacing w:before="0" w:after="0" w:line="240"/>
        <w:ind w:right="0" w:left="0" w:firstLine="0"/>
        <w:jc w:val="left"/>
        <w:rPr>
          <w:rFonts w:ascii="Arial" w:hAnsi="Arial" w:cs="Arial" w:eastAsia="Arial"/>
          <w:color w:val="auto"/>
          <w:spacing w:val="0"/>
          <w:position w:val="0"/>
          <w:sz w:val="20"/>
          <w:shd w:fill="auto" w:val="clear"/>
        </w:rPr>
      </w:pPr>
    </w:p>
    <w:p>
      <w:pPr>
        <w:spacing w:before="1" w:after="0" w:line="240"/>
        <w:ind w:right="0" w:left="0" w:firstLine="0"/>
        <w:jc w:val="left"/>
        <w:rPr>
          <w:rFonts w:ascii="Arial" w:hAnsi="Arial" w:cs="Arial" w:eastAsia="Arial"/>
          <w:color w:val="auto"/>
          <w:spacing w:val="0"/>
          <w:position w:val="0"/>
          <w:sz w:val="21"/>
          <w:shd w:fill="auto" w:val="clear"/>
        </w:rPr>
      </w:pPr>
    </w:p>
    <w:p>
      <w:pPr>
        <w:spacing w:before="42" w:after="0" w:line="244"/>
        <w:ind w:right="121" w:left="122" w:firstLine="0"/>
        <w:jc w:val="both"/>
        <w:rPr>
          <w:rFonts w:ascii="Arial" w:hAnsi="Arial" w:cs="Arial" w:eastAsia="Arial"/>
          <w:color w:val="auto"/>
          <w:spacing w:val="0"/>
          <w:position w:val="9"/>
          <w:sz w:val="18"/>
          <w:shd w:fill="auto" w:val="clear"/>
        </w:rPr>
      </w:pPr>
      <w:r>
        <w:rPr>
          <w:rFonts w:ascii="Times New Roman" w:hAnsi="Times New Roman" w:cs="Times New Roman" w:eastAsia="Times New Roman"/>
          <w:color w:val="auto"/>
          <w:spacing w:val="0"/>
          <w:position w:val="9"/>
          <w:sz w:val="13"/>
          <w:shd w:fill="auto" w:val="clear"/>
        </w:rPr>
        <w:t xml:space="preserve">5 </w:t>
      </w:r>
      <w:r>
        <w:rPr>
          <w:rFonts w:ascii="Arial" w:hAnsi="Arial" w:cs="Arial" w:eastAsia="Arial"/>
          <w:color w:val="auto"/>
          <w:spacing w:val="0"/>
          <w:position w:val="9"/>
          <w:sz w:val="18"/>
          <w:shd w:fill="auto" w:val="clear"/>
        </w:rPr>
        <w:t xml:space="preserve">Trabalho Social - Social Work - também é o termo utilizado para a profissão de Serviço Social nos Estados Unidos e em países de língua anglo-germânica. Entretanto, não se pretende neste item, abordar a categoria trabalho social a partir da formação profissional em Serviço Social/Social Work (Trabalho Social).</w:t>
      </w:r>
    </w:p>
    <w:p>
      <w:pPr>
        <w:spacing w:before="0" w:after="0" w:line="244"/>
        <w:ind w:right="0" w:left="0" w:firstLine="0"/>
        <w:jc w:val="both"/>
        <w:rPr>
          <w:rFonts w:ascii="Arial" w:hAnsi="Arial" w:cs="Arial" w:eastAsia="Arial"/>
          <w:color w:val="auto"/>
          <w:spacing w:val="0"/>
          <w:position w:val="0"/>
          <w:sz w:val="18"/>
          <w:shd w:fill="auto" w:val="clear"/>
        </w:rPr>
      </w:pPr>
    </w:p>
    <w:p>
      <w:pPr>
        <w:spacing w:before="55" w:after="0" w:line="362"/>
        <w:ind w:right="0" w:left="102"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 tempo, identificando a sua estreita relação com questões como caridade, solidariedade e altruísmo.</w:t>
      </w:r>
    </w:p>
    <w:p>
      <w:pPr>
        <w:spacing w:before="201" w:after="0" w:line="360"/>
        <w:ind w:right="122"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Na Idade Média as economias, que eram basicamente rurais e artesanais, sofreram com as crises causadas pelas guerras, como por  exemplo, a Guerra dos Cem Anos, ocorrida na França. Ao perderem o </w:t>
      </w:r>
      <w:r>
        <w:rPr>
          <w:rFonts w:ascii="Arial" w:hAnsi="Arial" w:cs="Arial" w:eastAsia="Arial"/>
          <w:color w:val="auto"/>
          <w:spacing w:val="-2"/>
          <w:position w:val="0"/>
          <w:sz w:val="24"/>
          <w:shd w:fill="auto" w:val="clear"/>
        </w:rPr>
        <w:t xml:space="preserve">que </w:t>
      </w:r>
      <w:r>
        <w:rPr>
          <w:rFonts w:ascii="Arial" w:hAnsi="Arial" w:cs="Arial" w:eastAsia="Arial"/>
          <w:color w:val="auto"/>
          <w:spacing w:val="0"/>
          <w:position w:val="0"/>
          <w:sz w:val="24"/>
          <w:shd w:fill="auto" w:val="clear"/>
        </w:rPr>
        <w:t xml:space="preserve">possuíam muitas pessoas ficavam desempregadas, percorrendo as cidades em busca de esmolas, sendo que a pobreza e a doença passaram a ser consideradas provações divinas. Assim, praticar a caridade, entendida como uma virtude, constituía um meio de alcançar a vida</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eterna.</w:t>
      </w:r>
    </w:p>
    <w:p>
      <w:pPr>
        <w:spacing w:before="202" w:after="0" w:line="360"/>
        <w:ind w:right="120"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Como a Igreja era responsável por direcionar as ações de caridade, foi criada a figura dos “diáconos” que tinham a incumbência de recolher e distribuir auxílios aos necessitados. Aproveitando a tradicional boa vontade e a dedicação das mulheres, foram instituídas “diaconisas”, que deveriam ser “viúvas piedosas e modestas”, tendo a função de prestar socorro, visitar os enfermos e cuidar das crianças.</w:t>
      </w:r>
    </w:p>
    <w:p>
      <w:pPr>
        <w:spacing w:before="204"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Os “Tempos Modernos”, no final do século XV, caracterizaram-se pelo desenvolvimento da ciência e intensificação do comércio. Com o rompimento da unidade religiosa, a pobreza passou a ser entendida como um fenômeno social, ou seja, como conseqüência das condições sociais, sendo responsabilidade da sociedade ajudar os pobres. Aos homens coube a obrigação de distribuir esmolas e às mulheres, realizar visitas domiciliares levando ajuda material como: alimento, vestuário, dinheiro e também  conselhos. Quem tinha prioridade nessas ações eram os velhos e os doentes, as viúvas e os órfãos, isto, quando não tinham parentes a quem recorrer. (VIEIRA,</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1980).</w:t>
      </w:r>
    </w:p>
    <w:p>
      <w:pPr>
        <w:spacing w:before="205" w:after="0" w:line="360"/>
        <w:ind w:right="114"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século XVI o Estado começou a se interessar pelo bem-estar do  povo através de atitudes repressivas e assistencialistas. Esta intervenção aos poucos foi ganhando características preventivas, na medida em que o poder público se conscientizava do seu papel na promoção do bem-estar das populações.</w:t>
      </w:r>
    </w:p>
    <w:p>
      <w:pPr>
        <w:spacing w:before="0" w:after="0" w:line="360"/>
        <w:ind w:right="0" w:left="0" w:firstLine="0"/>
        <w:jc w:val="left"/>
        <w:rPr>
          <w:rFonts w:ascii="Arial" w:hAnsi="Arial" w:cs="Arial" w:eastAsia="Arial"/>
          <w:color w:val="auto"/>
          <w:spacing w:val="0"/>
          <w:position w:val="0"/>
          <w:sz w:val="22"/>
          <w:shd w:fill="auto" w:val="clear"/>
        </w:rPr>
      </w:pPr>
    </w:p>
    <w:p>
      <w:pPr>
        <w:spacing w:before="55" w:after="0" w:line="360"/>
        <w:ind w:right="116"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século XX embora tenha ocorrido a separação entre a Igreja e o Estado, a Igreja ainda desenvolvia algumas ações no campo social, com algumas obras sociais como: creches, colégios, berçários, jardins de infância, orfanatos, asilos, patronatos. Muitas dessas ações eram patrocinadas por senhoras da sociedade que promoviam chás, quermesses, desfiles de moda para angariar fundos para o sustento das obras, como também trabalhavam na sua administração.</w:t>
      </w:r>
    </w:p>
    <w:p>
      <w:pPr>
        <w:spacing w:before="7" w:after="0" w:line="240"/>
        <w:ind w:right="0" w:left="0" w:firstLine="0"/>
        <w:jc w:val="left"/>
        <w:rPr>
          <w:rFonts w:ascii="Arial" w:hAnsi="Arial" w:cs="Arial" w:eastAsia="Arial"/>
          <w:color w:val="auto"/>
          <w:spacing w:val="0"/>
          <w:position w:val="0"/>
          <w:sz w:val="24"/>
          <w:shd w:fill="auto" w:val="clear"/>
        </w:rPr>
      </w:pPr>
    </w:p>
    <w:p>
      <w:pPr>
        <w:spacing w:before="0" w:after="0" w:line="360"/>
        <w:ind w:right="123"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Como podemos perceber, ao longo do tempo, a noção de pobreza foi se modificando, passando da idéia de provação divina a fenômeno social. Entretanto, numa ou n’outra concepção, o sujeito era visto como responsável pela situação em que se encontrava e incapaz de resolver seus próprios problemas. O trabalho social era desenvolvido principalmente pela Igreja através da caridade, que consistia na prestação de socorro, doação de alimentos, vestuário e até conselhos.</w:t>
      </w:r>
    </w:p>
    <w:p>
      <w:pPr>
        <w:spacing w:before="10" w:after="0" w:line="240"/>
        <w:ind w:right="0" w:left="0" w:firstLine="0"/>
        <w:jc w:val="left"/>
        <w:rPr>
          <w:rFonts w:ascii="Arial" w:hAnsi="Arial" w:cs="Arial" w:eastAsia="Arial"/>
          <w:color w:val="auto"/>
          <w:spacing w:val="0"/>
          <w:position w:val="0"/>
          <w:sz w:val="24"/>
          <w:shd w:fill="auto" w:val="clear"/>
        </w:rPr>
      </w:pPr>
    </w:p>
    <w:p>
      <w:pPr>
        <w:spacing w:before="0" w:after="0" w:line="352"/>
        <w:ind w:right="115" w:left="122" w:firstLine="707"/>
        <w:jc w:val="both"/>
        <w:rPr>
          <w:rFonts w:ascii="Arial" w:hAnsi="Arial" w:cs="Arial" w:eastAsia="Arial"/>
          <w:color w:val="auto"/>
          <w:spacing w:val="0"/>
          <w:position w:val="11"/>
          <w:sz w:val="24"/>
          <w:shd w:fill="auto" w:val="clear"/>
        </w:rPr>
      </w:pPr>
      <w:r>
        <w:rPr>
          <w:rFonts w:ascii="Arial" w:hAnsi="Arial" w:cs="Arial" w:eastAsia="Arial"/>
          <w:color w:val="auto"/>
          <w:spacing w:val="0"/>
          <w:position w:val="0"/>
          <w:sz w:val="24"/>
          <w:shd w:fill="auto" w:val="clear"/>
        </w:rPr>
        <w:t xml:space="preserve">Somente a partir do século XX, com o desenvolvimento da concepção  de direitos sociais, é que vem sendo rompida a lógica da benesse no enfrentamento dos problemas sociais, sendo entendidos como questão social</w:t>
      </w:r>
      <w:r>
        <w:rPr>
          <w:rFonts w:ascii="Arial" w:hAnsi="Arial" w:cs="Arial" w:eastAsia="Arial"/>
          <w:color w:val="auto"/>
          <w:spacing w:val="0"/>
          <w:position w:val="11"/>
          <w:sz w:val="16"/>
          <w:shd w:fill="auto" w:val="clear"/>
        </w:rPr>
        <w:t xml:space="preserve">6 </w:t>
      </w:r>
      <w:r>
        <w:rPr>
          <w:rFonts w:ascii="Arial" w:hAnsi="Arial" w:cs="Arial" w:eastAsia="Arial"/>
          <w:color w:val="auto"/>
          <w:spacing w:val="0"/>
          <w:position w:val="11"/>
          <w:sz w:val="24"/>
          <w:shd w:fill="auto" w:val="clear"/>
        </w:rPr>
        <w:t xml:space="preserve">por parte de inúmeros estudiosos. Estabelece-se a noção de direitos relacionada à responsabilidade do Estado e da sociedade de instrumentalizar os indivíduos (entendidos como cidadãos) para superar a situação de   pobreza</w:t>
      </w:r>
    </w:p>
    <w:p>
      <w:pPr>
        <w:spacing w:before="11" w:after="0" w:line="240"/>
        <w:ind w:right="103" w:left="122"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 vulnerabilidade.</w:t>
      </w:r>
    </w:p>
    <w:p>
      <w:pPr>
        <w:spacing w:before="0" w:after="0" w:line="240"/>
        <w:ind w:right="0" w:left="0" w:firstLine="0"/>
        <w:jc w:val="left"/>
        <w:rPr>
          <w:rFonts w:ascii="Arial" w:hAnsi="Arial" w:cs="Arial" w:eastAsia="Arial"/>
          <w:color w:val="auto"/>
          <w:spacing w:val="0"/>
          <w:position w:val="0"/>
          <w:sz w:val="24"/>
          <w:shd w:fill="auto" w:val="clear"/>
        </w:rPr>
      </w:pPr>
    </w:p>
    <w:p>
      <w:pPr>
        <w:spacing w:before="144" w:after="0" w:line="360"/>
        <w:ind w:right="116"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Remetendo-nos novamente à sociedade burguesa, constatamos que as atividades acerca do ato de cuidar, seja de seres humanos em  desenvolvimento (crianças e adolescentes) seja de idosos, ou até mesmo familiares, eram atividades atribuídas às mulheres, que acabaram sendo naturalizadas como exclusivas e constitutivas da condição feminina  </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(GUEDES</w:t>
      </w:r>
    </w:p>
    <w:p>
      <w:pPr>
        <w:spacing w:before="0" w:after="0" w:line="240"/>
        <w:ind w:right="0" w:left="0" w:firstLine="0"/>
        <w:jc w:val="left"/>
        <w:rPr>
          <w:rFonts w:ascii="Arial" w:hAnsi="Arial" w:cs="Arial" w:eastAsia="Arial"/>
          <w:color w:val="auto"/>
          <w:spacing w:val="0"/>
          <w:position w:val="0"/>
          <w:sz w:val="20"/>
          <w:shd w:fill="auto" w:val="clear"/>
        </w:rPr>
      </w:pPr>
    </w:p>
    <w:p>
      <w:pPr>
        <w:spacing w:before="6" w:after="0" w:line="240"/>
        <w:ind w:right="0" w:left="0" w:firstLine="0"/>
        <w:jc w:val="left"/>
        <w:rPr>
          <w:rFonts w:ascii="Arial" w:hAnsi="Arial" w:cs="Arial" w:eastAsia="Arial"/>
          <w:color w:val="auto"/>
          <w:spacing w:val="0"/>
          <w:position w:val="0"/>
          <w:sz w:val="29"/>
          <w:shd w:fill="auto" w:val="clear"/>
        </w:rPr>
      </w:pPr>
    </w:p>
    <w:p>
      <w:pPr>
        <w:spacing w:before="42" w:after="0" w:line="242"/>
        <w:ind w:right="115" w:left="122" w:firstLine="0"/>
        <w:jc w:val="both"/>
        <w:rPr>
          <w:rFonts w:ascii="Arial" w:hAnsi="Arial" w:cs="Arial" w:eastAsia="Arial"/>
          <w:color w:val="auto"/>
          <w:spacing w:val="0"/>
          <w:position w:val="9"/>
          <w:sz w:val="18"/>
          <w:shd w:fill="auto" w:val="clear"/>
        </w:rPr>
      </w:pPr>
      <w:r>
        <w:rPr>
          <w:rFonts w:ascii="Times New Roman" w:hAnsi="Times New Roman" w:cs="Times New Roman" w:eastAsia="Times New Roman"/>
          <w:color w:val="auto"/>
          <w:spacing w:val="0"/>
          <w:position w:val="9"/>
          <w:sz w:val="13"/>
          <w:shd w:fill="auto" w:val="clear"/>
        </w:rPr>
        <w:t xml:space="preserve">6 </w:t>
      </w:r>
      <w:r>
        <w:rPr>
          <w:rFonts w:ascii="Arial" w:hAnsi="Arial" w:cs="Arial" w:eastAsia="Arial"/>
          <w:color w:val="auto"/>
          <w:spacing w:val="0"/>
          <w:position w:val="9"/>
          <w:sz w:val="18"/>
          <w:shd w:fill="auto" w:val="clear"/>
        </w:rPr>
        <w:t xml:space="preserve">A Questão Social é entendida a partir de diversas expressões ou configurações, tais como: a pobreza, miséria e exclusão. Numa perspectiva crítica do sistema capitalista, de acordo com Iamamoto (2008), além da subordinação do ser humano às coisas (mercadoria, dinheiro) “[...] a questão social expressa [...] a naturalização das desigualdades sociais e submissão das necessidades humanas ao poder das coisas sociais – do capital dinheiro [...]”. (2008;125). Além disso, segundo a autora ainda ocorrem novas configurações da questão social, ou seja, “ampliam-se as desigualdades distribuídas territorialmente, as distância entre as rendas de trabalho e do capital e entre os rendimentos dos trabalhadores qualificados e não qualificados”. (2008;</w:t>
      </w:r>
      <w:r>
        <w:rPr>
          <w:rFonts w:ascii="Arial" w:hAnsi="Arial" w:cs="Arial" w:eastAsia="Arial"/>
          <w:color w:val="auto"/>
          <w:spacing w:val="-11"/>
          <w:position w:val="9"/>
          <w:sz w:val="18"/>
          <w:shd w:fill="auto" w:val="clear"/>
        </w:rPr>
        <w:t xml:space="preserve"> </w:t>
      </w:r>
      <w:r>
        <w:rPr>
          <w:rFonts w:ascii="Arial" w:hAnsi="Arial" w:cs="Arial" w:eastAsia="Arial"/>
          <w:color w:val="auto"/>
          <w:spacing w:val="0"/>
          <w:position w:val="9"/>
          <w:sz w:val="18"/>
          <w:shd w:fill="auto" w:val="clear"/>
        </w:rPr>
        <w:t xml:space="preserve">142).</w:t>
      </w:r>
    </w:p>
    <w:p>
      <w:pPr>
        <w:spacing w:before="0" w:after="0" w:line="242"/>
        <w:ind w:right="0" w:left="0" w:firstLine="0"/>
        <w:jc w:val="both"/>
        <w:rPr>
          <w:rFonts w:ascii="Arial" w:hAnsi="Arial" w:cs="Arial" w:eastAsia="Arial"/>
          <w:color w:val="auto"/>
          <w:spacing w:val="0"/>
          <w:position w:val="0"/>
          <w:sz w:val="18"/>
          <w:shd w:fill="auto" w:val="clear"/>
        </w:rPr>
      </w:pPr>
    </w:p>
    <w:p>
      <w:pPr>
        <w:spacing w:before="60" w:after="0" w:line="360"/>
        <w:ind w:right="115" w:left="122" w:firstLine="0"/>
        <w:jc w:val="both"/>
        <w:rPr>
          <w:rFonts w:ascii="Arial" w:hAnsi="Arial" w:cs="Arial" w:eastAsia="Arial"/>
          <w:color w:val="auto"/>
          <w:spacing w:val="0"/>
          <w:position w:val="11"/>
          <w:sz w:val="24"/>
          <w:shd w:fill="auto" w:val="clear"/>
        </w:rPr>
      </w:pPr>
      <w:r>
        <w:rPr>
          <w:rFonts w:ascii="Arial" w:hAnsi="Arial" w:cs="Arial" w:eastAsia="Arial"/>
          <w:color w:val="auto"/>
          <w:spacing w:val="0"/>
          <w:position w:val="0"/>
          <w:sz w:val="24"/>
          <w:shd w:fill="auto" w:val="clear"/>
        </w:rPr>
        <w:t xml:space="preserve">e DARO, 2009). Entretanto, se considerarmos os novos arranjos familiares</w:t>
      </w:r>
      <w:r>
        <w:rPr>
          <w:rFonts w:ascii="Arial" w:hAnsi="Arial" w:cs="Arial" w:eastAsia="Arial"/>
          <w:color w:val="auto"/>
          <w:spacing w:val="0"/>
          <w:position w:val="11"/>
          <w:sz w:val="16"/>
          <w:shd w:fill="auto" w:val="clear"/>
        </w:rPr>
        <w:t xml:space="preserve">7</w:t>
      </w:r>
      <w:r>
        <w:rPr>
          <w:rFonts w:ascii="Arial" w:hAnsi="Arial" w:cs="Arial" w:eastAsia="Arial"/>
          <w:color w:val="auto"/>
          <w:spacing w:val="0"/>
          <w:position w:val="11"/>
          <w:sz w:val="24"/>
          <w:shd w:fill="auto" w:val="clear"/>
        </w:rPr>
        <w:t xml:space="preserve">, percebemos que esta atribuição ainda é pertinente às mulheres, pois, mesmo que exerçam atividades profissionais não vinculadas ao ato de cuidar, permanece a responsabilidade pelo cuidado de seus familiares. Ocorre desta forma a naturalização do ato de cuidar:</w:t>
      </w:r>
    </w:p>
    <w:p>
      <w:pPr>
        <w:spacing w:before="203" w:after="0" w:line="276"/>
        <w:ind w:right="118" w:left="239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Cuidar dos familiares, dos companheiros</w:t>
      </w:r>
      <w:r>
        <w:rPr>
          <w:rFonts w:ascii="Arial" w:hAnsi="Arial" w:cs="Arial" w:eastAsia="Arial"/>
          <w:color w:val="auto"/>
          <w:spacing w:val="0"/>
          <w:position w:val="0"/>
          <w:sz w:val="20"/>
          <w:shd w:fill="auto" w:val="clear"/>
        </w:rPr>
        <w:t xml:space="preserve">, em concomitância com as atividades sócio-ocupacionais, para cumprir  normas  historicamente criadas e </w:t>
      </w:r>
      <w:r>
        <w:rPr>
          <w:rFonts w:ascii="Arial" w:hAnsi="Arial" w:cs="Arial" w:eastAsia="Arial"/>
          <w:b/>
          <w:color w:val="auto"/>
          <w:spacing w:val="0"/>
          <w:position w:val="0"/>
          <w:sz w:val="20"/>
          <w:shd w:fill="auto" w:val="clear"/>
        </w:rPr>
        <w:t xml:space="preserve">interpretadas como inerentes à natureza feminina</w:t>
      </w:r>
      <w:r>
        <w:rPr>
          <w:rFonts w:ascii="Arial" w:hAnsi="Arial" w:cs="Arial" w:eastAsia="Arial"/>
          <w:color w:val="auto"/>
          <w:spacing w:val="0"/>
          <w:position w:val="0"/>
          <w:sz w:val="20"/>
          <w:shd w:fill="auto" w:val="clear"/>
        </w:rPr>
        <w:t xml:space="preserve">, tornam-se aspectos de uma realidade que </w:t>
      </w:r>
      <w:r>
        <w:rPr>
          <w:rFonts w:ascii="Arial" w:hAnsi="Arial" w:cs="Arial" w:eastAsia="Arial"/>
          <w:b/>
          <w:color w:val="auto"/>
          <w:spacing w:val="0"/>
          <w:position w:val="0"/>
          <w:sz w:val="20"/>
          <w:shd w:fill="auto" w:val="clear"/>
        </w:rPr>
        <w:t xml:space="preserve">tende a </w:t>
      </w:r>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shd w:fill="auto" w:val="clear"/>
        </w:rPr>
        <w:t xml:space="preserve">apresentar-se como eterna. </w:t>
      </w:r>
      <w:r>
        <w:rPr>
          <w:rFonts w:ascii="Arial" w:hAnsi="Arial" w:cs="Arial" w:eastAsia="Arial"/>
          <w:color w:val="auto"/>
          <w:spacing w:val="0"/>
          <w:position w:val="0"/>
          <w:sz w:val="20"/>
          <w:shd w:fill="auto" w:val="clear"/>
        </w:rPr>
        <w:t xml:space="preserve">(GUEDES e DARO, 2009: 02 grifo nosso)</w:t>
      </w:r>
    </w:p>
    <w:p>
      <w:pPr>
        <w:spacing w:before="4" w:after="0" w:line="240"/>
        <w:ind w:right="0" w:left="0" w:firstLine="0"/>
        <w:jc w:val="left"/>
        <w:rPr>
          <w:rFonts w:ascii="Arial" w:hAnsi="Arial" w:cs="Arial" w:eastAsia="Arial"/>
          <w:color w:val="auto"/>
          <w:spacing w:val="0"/>
          <w:position w:val="0"/>
          <w:sz w:val="24"/>
          <w:shd w:fill="auto" w:val="clear"/>
        </w:rPr>
      </w:pPr>
    </w:p>
    <w:p>
      <w:pPr>
        <w:spacing w:before="0" w:after="0" w:line="360"/>
        <w:ind w:right="117"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 acordo com as autoras, podemos observar que mesmo no senso comum, esta naturalização da mulher como cuidadora vincula-se a diferentes lugares atribuídos a ela na família, seja esposa, tia, filha, mãe, avó. “De qualquer lugar, desde que seja a mulher cuidar do membro da família que está adoecido e requer atenção constante [...] torna-se prioritário sobre os próprios projetos” (GUEDES e DARO, 2009: 03)</w:t>
      </w:r>
    </w:p>
    <w:p>
      <w:pPr>
        <w:spacing w:before="10" w:after="0" w:line="240"/>
        <w:ind w:right="0" w:left="0" w:firstLine="0"/>
        <w:jc w:val="left"/>
        <w:rPr>
          <w:rFonts w:ascii="Arial" w:hAnsi="Arial" w:cs="Arial" w:eastAsia="Arial"/>
          <w:color w:val="auto"/>
          <w:spacing w:val="0"/>
          <w:position w:val="0"/>
          <w:sz w:val="24"/>
          <w:shd w:fill="auto" w:val="clear"/>
        </w:rPr>
      </w:pPr>
    </w:p>
    <w:p>
      <w:pPr>
        <w:spacing w:before="0" w:after="0" w:line="360"/>
        <w:ind w:right="123"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Constata-se que o campo destinado ao cuidado e proteção de crianças e adolescentes, ao longo da história, foi construído como atribuição pertinente às mulheres em decorrência de uma suposta “natureza feminina” baseada nas relações de gênero.</w:t>
      </w:r>
    </w:p>
    <w:p>
      <w:pPr>
        <w:spacing w:before="3" w:after="0" w:line="240"/>
        <w:ind w:right="0" w:left="0" w:firstLine="0"/>
        <w:jc w:val="left"/>
        <w:rPr>
          <w:rFonts w:ascii="Arial" w:hAnsi="Arial" w:cs="Arial" w:eastAsia="Arial"/>
          <w:color w:val="auto"/>
          <w:spacing w:val="0"/>
          <w:position w:val="0"/>
          <w:sz w:val="21"/>
          <w:shd w:fill="auto" w:val="clear"/>
        </w:rPr>
      </w:pPr>
    </w:p>
    <w:p>
      <w:pPr>
        <w:spacing w:before="0" w:after="0" w:line="360"/>
        <w:ind w:right="115"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 acordo com Scott (1995) pensar as relações de gênero requer considerar que estas relações são compostas por: </w:t>
      </w:r>
      <w:r>
        <w:rPr>
          <w:rFonts w:ascii="Arial" w:hAnsi="Arial" w:cs="Arial" w:eastAsia="Arial"/>
          <w:i/>
          <w:color w:val="auto"/>
          <w:spacing w:val="0"/>
          <w:position w:val="0"/>
          <w:sz w:val="24"/>
          <w:shd w:fill="auto" w:val="clear"/>
        </w:rPr>
        <w:t xml:space="preserve">i) </w:t>
      </w:r>
      <w:r>
        <w:rPr>
          <w:rFonts w:ascii="Arial" w:hAnsi="Arial" w:cs="Arial" w:eastAsia="Arial"/>
          <w:color w:val="auto"/>
          <w:spacing w:val="0"/>
          <w:position w:val="0"/>
          <w:sz w:val="24"/>
          <w:shd w:fill="auto" w:val="clear"/>
        </w:rPr>
        <w:t xml:space="preserve">símbolos culturalmente construídos que evocam representações simbólicas dos papéis que devem ser desenvolvidos por homens e mulheres; </w:t>
      </w:r>
      <w:r>
        <w:rPr>
          <w:rFonts w:ascii="Arial" w:hAnsi="Arial" w:cs="Arial" w:eastAsia="Arial"/>
          <w:i/>
          <w:color w:val="auto"/>
          <w:spacing w:val="0"/>
          <w:position w:val="0"/>
          <w:sz w:val="24"/>
          <w:shd w:fill="auto" w:val="clear"/>
        </w:rPr>
        <w:t xml:space="preserve">ii) </w:t>
      </w:r>
      <w:r>
        <w:rPr>
          <w:rFonts w:ascii="Arial" w:hAnsi="Arial" w:cs="Arial" w:eastAsia="Arial"/>
          <w:color w:val="auto"/>
          <w:spacing w:val="0"/>
          <w:position w:val="0"/>
          <w:sz w:val="24"/>
          <w:shd w:fill="auto" w:val="clear"/>
        </w:rPr>
        <w:t xml:space="preserve">conceitos normativos expressados em doutrinas religiosas – Maria como símbolo da mulher na tradição cristã ocidental - , educativas – ao homem cabe o papel de ser o provedor da casa, enquanto à mulher cabe o papel de cuidar da educação dos filhos e da casa -, científicas, políticas ou jurídicas, conceitos estes que afirmam de maneira categórica o significado do homem e da mulher; </w:t>
      </w:r>
      <w:r>
        <w:rPr>
          <w:rFonts w:ascii="Arial" w:hAnsi="Arial" w:cs="Arial" w:eastAsia="Arial"/>
          <w:i/>
          <w:color w:val="auto"/>
          <w:spacing w:val="0"/>
          <w:position w:val="0"/>
          <w:sz w:val="24"/>
          <w:shd w:fill="auto" w:val="clear"/>
        </w:rPr>
        <w:t xml:space="preserve">iii) </w:t>
      </w:r>
      <w:r>
        <w:rPr>
          <w:rFonts w:ascii="Arial" w:hAnsi="Arial" w:cs="Arial" w:eastAsia="Arial"/>
          <w:color w:val="auto"/>
          <w:spacing w:val="0"/>
          <w:position w:val="0"/>
          <w:sz w:val="24"/>
          <w:shd w:fill="auto" w:val="clear"/>
        </w:rPr>
        <w:t xml:space="preserve">instituições e organizações sociais que vão além do parentesco, incluindo o mercado de trabalho, a educação  e  o  sistema  político;  </w:t>
      </w:r>
      <w:r>
        <w:rPr>
          <w:rFonts w:ascii="Arial" w:hAnsi="Arial" w:cs="Arial" w:eastAsia="Arial"/>
          <w:i/>
          <w:color w:val="auto"/>
          <w:spacing w:val="0"/>
          <w:position w:val="0"/>
          <w:sz w:val="24"/>
          <w:shd w:fill="auto" w:val="clear"/>
        </w:rPr>
        <w:t xml:space="preserve">iv)  </w:t>
      </w:r>
      <w:r>
        <w:rPr>
          <w:rFonts w:ascii="Arial" w:hAnsi="Arial" w:cs="Arial" w:eastAsia="Arial"/>
          <w:color w:val="auto"/>
          <w:spacing w:val="0"/>
          <w:position w:val="0"/>
          <w:sz w:val="24"/>
          <w:shd w:fill="auto" w:val="clear"/>
        </w:rPr>
        <w:t xml:space="preserve">identidade  subjetiva  que  possibilita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uma</w:t>
      </w:r>
    </w:p>
    <w:p>
      <w:pPr>
        <w:spacing w:before="11" w:after="0" w:line="240"/>
        <w:ind w:right="0" w:left="0" w:firstLine="0"/>
        <w:jc w:val="left"/>
        <w:rPr>
          <w:rFonts w:ascii="Arial" w:hAnsi="Arial" w:cs="Arial" w:eastAsia="Arial"/>
          <w:color w:val="auto"/>
          <w:spacing w:val="0"/>
          <w:position w:val="0"/>
          <w:sz w:val="25"/>
          <w:shd w:fill="auto" w:val="clear"/>
        </w:rPr>
      </w:pPr>
    </w:p>
    <w:p>
      <w:pPr>
        <w:spacing w:before="39" w:after="0" w:line="240"/>
        <w:ind w:right="103" w:left="122" w:firstLine="0"/>
        <w:jc w:val="left"/>
        <w:rPr>
          <w:rFonts w:ascii="Arial" w:hAnsi="Arial" w:cs="Arial" w:eastAsia="Arial"/>
          <w:color w:val="auto"/>
          <w:spacing w:val="0"/>
          <w:position w:val="9"/>
          <w:sz w:val="18"/>
          <w:shd w:fill="auto" w:val="clear"/>
        </w:rPr>
      </w:pPr>
      <w:r>
        <w:rPr>
          <w:rFonts w:ascii="Arial" w:hAnsi="Arial" w:cs="Arial" w:eastAsia="Arial"/>
          <w:color w:val="auto"/>
          <w:spacing w:val="0"/>
          <w:position w:val="9"/>
          <w:sz w:val="12"/>
          <w:shd w:fill="auto" w:val="clear"/>
        </w:rPr>
        <w:t xml:space="preserve">7 </w:t>
      </w:r>
      <w:r>
        <w:rPr>
          <w:rFonts w:ascii="Arial" w:hAnsi="Arial" w:cs="Arial" w:eastAsia="Arial"/>
          <w:color w:val="auto"/>
          <w:spacing w:val="0"/>
          <w:position w:val="9"/>
          <w:sz w:val="18"/>
          <w:shd w:fill="auto" w:val="clear"/>
        </w:rPr>
        <w:t xml:space="preserve">Consideramos novos arranjos familiares as famílias monoparentais e reconstituídas.</w:t>
      </w:r>
    </w:p>
    <w:p>
      <w:pPr>
        <w:spacing w:before="0" w:after="0" w:line="240"/>
        <w:ind w:right="0" w:left="0" w:firstLine="0"/>
        <w:jc w:val="left"/>
        <w:rPr>
          <w:rFonts w:ascii="Arial" w:hAnsi="Arial" w:cs="Arial" w:eastAsia="Arial"/>
          <w:color w:val="auto"/>
          <w:spacing w:val="0"/>
          <w:position w:val="0"/>
          <w:sz w:val="18"/>
          <w:shd w:fill="auto" w:val="clear"/>
        </w:rPr>
      </w:pPr>
    </w:p>
    <w:p>
      <w:pPr>
        <w:spacing w:before="55" w:after="0" w:line="360"/>
        <w:ind w:right="122"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alteração da sexualidade biológica dos indivíduos enquanto passam por um processo de enculturação, ou seja, é construída ao longo do tempo na medida em que o indivíduo vai sendo influenciado por diversos fatores relacionados ao meio social em que vive dentre eles o círculo de amizades, a família, o local de trabalho.</w:t>
      </w:r>
    </w:p>
    <w:p>
      <w:pPr>
        <w:spacing w:before="3" w:after="0" w:line="240"/>
        <w:ind w:right="0" w:left="0" w:firstLine="0"/>
        <w:jc w:val="left"/>
        <w:rPr>
          <w:rFonts w:ascii="Arial" w:hAnsi="Arial" w:cs="Arial" w:eastAsia="Arial"/>
          <w:color w:val="auto"/>
          <w:spacing w:val="0"/>
          <w:position w:val="0"/>
          <w:sz w:val="21"/>
          <w:shd w:fill="auto" w:val="clear"/>
        </w:rPr>
      </w:pPr>
    </w:p>
    <w:p>
      <w:pPr>
        <w:spacing w:before="0" w:after="0" w:line="360"/>
        <w:ind w:right="118"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Para complementar a compreensão de Scott (1995), podemos nos referenciar em Giddens (2005). Este autor afirma que as diferenças de gênero estão relacionadas a socialização do gênero, ou seja, a aprendizagem de papéis do gênero com o auxílio de organismos sociais, como a mídia e a família. Acerca disso, Giddens afirma que:</w:t>
      </w:r>
    </w:p>
    <w:p>
      <w:pPr>
        <w:spacing w:before="203" w:after="0" w:line="276"/>
        <w:ind w:right="117"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Essa abordagem [socialização do gênero] </w:t>
      </w:r>
      <w:r>
        <w:rPr>
          <w:rFonts w:ascii="Arial" w:hAnsi="Arial" w:cs="Arial" w:eastAsia="Arial"/>
          <w:b/>
          <w:color w:val="auto"/>
          <w:spacing w:val="0"/>
          <w:position w:val="0"/>
          <w:sz w:val="20"/>
          <w:shd w:fill="auto" w:val="clear"/>
        </w:rPr>
        <w:t xml:space="preserve">faz distinção entre sexo biológico e gênero social </w:t>
      </w:r>
      <w:r>
        <w:rPr>
          <w:rFonts w:ascii="Arial" w:hAnsi="Arial" w:cs="Arial" w:eastAsia="Arial"/>
          <w:color w:val="auto"/>
          <w:spacing w:val="0"/>
          <w:position w:val="0"/>
          <w:sz w:val="20"/>
          <w:shd w:fill="auto" w:val="clear"/>
        </w:rPr>
        <w:t xml:space="preserve">– uma criança nasce com o primeiro e desenvolve o segundo. Pelo contato com vários organismos sociais, tanto primários quanto secundários, as crianças internalizam gradualmente as normas e as expectativas sociais que são percebidas como correspondentes ao seu sexo. </w:t>
      </w:r>
      <w:r>
        <w:rPr>
          <w:rFonts w:ascii="Arial" w:hAnsi="Arial" w:cs="Arial" w:eastAsia="Arial"/>
          <w:b/>
          <w:color w:val="auto"/>
          <w:spacing w:val="-3"/>
          <w:position w:val="0"/>
          <w:sz w:val="20"/>
          <w:shd w:fill="auto" w:val="clear"/>
        </w:rPr>
        <w:t xml:space="preserve">As </w:t>
      </w:r>
      <w:r>
        <w:rPr>
          <w:rFonts w:ascii="Arial" w:hAnsi="Arial" w:cs="Arial" w:eastAsia="Arial"/>
          <w:b/>
          <w:color w:val="auto"/>
          <w:spacing w:val="0"/>
          <w:position w:val="0"/>
          <w:sz w:val="20"/>
          <w:shd w:fill="auto" w:val="clear"/>
        </w:rPr>
        <w:t xml:space="preserve">diferenças de gênero </w:t>
      </w:r>
      <w:r>
        <w:rPr>
          <w:rFonts w:ascii="Arial" w:hAnsi="Arial" w:cs="Arial" w:eastAsia="Arial"/>
          <w:color w:val="auto"/>
          <w:spacing w:val="0"/>
          <w:position w:val="0"/>
          <w:sz w:val="20"/>
          <w:shd w:fill="auto" w:val="clear"/>
        </w:rPr>
        <w:t xml:space="preserve">não são biologicamente determinadas, </w:t>
      </w:r>
      <w:r>
        <w:rPr>
          <w:rFonts w:ascii="Arial" w:hAnsi="Arial" w:cs="Arial" w:eastAsia="Arial"/>
          <w:b/>
          <w:color w:val="auto"/>
          <w:spacing w:val="0"/>
          <w:position w:val="0"/>
          <w:sz w:val="20"/>
          <w:shd w:fill="auto" w:val="clear"/>
        </w:rPr>
        <w:t xml:space="preserve">são culturalmente produzidas </w:t>
      </w:r>
      <w:r>
        <w:rPr>
          <w:rFonts w:ascii="Arial" w:hAnsi="Arial" w:cs="Arial" w:eastAsia="Arial"/>
          <w:color w:val="auto"/>
          <w:spacing w:val="0"/>
          <w:position w:val="0"/>
          <w:sz w:val="20"/>
          <w:shd w:fill="auto" w:val="clear"/>
        </w:rPr>
        <w:t xml:space="preserve">(2005:105 grifo</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nosso).</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154" w:after="0" w:line="360"/>
        <w:ind w:right="117"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Giddens (2005) quando se refere a diferença de gêneros, chama atenção para a distinção entre sexo e gênero. Os sociólogos usam o termo “sexo” quando se referem a diferenças físicas ou anatômicas que definem o corpo do homem e da mulher. Entretanto, gênero diz respeito às diferenças psicológicas, sociais e culturais entre homens e mulheres. Para este autor “o gênero está ligado a noções socialmente construídas de masculinidade e feminilidade, não é necessariamente um produto direto do sexo biológico de  um indivíduo (2005:</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102).”</w:t>
      </w:r>
    </w:p>
    <w:p>
      <w:pPr>
        <w:spacing w:before="204" w:after="0" w:line="360"/>
        <w:ind w:right="117"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Desta forma, mesmo considerando as noções socialmente construídas dos papéis que devem ser desenvolvidos por mulheres e homens, desde a década de 70 vem ocorrendo um significativo aumento da atividade das mulheres no mercado de trabalho. Tal aumento seria resultado das transformações demográficas, culturais e sociais que vem ocorrendo no Brasil  e têm afetado as mulheres e as famílias brasileiras. Estas transformações ocorrem em função da intensa queda de fecundidade que reduziu o número de filhos por mulher, facilitando  o  ingresso  no mercado  de  trabalho. </w:t>
      </w:r>
    </w:p>
    <w:p>
      <w:pPr>
        <w:spacing w:before="204" w:after="0" w:line="360"/>
        <w:ind w:right="117"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Também </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oacesso ao ensino de nível superior viabilizou o acesso das mulheres a novas oportunidades de trabalho. (Bruschini: 2000).</w:t>
      </w:r>
    </w:p>
    <w:p>
      <w:pPr>
        <w:spacing w:before="201" w:after="0" w:line="360"/>
        <w:ind w:right="120"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caso das nossas entrevistadas, no que diz respeito à escolaridade, identificamos que a maioria possui nível superior completo, apresentando, inclusive um nível de escolaridade superior ao dos homens entrevistados. Quanto ao número de filhos, são mães de um ou dois filhos apenas e ainda há as que não têm filhos. Tanto as mulheres quanto os homens que estão cursando nível superior estão atuando no campo de sua formação profissional, porém são as mulheres que ocupam a posição de coordenação das organizações pesquisadas, destacando-se que são organizações que atuam na área social.</w:t>
      </w:r>
    </w:p>
    <w:p>
      <w:pPr>
        <w:spacing w:before="122" w:after="0" w:line="360"/>
        <w:ind w:right="118" w:left="12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configuração de gênero expressa pelo dado de que são as mulheres as que mais atuam na área social (e inclusive que a coordenam), sinaliza que na atualidade ainda se reproduz a concepção de que há espaços a serem ocupados e lugares considerados mais apropriados ao feminino, como é o caso de todas as organizações por nós pesquisadas. </w:t>
      </w:r>
      <w:r>
        <w:rPr>
          <w:rFonts w:ascii="Arial" w:hAnsi="Arial" w:cs="Arial" w:eastAsia="Arial"/>
          <w:color w:val="auto"/>
          <w:spacing w:val="-5"/>
          <w:position w:val="0"/>
          <w:sz w:val="24"/>
          <w:shd w:fill="auto" w:val="clear"/>
        </w:rPr>
        <w:t xml:space="preserve">Também </w:t>
      </w:r>
      <w:r>
        <w:rPr>
          <w:rFonts w:ascii="Arial" w:hAnsi="Arial" w:cs="Arial" w:eastAsia="Arial"/>
          <w:color w:val="auto"/>
          <w:spacing w:val="0"/>
          <w:position w:val="0"/>
          <w:sz w:val="24"/>
          <w:shd w:fill="auto" w:val="clear"/>
        </w:rPr>
        <w:t xml:space="preserve">podemos citar  </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como</w:t>
      </w:r>
    </w:p>
    <w:p>
      <w:pPr>
        <w:spacing w:before="5" w:after="0" w:line="343"/>
        <w:ind w:right="118" w:left="122" w:firstLine="0"/>
        <w:jc w:val="both"/>
        <w:rPr>
          <w:rFonts w:ascii="Arial" w:hAnsi="Arial" w:cs="Arial" w:eastAsia="Arial"/>
          <w:color w:val="auto"/>
          <w:spacing w:val="0"/>
          <w:position w:val="11"/>
          <w:sz w:val="24"/>
          <w:shd w:fill="auto" w:val="clear"/>
        </w:rPr>
      </w:pPr>
      <w:r>
        <w:rPr>
          <w:rFonts w:ascii="Arial" w:hAnsi="Arial" w:cs="Arial" w:eastAsia="Arial"/>
          <w:color w:val="auto"/>
          <w:spacing w:val="0"/>
          <w:position w:val="0"/>
          <w:sz w:val="24"/>
          <w:shd w:fill="auto" w:val="clear"/>
        </w:rPr>
        <w:t xml:space="preserve">exemplo destes espaços a serem ocupados por homens ou mulheres, a pesquisa</w:t>
      </w:r>
      <w:r>
        <w:rPr>
          <w:rFonts w:ascii="Arial" w:hAnsi="Arial" w:cs="Arial" w:eastAsia="Arial"/>
          <w:color w:val="auto"/>
          <w:spacing w:val="0"/>
          <w:position w:val="11"/>
          <w:sz w:val="16"/>
          <w:shd w:fill="auto" w:val="clear"/>
        </w:rPr>
        <w:t xml:space="preserve">8 </w:t>
      </w:r>
      <w:r>
        <w:rPr>
          <w:rFonts w:ascii="Arial" w:hAnsi="Arial" w:cs="Arial" w:eastAsia="Arial"/>
          <w:color w:val="auto"/>
          <w:spacing w:val="0"/>
          <w:position w:val="11"/>
          <w:sz w:val="24"/>
          <w:shd w:fill="auto" w:val="clear"/>
        </w:rPr>
        <w:t xml:space="preserve">realizada no ano de 2008 com programas sócio-educativos da esfera pública e privada.</w:t>
      </w:r>
    </w:p>
    <w:p>
      <w:pPr>
        <w:spacing w:before="144" w:after="0" w:line="360"/>
        <w:ind w:right="116" w:left="122" w:firstLine="707"/>
        <w:jc w:val="both"/>
        <w:rPr>
          <w:rFonts w:ascii="Arial" w:hAnsi="Arial" w:cs="Arial" w:eastAsia="Arial"/>
          <w:color w:val="auto"/>
          <w:spacing w:val="0"/>
          <w:position w:val="0"/>
          <w:sz w:val="12"/>
          <w:shd w:fill="auto" w:val="clear"/>
        </w:rPr>
      </w:pPr>
      <w:r>
        <w:rPr>
          <w:rFonts w:ascii="Arial" w:hAnsi="Arial" w:cs="Arial" w:eastAsia="Arial"/>
          <w:color w:val="auto"/>
          <w:spacing w:val="0"/>
          <w:position w:val="0"/>
          <w:sz w:val="24"/>
          <w:shd w:fill="auto" w:val="clear"/>
        </w:rPr>
        <w:t xml:space="preserve">Nessa pesquisa, quando observamos a distribuição de homens e mulheres por ocupação, tipo de programa e serviço, áreas de atuação, as configurações indicam permanências de lugares e ocupações socialmente considerados apropriados a homens e/ou mulheres. No programa de abrigamento, por exemplo, que envolve atenção e cuidado ininterrupto a crianças em situação de vulnerabilidade, exceto o motorista (atividade predominantemente masculina), todos os profissionais são mulheres. Já no programa de internamento provisório de adolescentes autores de atos infracionais, socialmente associado à imagem de criminalidade e punição, os monitores (profissionais responsáveis pelo cuidado e vigilância que permanecem o dia inteiro com os adolescentes), </w:t>
      </w:r>
    </w:p>
    <w:p>
      <w:pPr>
        <w:spacing w:before="42" w:after="0" w:line="254"/>
        <w:ind w:right="185" w:left="122" w:firstLine="0"/>
        <w:jc w:val="left"/>
        <w:rPr>
          <w:rFonts w:ascii="Arial" w:hAnsi="Arial" w:cs="Arial" w:eastAsia="Arial"/>
          <w:color w:val="auto"/>
          <w:spacing w:val="0"/>
          <w:position w:val="9"/>
          <w:sz w:val="18"/>
          <w:shd w:fill="auto" w:val="clear"/>
        </w:rPr>
      </w:pPr>
      <w:r>
        <w:rPr>
          <w:rFonts w:ascii="Times New Roman" w:hAnsi="Times New Roman" w:cs="Times New Roman" w:eastAsia="Times New Roman"/>
          <w:color w:val="auto"/>
          <w:spacing w:val="0"/>
          <w:position w:val="9"/>
          <w:sz w:val="13"/>
          <w:shd w:fill="auto" w:val="clear"/>
        </w:rPr>
        <w:t xml:space="preserve">8 </w:t>
      </w:r>
      <w:r>
        <w:rPr>
          <w:rFonts w:ascii="Arial" w:hAnsi="Arial" w:cs="Arial" w:eastAsia="Arial"/>
          <w:color w:val="auto"/>
          <w:spacing w:val="0"/>
          <w:position w:val="9"/>
          <w:sz w:val="18"/>
          <w:shd w:fill="auto" w:val="clear"/>
        </w:rPr>
        <w:t xml:space="preserve">Projeto: “Trabalho, subjetivação e cidadania de agentes de políticas dirigidas a crianças e adolescentes” da Proposta Integrada de Pesquisa em Políticas Públicas e Cidadania (Edital 005/REITORIA/2007).</w:t>
      </w:r>
    </w:p>
    <w:p>
      <w:pPr>
        <w:spacing w:before="0" w:after="0" w:line="254"/>
        <w:ind w:right="0" w:left="0" w:firstLine="0"/>
        <w:jc w:val="left"/>
        <w:rPr>
          <w:rFonts w:ascii="Arial" w:hAnsi="Arial" w:cs="Arial" w:eastAsia="Arial"/>
          <w:color w:val="auto"/>
          <w:spacing w:val="0"/>
          <w:position w:val="0"/>
          <w:sz w:val="18"/>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são todos homens, sendo que as  funções  de  assistente  social,  pedagoga  e  psicóloga  são  ocupadas  por mulheres.</w:t>
      </w:r>
    </w:p>
    <w:p>
      <w:pPr>
        <w:spacing w:before="6" w:after="0" w:line="240"/>
        <w:ind w:right="0" w:left="0" w:firstLine="0"/>
        <w:jc w:val="left"/>
        <w:rPr>
          <w:rFonts w:ascii="Arial" w:hAnsi="Arial" w:cs="Arial" w:eastAsia="Arial"/>
          <w:color w:val="auto"/>
          <w:spacing w:val="0"/>
          <w:position w:val="0"/>
          <w:sz w:val="22"/>
          <w:shd w:fill="auto" w:val="clear"/>
        </w:rPr>
      </w:pPr>
    </w:p>
    <w:p>
      <w:pPr>
        <w:spacing w:before="0"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Nos programas de caráter sócio-educativo, a função de monitor (professor) é exercida tanto por homens como por mulheres, porém há particularidades: as mulheres atuam em oficinas de artes, de cabeleireira e manicure, enquanto os homens concentram-se nas oficinas de música e esportes. As mulheres também desenvolvem os trabalhos de preparação dos alimentos e de limpeza dos espaços internos, e são os homens que ocupam a função de motorista. Essas configurações foram reiteradas nas organizações não governamentais por nós pesquisadas, pois, em uma dessas instituições, um homem exerce a função de motorista e o outro auxiliar de serviços externos, assim como em outra instituição um homem é professor de informática e o outro professor de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violão.</w:t>
      </w:r>
    </w:p>
    <w:p>
      <w:pPr>
        <w:spacing w:before="122" w:after="0" w:line="360"/>
        <w:ind w:right="115"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relação às profissões e ocupações femininas e masculinas na  política de atendimento ao segmento infanto-juvenil como um todo na cidade  de Chapecó, quando analisados sob a ótica da divisão sexual do trabalho - da distribuição diferenciada de homens e mulheres no mercado de trabalho -, os dados reiteram a incidência maior do trabalho de mulheres na área social e de prestação de serviços. Bruschini (2000) faz esta constatação quando analisa a pesquisa de Ocupação por Setor de Atividade realizada pelo IBGE e PNAD entre os anos de 1985 e 1995 apontando que a área social vem agregando 16% das possibilidades de ocupação feminina registrando queda em relação a 1985 em que as mulheres ocupavam 17% e em 1990 estas ocupavam</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18%.</w:t>
      </w:r>
    </w:p>
    <w:p>
      <w:pPr>
        <w:spacing w:before="122" w:after="0" w:line="360"/>
        <w:ind w:right="115"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Embora as mulheres estejam mais presentes no mercado de trabalho, ainda cabe a elas as responsabilidades domésticas, bem como a persistência de uma identidade construída em torno do mundo doméstico, o que condiciona a participação feminina no mercado de trabalho. Adicionam-se a isso outros fatores como a permanente necessidade de aprimoramento profissional. Segundo Bruschini (2000: 17) “a constante necessidade de articular papéis familiares e profissionais limita a disponibilidade das mulheres para o trabalho que depende de uma complexa combinação de características pessoais e familiares.”</w:t>
      </w:r>
    </w:p>
    <w:p>
      <w:pPr>
        <w:spacing w:before="0" w:after="0" w:line="360"/>
        <w:ind w:right="0" w:left="0" w:firstLine="0"/>
        <w:jc w:val="left"/>
        <w:rPr>
          <w:rFonts w:ascii="Arial" w:hAnsi="Arial" w:cs="Arial" w:eastAsia="Arial"/>
          <w:color w:val="auto"/>
          <w:spacing w:val="0"/>
          <w:position w:val="0"/>
          <w:sz w:val="22"/>
          <w:shd w:fill="auto" w:val="clear"/>
        </w:rPr>
      </w:pPr>
    </w:p>
    <w:p>
      <w:pPr>
        <w:spacing w:before="55" w:after="0" w:line="360"/>
        <w:ind w:right="117"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que podemos identificar nas entrevistas, é que as mulheres têm colocado o trabalho como uma prioridade na vida. O fato de terem os filhos já crescidos, ou mesmo no caso de terem filhos pequenos, serem casadas e poderem contar com a colaboração do marido é um elemento que facilita o acesso ao mercado de trabalho. Entretanto, mesmo tendo o trabalho como  uma prioridade, as mulheres ainda tomam para si a responsabilidade de cuidar da</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casa:</w:t>
      </w:r>
    </w:p>
    <w:p>
      <w:pPr>
        <w:spacing w:before="206" w:after="0" w:line="276"/>
        <w:ind w:right="118"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É um tempo que eu tenho que me organizar mesmo para estar dando conta. [...] meu filho trabalha o dia inteiro e à noite vai para a universidade e é bem puxado. [...] se eu precisar eu digo [...] eu tenho contado com a ajuda dele. [...] </w:t>
      </w:r>
      <w:r>
        <w:rPr>
          <w:rFonts w:ascii="Arial" w:hAnsi="Arial" w:cs="Arial" w:eastAsia="Arial"/>
          <w:b/>
          <w:color w:val="auto"/>
          <w:spacing w:val="0"/>
          <w:position w:val="0"/>
          <w:sz w:val="20"/>
          <w:shd w:fill="auto" w:val="clear"/>
        </w:rPr>
        <w:t xml:space="preserve">Não é responsabilidade dele, é minha! </w:t>
      </w:r>
      <w:r>
        <w:rPr>
          <w:rFonts w:ascii="Arial" w:hAnsi="Arial" w:cs="Arial" w:eastAsia="Arial"/>
          <w:color w:val="auto"/>
          <w:spacing w:val="0"/>
          <w:position w:val="0"/>
          <w:sz w:val="20"/>
          <w:shd w:fill="auto" w:val="clear"/>
        </w:rPr>
        <w:t xml:space="preserve">[...] as vezes eu consigo uma faxineira, mas </w:t>
      </w:r>
      <w:r>
        <w:rPr>
          <w:rFonts w:ascii="Arial" w:hAnsi="Arial" w:cs="Arial" w:eastAsia="Arial"/>
          <w:b/>
          <w:color w:val="auto"/>
          <w:spacing w:val="0"/>
          <w:position w:val="0"/>
          <w:sz w:val="20"/>
          <w:shd w:fill="auto" w:val="clear"/>
        </w:rPr>
        <w:t xml:space="preserve">a carga maior  da responsabilidade cai sobre mim. </w:t>
      </w:r>
      <w:r>
        <w:rPr>
          <w:rFonts w:ascii="Arial" w:hAnsi="Arial" w:cs="Arial" w:eastAsia="Arial"/>
          <w:color w:val="auto"/>
          <w:spacing w:val="0"/>
          <w:position w:val="0"/>
          <w:sz w:val="20"/>
          <w:shd w:fill="auto" w:val="clear"/>
        </w:rPr>
        <w:t xml:space="preserve">O meu marido também ajuda, mas é aquela ajuda: lava uma loucinha, faz uma coisinha aqui [...] Não dá para contar muito. (Entrevistada 2; nível superior em  geografia e história/especialização em</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geografia)</w:t>
      </w:r>
    </w:p>
    <w:p>
      <w:pPr>
        <w:spacing w:before="4" w:after="0" w:line="240"/>
        <w:ind w:right="0" w:left="0" w:firstLine="0"/>
        <w:jc w:val="left"/>
        <w:rPr>
          <w:rFonts w:ascii="Arial" w:hAnsi="Arial" w:cs="Arial" w:eastAsia="Arial"/>
          <w:color w:val="auto"/>
          <w:spacing w:val="0"/>
          <w:position w:val="0"/>
          <w:sz w:val="17"/>
          <w:shd w:fill="auto" w:val="clear"/>
        </w:rPr>
      </w:pPr>
    </w:p>
    <w:p>
      <w:pPr>
        <w:spacing w:before="0" w:after="0" w:line="276"/>
        <w:ind w:right="119"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Não tem me ocasionado maiores problemas. [...] nesse momento só tenho uma faxineira uma vez por semana. Almoço, eu chego em casa, eu mesma faço; às vezes a gente pega comida pronta [...] vai levando assim. Como acho que é a vida normal de todo mundo, tem momentos que não se consegue nem faxineira, </w:t>
      </w:r>
      <w:r>
        <w:rPr>
          <w:rFonts w:ascii="Arial" w:hAnsi="Arial" w:cs="Arial" w:eastAsia="Arial"/>
          <w:b/>
          <w:color w:val="auto"/>
          <w:spacing w:val="0"/>
          <w:position w:val="0"/>
          <w:sz w:val="20"/>
          <w:shd w:fill="auto" w:val="clear"/>
        </w:rPr>
        <w:t xml:space="preserve">tem que chegar em casa e fazer o trabalho de noite, ou no sábado, </w:t>
      </w:r>
      <w:r>
        <w:rPr>
          <w:rFonts w:ascii="Arial" w:hAnsi="Arial" w:cs="Arial" w:eastAsia="Arial"/>
          <w:color w:val="auto"/>
          <w:spacing w:val="0"/>
          <w:position w:val="0"/>
          <w:sz w:val="20"/>
          <w:shd w:fill="auto" w:val="clear"/>
        </w:rPr>
        <w:t xml:space="preserve">por que nós trabalhamos de segunda a sexta, aí no sábado fica o dia inteiro limpando, faxinando. (Entrevistada 1; nível superior incompleto em serviço social e</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pedagogia)</w:t>
      </w:r>
    </w:p>
    <w:p>
      <w:pPr>
        <w:spacing w:before="1" w:after="0" w:line="240"/>
        <w:ind w:right="0" w:left="0" w:firstLine="0"/>
        <w:jc w:val="left"/>
        <w:rPr>
          <w:rFonts w:ascii="Arial" w:hAnsi="Arial" w:cs="Arial" w:eastAsia="Arial"/>
          <w:color w:val="auto"/>
          <w:spacing w:val="0"/>
          <w:position w:val="0"/>
          <w:sz w:val="17"/>
          <w:shd w:fill="auto" w:val="clear"/>
        </w:rPr>
      </w:pPr>
    </w:p>
    <w:p>
      <w:pPr>
        <w:spacing w:before="1" w:after="0" w:line="276"/>
        <w:ind w:right="119" w:left="237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Eu tenho apoio em casa</w:t>
      </w:r>
      <w:r>
        <w:rPr>
          <w:rFonts w:ascii="Arial" w:hAnsi="Arial" w:cs="Arial" w:eastAsia="Arial"/>
          <w:color w:val="auto"/>
          <w:spacing w:val="0"/>
          <w:position w:val="0"/>
          <w:sz w:val="20"/>
          <w:shd w:fill="auto" w:val="clear"/>
        </w:rPr>
        <w:t xml:space="preserve">, porque se eu não tivesse apoio em casa  eu não estaria desenvolvendo essa atividade. [...] Às vezes o menino reclama porque eu estou muito fora e daí não faço as coisas que ele gosta. Mas então eu dou prioridade [...] nas roupas que é necessário  e na comida, o básico. (Entrevistada 5; nível superior completo em serviço</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social)</w:t>
      </w:r>
    </w:p>
    <w:p>
      <w:pPr>
        <w:spacing w:before="5" w:after="0" w:line="240"/>
        <w:ind w:right="0" w:left="0" w:firstLine="0"/>
        <w:jc w:val="left"/>
        <w:rPr>
          <w:rFonts w:ascii="Arial" w:hAnsi="Arial" w:cs="Arial" w:eastAsia="Arial"/>
          <w:color w:val="auto"/>
          <w:spacing w:val="0"/>
          <w:position w:val="0"/>
          <w:sz w:val="17"/>
          <w:shd w:fill="auto" w:val="clear"/>
        </w:rPr>
      </w:pPr>
    </w:p>
    <w:p>
      <w:pPr>
        <w:spacing w:before="0" w:after="0" w:line="360"/>
        <w:ind w:right="122"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É possível perceber pelos depoimentos que mesmo contando com a ajuda ou apoio do marido ou companheiro, cabe à mulher tomar a frente das responsabilidades do mundo doméstico. Aquelas que têm melhores condições financeiras contratam uma empregada doméstica ou faxineira, ou, além da ajuda dos companheiros, têm aos filhos:</w:t>
      </w:r>
    </w:p>
    <w:p>
      <w:pPr>
        <w:spacing w:before="0" w:after="0" w:line="360"/>
        <w:ind w:right="122" w:left="102" w:firstLine="707"/>
        <w:jc w:val="both"/>
        <w:rPr>
          <w:rFonts w:ascii="Arial" w:hAnsi="Arial" w:cs="Arial" w:eastAsia="Arial"/>
          <w:color w:val="auto"/>
          <w:spacing w:val="0"/>
          <w:position w:val="0"/>
          <w:sz w:val="24"/>
          <w:shd w:fill="auto" w:val="clear"/>
        </w:rPr>
      </w:pPr>
    </w:p>
    <w:p>
      <w:pPr>
        <w:spacing w:before="0" w:after="0" w:line="360"/>
        <w:ind w:right="122" w:left="102" w:firstLine="707"/>
        <w:jc w:val="both"/>
        <w:rPr>
          <w:rFonts w:ascii="Arial" w:hAnsi="Arial" w:cs="Arial" w:eastAsia="Arial"/>
          <w:color w:val="auto"/>
          <w:spacing w:val="0"/>
          <w:position w:val="0"/>
          <w:sz w:val="24"/>
          <w:shd w:fill="auto" w:val="clear"/>
        </w:rPr>
      </w:pPr>
    </w:p>
    <w:p>
      <w:pPr>
        <w:spacing w:before="0" w:after="0" w:line="360"/>
        <w:ind w:right="122" w:left="102" w:firstLine="707"/>
        <w:jc w:val="both"/>
        <w:rPr>
          <w:rFonts w:ascii="Arial" w:hAnsi="Arial" w:cs="Arial" w:eastAsia="Arial"/>
          <w:color w:val="auto"/>
          <w:spacing w:val="0"/>
          <w:position w:val="0"/>
          <w:sz w:val="24"/>
          <w:shd w:fill="auto" w:val="clear"/>
        </w:rPr>
      </w:pPr>
    </w:p>
    <w:p>
      <w:pPr>
        <w:spacing w:before="0" w:after="0" w:line="360"/>
        <w:ind w:right="122" w:left="102" w:firstLine="707"/>
        <w:jc w:val="both"/>
        <w:rPr>
          <w:rFonts w:ascii="Arial" w:hAnsi="Arial" w:cs="Arial" w:eastAsia="Arial"/>
          <w:color w:val="auto"/>
          <w:spacing w:val="0"/>
          <w:position w:val="0"/>
          <w:sz w:val="24"/>
          <w:shd w:fill="auto" w:val="clear"/>
        </w:rPr>
      </w:pPr>
    </w:p>
    <w:p>
      <w:pPr>
        <w:spacing w:before="0" w:after="0" w:line="360"/>
        <w:ind w:right="122" w:left="102" w:firstLine="707"/>
        <w:jc w:val="both"/>
        <w:rPr>
          <w:rFonts w:ascii="Arial" w:hAnsi="Arial" w:cs="Arial" w:eastAsia="Arial"/>
          <w:color w:val="auto"/>
          <w:spacing w:val="0"/>
          <w:position w:val="0"/>
          <w:sz w:val="24"/>
          <w:shd w:fill="auto" w:val="clear"/>
        </w:rPr>
      </w:pPr>
    </w:p>
    <w:p>
      <w:pPr>
        <w:spacing w:before="203" w:after="0" w:line="276"/>
        <w:ind w:right="119" w:left="237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Pago a pessoa para fazer o meu serviço de casa </w:t>
      </w:r>
      <w:r>
        <w:rPr>
          <w:rFonts w:ascii="Arial" w:hAnsi="Arial" w:cs="Arial" w:eastAsia="Arial"/>
          <w:color w:val="auto"/>
          <w:spacing w:val="0"/>
          <w:position w:val="0"/>
          <w:sz w:val="20"/>
          <w:shd w:fill="auto" w:val="clear"/>
        </w:rPr>
        <w:t xml:space="preserve">e eu vou fazer o meu serviço de voluntária. Mas eu concilio bem, é tranqüilo. (Entrevistada 9; nível médio/magistério)</w:t>
      </w:r>
    </w:p>
    <w:p>
      <w:pPr>
        <w:spacing w:before="6" w:after="0" w:line="240"/>
        <w:ind w:right="0" w:left="0" w:firstLine="0"/>
        <w:jc w:val="left"/>
        <w:rPr>
          <w:rFonts w:ascii="Arial" w:hAnsi="Arial" w:cs="Arial" w:eastAsia="Arial"/>
          <w:color w:val="auto"/>
          <w:spacing w:val="0"/>
          <w:position w:val="0"/>
          <w:sz w:val="17"/>
          <w:shd w:fill="auto" w:val="clear"/>
        </w:rPr>
      </w:pPr>
    </w:p>
    <w:p>
      <w:pPr>
        <w:spacing w:before="0" w:after="0" w:line="273"/>
        <w:ind w:right="120" w:left="2370" w:firstLine="0"/>
        <w:jc w:val="both"/>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 xml:space="preserve">Às vezes a gente faz almoço em casa, às vezes compra e leva para casa, conseguimos conciliar assim. [...]  </w:t>
      </w:r>
      <w:r>
        <w:rPr>
          <w:rFonts w:ascii="Arial" w:hAnsi="Arial" w:cs="Arial" w:eastAsia="Arial"/>
          <w:b/>
          <w:color w:val="auto"/>
          <w:spacing w:val="0"/>
          <w:position w:val="0"/>
          <w:sz w:val="20"/>
          <w:shd w:fill="auto" w:val="clear"/>
        </w:rPr>
        <w:t xml:space="preserve">Eu tenho uma pessoa  </w:t>
      </w:r>
      <w:r>
        <w:rPr>
          <w:rFonts w:ascii="Arial" w:hAnsi="Arial" w:cs="Arial" w:eastAsia="Arial"/>
          <w:b/>
          <w:color w:val="auto"/>
          <w:spacing w:val="52"/>
          <w:position w:val="0"/>
          <w:sz w:val="20"/>
          <w:shd w:fill="auto" w:val="clear"/>
        </w:rPr>
        <w:t xml:space="preserve"> </w:t>
      </w:r>
      <w:r>
        <w:rPr>
          <w:rFonts w:ascii="Arial" w:hAnsi="Arial" w:cs="Arial" w:eastAsia="Arial"/>
          <w:b/>
          <w:color w:val="auto"/>
          <w:spacing w:val="0"/>
          <w:position w:val="0"/>
          <w:sz w:val="20"/>
          <w:shd w:fill="auto" w:val="clear"/>
        </w:rPr>
        <w:t xml:space="preserve">que</w:t>
      </w:r>
    </w:p>
    <w:p>
      <w:pPr>
        <w:spacing w:before="55" w:after="0" w:line="278"/>
        <w:ind w:right="118" w:left="237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vai geralmente na sexta feria e faz o serviço mais pesado da casa </w:t>
      </w:r>
      <w:r>
        <w:rPr>
          <w:rFonts w:ascii="Arial" w:hAnsi="Arial" w:cs="Arial" w:eastAsia="Arial"/>
          <w:color w:val="auto"/>
          <w:spacing w:val="0"/>
          <w:position w:val="0"/>
          <w:sz w:val="20"/>
          <w:shd w:fill="auto" w:val="clear"/>
        </w:rPr>
        <w:t xml:space="preserve">e durante a semana a gente vai fazendo, se revezando, um arruma a cama, o outro faz o almoço, varre e vai nesse ritmo. (Entrevistada 8; nível superior em serviço social/especialização em gestão social)</w:t>
      </w:r>
    </w:p>
    <w:p>
      <w:pPr>
        <w:spacing w:before="2" w:after="0" w:line="240"/>
        <w:ind w:right="0" w:left="0" w:firstLine="0"/>
        <w:jc w:val="left"/>
        <w:rPr>
          <w:rFonts w:ascii="Arial" w:hAnsi="Arial" w:cs="Arial" w:eastAsia="Arial"/>
          <w:color w:val="auto"/>
          <w:spacing w:val="0"/>
          <w:position w:val="0"/>
          <w:sz w:val="17"/>
          <w:shd w:fill="auto" w:val="clear"/>
        </w:rPr>
      </w:pPr>
    </w:p>
    <w:p>
      <w:pPr>
        <w:spacing w:before="0" w:after="0" w:line="276"/>
        <w:ind w:right="118"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Eu </w:t>
      </w:r>
      <w:r>
        <w:rPr>
          <w:rFonts w:ascii="Arial" w:hAnsi="Arial" w:cs="Arial" w:eastAsia="Arial"/>
          <w:b/>
          <w:color w:val="auto"/>
          <w:spacing w:val="0"/>
          <w:position w:val="0"/>
          <w:sz w:val="20"/>
          <w:shd w:fill="auto" w:val="clear"/>
        </w:rPr>
        <w:t xml:space="preserve">tenho uma faxineira </w:t>
      </w:r>
      <w:r>
        <w:rPr>
          <w:rFonts w:ascii="Arial" w:hAnsi="Arial" w:cs="Arial" w:eastAsia="Arial"/>
          <w:color w:val="auto"/>
          <w:spacing w:val="0"/>
          <w:position w:val="0"/>
          <w:sz w:val="20"/>
          <w:shd w:fill="auto" w:val="clear"/>
        </w:rPr>
        <w:t xml:space="preserve">na sexta, eu ainda faço o serviço da casa quando chego do trabalho. Ainda faço a rotina da minha casa, eles dizem que eu sou meia “crica” com as coisas, gosto de tudo no lugar e assim eu consigo deixar tudo em ordem [...] Consigo conciliar, </w:t>
      </w:r>
      <w:r>
        <w:rPr>
          <w:rFonts w:ascii="Arial" w:hAnsi="Arial" w:cs="Arial" w:eastAsia="Arial"/>
          <w:b/>
          <w:color w:val="auto"/>
          <w:spacing w:val="0"/>
          <w:position w:val="0"/>
          <w:sz w:val="20"/>
          <w:shd w:fill="auto" w:val="clear"/>
        </w:rPr>
        <w:t xml:space="preserve">o almoço, já deixo meio encaminhado, ao meio dia quando chego já termino e eles me ajudam dentro do possível. Quando precisa eles ajudam</w:t>
      </w:r>
      <w:r>
        <w:rPr>
          <w:rFonts w:ascii="Arial" w:hAnsi="Arial" w:cs="Arial" w:eastAsia="Arial"/>
          <w:color w:val="auto"/>
          <w:spacing w:val="0"/>
          <w:position w:val="0"/>
          <w:sz w:val="20"/>
          <w:shd w:fill="auto" w:val="clear"/>
        </w:rPr>
        <w:t xml:space="preserve">. (Entrevistada 11; nível superior em pedagogia/especialização em</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psicopedagogia)</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1" w:after="0" w:line="360"/>
        <w:ind w:right="115"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Como podemos identificar nos depoimentos e, de acordo com Bruschini (2000), a mudança no perfil etário da População Economicamente Ativa (PEA) feminina, sugere que as responsabilidades familiares não estão mais constituindo um fator impeditivo ao trabalho fora do lar, como ocorria até os anos 70. As mulheres, movidas pela necessidade de complementar a renda familiar ou impulsionadas pela escolaridade elevada, menor número de filhos, mudanças na identidade feminina e nas relações familiares, procuram cada vez mais o mercado de trabalho, tendo este como um meio de satisfação das necessidades básicas, fonte de identificação e de auto-estima e desenvolvimento das potencialidades humanas.</w:t>
      </w:r>
    </w:p>
    <w:p>
      <w:pPr>
        <w:spacing w:before="204"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ampliação do trabalho por parte de mulheres casadas e mães também ocorreu pela necessidade delas colaborarem com as despesas como educação e saúde. Entretanto, embora estes elementos apareçam na pesquisa – o fato de ter uma renda para ajudar a arcar com as despesas domésticas -, o trabalho por elas desenvolvido aparece como prazeroso, havendo uma identificação com as atividades desenvolvidas e com o público atendido, bem como, prevalece o sentido de realização tanto pessoal quanto profissional. No que tange aos homens pesquisados, aos casados, quando lhes foi perguntado acerca da relação trabalho/família, verificamos que mesmo com o trabalho tomando a maior parte do tempo, procuram ajudar nos afazeres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domésticos:</w:t>
      </w:r>
    </w:p>
    <w:p>
      <w:pPr>
        <w:spacing w:before="204" w:after="0" w:line="360"/>
        <w:ind w:right="116" w:left="102" w:firstLine="707"/>
        <w:jc w:val="both"/>
        <w:rPr>
          <w:rFonts w:ascii="Arial" w:hAnsi="Arial" w:cs="Arial" w:eastAsia="Arial"/>
          <w:color w:val="auto"/>
          <w:spacing w:val="0"/>
          <w:position w:val="0"/>
          <w:sz w:val="24"/>
          <w:shd w:fill="auto" w:val="clear"/>
        </w:rPr>
      </w:pPr>
    </w:p>
    <w:p>
      <w:pPr>
        <w:spacing w:before="203" w:after="0" w:line="276"/>
        <w:ind w:right="119"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Eu não tenho tanto tempo para ajudar nas atividades em casa, pois  se for analisar meus horários, eu trabalho de segunda-feira à sábado até a noite [...] mas, </w:t>
      </w:r>
      <w:r>
        <w:rPr>
          <w:rFonts w:ascii="Arial" w:hAnsi="Arial" w:cs="Arial" w:eastAsia="Arial"/>
          <w:b/>
          <w:color w:val="auto"/>
          <w:spacing w:val="0"/>
          <w:position w:val="0"/>
          <w:sz w:val="20"/>
          <w:shd w:fill="auto" w:val="clear"/>
        </w:rPr>
        <w:t xml:space="preserve">no tempo que estou em casa, sempre ajudo</w:t>
      </w:r>
      <w:r>
        <w:rPr>
          <w:rFonts w:ascii="Arial" w:hAnsi="Arial" w:cs="Arial" w:eastAsia="Arial"/>
          <w:color w:val="auto"/>
          <w:spacing w:val="0"/>
          <w:position w:val="0"/>
          <w:sz w:val="20"/>
          <w:shd w:fill="auto" w:val="clear"/>
        </w:rPr>
        <w:t xml:space="preserve">, até</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porque</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casa</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não</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sou</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eu</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quem</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bagunça</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sozinho,</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mas</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gente</w:t>
      </w:r>
    </w:p>
    <w:p>
      <w:pPr>
        <w:spacing w:before="57" w:after="0" w:line="278"/>
        <w:ind w:right="123"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sempre se ajuda. (Entrevistado 4; nível superior incompleto em pedagogia) Quando estou no trabalho estou em casa ao mesmo tempo, [...] </w:t>
      </w:r>
      <w:r>
        <w:rPr>
          <w:rFonts w:ascii="Arial" w:hAnsi="Arial" w:cs="Arial" w:eastAsia="Arial"/>
          <w:b/>
          <w:color w:val="auto"/>
          <w:spacing w:val="0"/>
          <w:position w:val="0"/>
          <w:sz w:val="20"/>
          <w:shd w:fill="auto" w:val="clear"/>
        </w:rPr>
        <w:t xml:space="preserve">quando estou aqui trabalhando e precisa ir em casa ver uma panela no fogo dá tempo de ir lá </w:t>
      </w:r>
      <w:r>
        <w:rPr>
          <w:rFonts w:ascii="Arial" w:hAnsi="Arial" w:cs="Arial" w:eastAsia="Arial"/>
          <w:color w:val="auto"/>
          <w:spacing w:val="0"/>
          <w:position w:val="0"/>
          <w:sz w:val="20"/>
          <w:shd w:fill="auto" w:val="clear"/>
        </w:rPr>
        <w:t xml:space="preserve">e ver, e vai levando. [...] Se tem intervalo durante o dia, vai lá da uma varrida ou coloca uma panela  no fogo e volta para o trabalho. (Entrevistado 14; nível</w:t>
      </w:r>
      <w:r>
        <w:rPr>
          <w:rFonts w:ascii="Arial" w:hAnsi="Arial" w:cs="Arial" w:eastAsia="Arial"/>
          <w:color w:val="auto"/>
          <w:spacing w:val="-16"/>
          <w:position w:val="0"/>
          <w:sz w:val="20"/>
          <w:shd w:fill="auto" w:val="clear"/>
        </w:rPr>
        <w:t xml:space="preserve"> </w:t>
      </w:r>
      <w:r>
        <w:rPr>
          <w:rFonts w:ascii="Arial" w:hAnsi="Arial" w:cs="Arial" w:eastAsia="Arial"/>
          <w:color w:val="auto"/>
          <w:spacing w:val="0"/>
          <w:position w:val="0"/>
          <w:sz w:val="20"/>
          <w:shd w:fill="auto" w:val="clear"/>
        </w:rPr>
        <w:t xml:space="preserve">primário)</w:t>
      </w:r>
    </w:p>
    <w:p>
      <w:pPr>
        <w:spacing w:before="2" w:after="0" w:line="240"/>
        <w:ind w:right="0" w:left="0" w:firstLine="0"/>
        <w:jc w:val="left"/>
        <w:rPr>
          <w:rFonts w:ascii="Arial" w:hAnsi="Arial" w:cs="Arial" w:eastAsia="Arial"/>
          <w:color w:val="auto"/>
          <w:spacing w:val="0"/>
          <w:position w:val="0"/>
          <w:sz w:val="17"/>
          <w:shd w:fill="auto" w:val="clear"/>
        </w:rPr>
      </w:pPr>
    </w:p>
    <w:p>
      <w:pPr>
        <w:spacing w:before="0"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Neste último depoimento, o entrevistado diz estar no trabalho e em casa ao mesmo tempo, por morar nos fundos da instituição, onde criou os filhos. Desta forma, a relação trabalho/família se configura de maneira diferente, já que os filhos cresceram no espaço de trabalho do pai e da mãe. Em relação aos afazeres domésticos, como ele mesmo afirmou, sempre que tem tempo, procura ajudar. Como podemos perceber, quando os entrevistados se referem aos afazeres domésticos, por parte dos homens aparece o conceito de ajudar nas atividades relativas à casa. Isto se dá pelo fato de que mesmo as mulheres estando mais presentes no mercado de trabalho, elas ainda tomam para si a responsabilidade de desenvolver as atividades domésticas, característica esta, construída historicamente, como mencionado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anteriormente.</w:t>
      </w:r>
    </w:p>
    <w:p>
      <w:pPr>
        <w:spacing w:before="204" w:after="0" w:line="360"/>
        <w:ind w:right="119"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Mesmo nas configurações familiares onde não há a figura do marido ou companheiro, como é o caso do primeiro depoimento abaixo, em que a entrevistada é viúva e mora com a filha, podemos constatar que os afazeres domésticos ficam sob sua responsabilidade podendo contar com a ajuda da filha. No outro depoimento, a entrevistada conta com o auxilio do filho para os afazeres domésticos. E no caso em que duas mulheres dividem a casa, há também a co-responsabilidade pelos afazeres domésticos.</w:t>
      </w:r>
    </w:p>
    <w:p>
      <w:pPr>
        <w:spacing w:before="203" w:after="0" w:line="276"/>
        <w:ind w:right="117"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Eu em casa </w:t>
      </w:r>
      <w:r>
        <w:rPr>
          <w:rFonts w:ascii="Arial" w:hAnsi="Arial" w:cs="Arial" w:eastAsia="Arial"/>
          <w:b/>
          <w:color w:val="auto"/>
          <w:spacing w:val="0"/>
          <w:position w:val="0"/>
          <w:sz w:val="20"/>
          <w:shd w:fill="auto" w:val="clear"/>
        </w:rPr>
        <w:t xml:space="preserve">não tenho problema porque é só eu e minha filha</w:t>
      </w:r>
      <w:r>
        <w:rPr>
          <w:rFonts w:ascii="Arial" w:hAnsi="Arial" w:cs="Arial" w:eastAsia="Arial"/>
          <w:color w:val="auto"/>
          <w:spacing w:val="0"/>
          <w:position w:val="0"/>
          <w:sz w:val="20"/>
          <w:shd w:fill="auto" w:val="clear"/>
        </w:rPr>
        <w:t xml:space="preserve">, ela chega meio dia do colégio, almoçamos, depois </w:t>
      </w:r>
      <w:r>
        <w:rPr>
          <w:rFonts w:ascii="Arial" w:hAnsi="Arial" w:cs="Arial" w:eastAsia="Arial"/>
          <w:b/>
          <w:color w:val="auto"/>
          <w:spacing w:val="0"/>
          <w:position w:val="0"/>
          <w:sz w:val="20"/>
          <w:shd w:fill="auto" w:val="clear"/>
        </w:rPr>
        <w:t xml:space="preserve">vamos fazer o trabalho da casa</w:t>
      </w:r>
      <w:r>
        <w:rPr>
          <w:rFonts w:ascii="Arial" w:hAnsi="Arial" w:cs="Arial" w:eastAsia="Arial"/>
          <w:color w:val="auto"/>
          <w:spacing w:val="0"/>
          <w:position w:val="0"/>
          <w:sz w:val="20"/>
          <w:shd w:fill="auto" w:val="clear"/>
        </w:rPr>
        <w:t xml:space="preserve">. (Entrevistada 7; nível médio)</w:t>
      </w:r>
    </w:p>
    <w:p>
      <w:pPr>
        <w:spacing w:before="7" w:after="0" w:line="240"/>
        <w:ind w:right="0" w:left="0" w:firstLine="0"/>
        <w:jc w:val="left"/>
        <w:rPr>
          <w:rFonts w:ascii="Arial" w:hAnsi="Arial" w:cs="Arial" w:eastAsia="Arial"/>
          <w:color w:val="auto"/>
          <w:spacing w:val="0"/>
          <w:position w:val="0"/>
          <w:sz w:val="17"/>
          <w:shd w:fill="auto" w:val="clear"/>
        </w:rPr>
      </w:pPr>
    </w:p>
    <w:p>
      <w:pPr>
        <w:spacing w:before="0" w:after="0" w:line="276"/>
        <w:ind w:right="118"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Como somos </w:t>
      </w:r>
      <w:r>
        <w:rPr>
          <w:rFonts w:ascii="Arial" w:hAnsi="Arial" w:cs="Arial" w:eastAsia="Arial"/>
          <w:b/>
          <w:color w:val="auto"/>
          <w:spacing w:val="0"/>
          <w:position w:val="0"/>
          <w:sz w:val="20"/>
          <w:shd w:fill="auto" w:val="clear"/>
        </w:rPr>
        <w:t xml:space="preserve">eu e o meu filho, cada um se organiza </w:t>
      </w:r>
      <w:r>
        <w:rPr>
          <w:rFonts w:ascii="Arial" w:hAnsi="Arial" w:cs="Arial" w:eastAsia="Arial"/>
          <w:color w:val="auto"/>
          <w:spacing w:val="0"/>
          <w:position w:val="0"/>
          <w:sz w:val="20"/>
          <w:shd w:fill="auto" w:val="clear"/>
        </w:rPr>
        <w:t xml:space="preserve">[...] o almoço eu procuro fazer no dia, levanto cedo, organizo e deixo pronto para ele porque ele vem e almoça em casa, para mim não vale a pena ir para casa, pois, eu moro longe. </w:t>
      </w:r>
      <w:r>
        <w:rPr>
          <w:rFonts w:ascii="Arial" w:hAnsi="Arial" w:cs="Arial" w:eastAsia="Arial"/>
          <w:b/>
          <w:color w:val="auto"/>
          <w:spacing w:val="0"/>
          <w:position w:val="0"/>
          <w:sz w:val="20"/>
          <w:shd w:fill="auto" w:val="clear"/>
        </w:rPr>
        <w:t xml:space="preserve">No final de semana a gente se organiza mais, ele me auxilia em alguma coisa em casa. </w:t>
      </w:r>
      <w:r>
        <w:rPr>
          <w:rFonts w:ascii="Arial" w:hAnsi="Arial" w:cs="Arial" w:eastAsia="Arial"/>
          <w:color w:val="auto"/>
          <w:spacing w:val="0"/>
          <w:position w:val="0"/>
          <w:sz w:val="20"/>
          <w:shd w:fill="auto" w:val="clear"/>
        </w:rPr>
        <w:t xml:space="preserve">[...] (Entrevistada 12; nível superior em pedagogia/especialização em psicopedagogia)</w:t>
      </w:r>
    </w:p>
    <w:p>
      <w:pPr>
        <w:spacing w:before="0" w:after="0" w:line="276"/>
        <w:ind w:right="118" w:left="2370" w:firstLine="0"/>
        <w:jc w:val="both"/>
        <w:rPr>
          <w:rFonts w:ascii="Arial" w:hAnsi="Arial" w:cs="Arial" w:eastAsia="Arial"/>
          <w:color w:val="auto"/>
          <w:spacing w:val="0"/>
          <w:position w:val="0"/>
          <w:sz w:val="20"/>
          <w:shd w:fill="auto" w:val="clear"/>
        </w:rPr>
      </w:pPr>
    </w:p>
    <w:p>
      <w:pPr>
        <w:spacing w:before="0" w:after="0" w:line="276"/>
        <w:ind w:right="118" w:left="2370" w:firstLine="0"/>
        <w:jc w:val="both"/>
        <w:rPr>
          <w:rFonts w:ascii="Arial" w:hAnsi="Arial" w:cs="Arial" w:eastAsia="Arial"/>
          <w:color w:val="auto"/>
          <w:spacing w:val="0"/>
          <w:position w:val="0"/>
          <w:sz w:val="20"/>
          <w:shd w:fill="auto" w:val="clear"/>
        </w:rPr>
      </w:pPr>
    </w:p>
    <w:p>
      <w:pPr>
        <w:spacing w:before="4" w:after="0" w:line="240"/>
        <w:ind w:right="0" w:left="0" w:firstLine="0"/>
        <w:jc w:val="left"/>
        <w:rPr>
          <w:rFonts w:ascii="Arial" w:hAnsi="Arial" w:cs="Arial" w:eastAsia="Arial"/>
          <w:color w:val="auto"/>
          <w:spacing w:val="0"/>
          <w:position w:val="0"/>
          <w:sz w:val="17"/>
          <w:shd w:fill="auto" w:val="clear"/>
        </w:rPr>
      </w:pPr>
    </w:p>
    <w:p>
      <w:pPr>
        <w:spacing w:before="0" w:after="0" w:line="276"/>
        <w:ind w:right="116" w:left="237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É bem tranqüilo porque a gente </w:t>
      </w:r>
      <w:r>
        <w:rPr>
          <w:rFonts w:ascii="Arial" w:hAnsi="Arial" w:cs="Arial" w:eastAsia="Arial"/>
          <w:b/>
          <w:color w:val="auto"/>
          <w:spacing w:val="0"/>
          <w:position w:val="0"/>
          <w:sz w:val="20"/>
          <w:shd w:fill="auto" w:val="clear"/>
        </w:rPr>
        <w:t xml:space="preserve">tem uma empregada</w:t>
      </w:r>
      <w:r>
        <w:rPr>
          <w:rFonts w:ascii="Arial" w:hAnsi="Arial" w:cs="Arial" w:eastAsia="Arial"/>
          <w:color w:val="auto"/>
          <w:spacing w:val="0"/>
          <w:position w:val="0"/>
          <w:sz w:val="20"/>
          <w:shd w:fill="auto" w:val="clear"/>
        </w:rPr>
        <w:t xml:space="preserve">, porque como as duas trabalham o dia todo, a gente precisa de alguém pra pelo menos fazer a faxina grossa da casa e aí cada uma cuida da sua</w:t>
      </w:r>
    </w:p>
    <w:p>
      <w:pPr>
        <w:spacing w:before="57" w:after="0" w:line="278"/>
        <w:ind w:right="0" w:left="237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parte, deixa sempre organizado. (Entrevistada 10; nível superior em terapia ocupacional/especialização em terapia de mão)</w:t>
      </w:r>
    </w:p>
    <w:p>
      <w:pPr>
        <w:spacing w:before="0" w:after="0" w:line="240"/>
        <w:ind w:right="0" w:left="0" w:firstLine="0"/>
        <w:jc w:val="left"/>
        <w:rPr>
          <w:rFonts w:ascii="Arial" w:hAnsi="Arial" w:cs="Arial" w:eastAsia="Arial"/>
          <w:color w:val="auto"/>
          <w:spacing w:val="0"/>
          <w:position w:val="0"/>
          <w:sz w:val="17"/>
          <w:shd w:fill="auto" w:val="clear"/>
        </w:rPr>
      </w:pPr>
    </w:p>
    <w:p>
      <w:pPr>
        <w:spacing w:before="0" w:after="0" w:line="360"/>
        <w:ind w:right="121"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Desta forma, podemos concluir através dos depoimentos, que ainda permanece sob a mulher a maior responsabilidade por cuidar da casa e dos filhos, havendo em alguns casos há a colaboração do marido, ou dos filhos. As mulheres, tanto as que tiveram oportunidade de cursar nível superior quanto às demais desenvolvem muitas atividades, seja pelo fato do mercado formal de trabalho ter se ampliado, seja pela existência do trabalho voluntário. O que aparece comum tanto numa forma de ocupação como em outra, é o fato de constituírem-se em atividades gratificantes e consideradas bem remuneradas. No caso do trabalho voluntário, a satisfação é considerada uma forma de remuneração, ou seja, algo que faz bem e, como tal, compensa gastos decorrentes do afastamento do lar.</w:t>
      </w:r>
    </w:p>
    <w:p>
      <w:pPr>
        <w:spacing w:before="0" w:after="0" w:line="240"/>
        <w:ind w:right="0" w:left="0" w:firstLine="0"/>
        <w:jc w:val="left"/>
        <w:rPr>
          <w:rFonts w:ascii="Arial" w:hAnsi="Arial" w:cs="Arial" w:eastAsia="Arial"/>
          <w:color w:val="auto"/>
          <w:spacing w:val="0"/>
          <w:position w:val="0"/>
          <w:sz w:val="24"/>
          <w:shd w:fill="auto" w:val="clear"/>
        </w:rPr>
      </w:pPr>
    </w:p>
    <w:p>
      <w:pPr>
        <w:spacing w:before="2" w:after="0" w:line="240"/>
        <w:ind w:right="0" w:left="0" w:firstLine="0"/>
        <w:jc w:val="left"/>
        <w:rPr>
          <w:rFonts w:ascii="Arial" w:hAnsi="Arial" w:cs="Arial" w:eastAsia="Arial"/>
          <w:color w:val="auto"/>
          <w:spacing w:val="0"/>
          <w:position w:val="0"/>
          <w:sz w:val="23"/>
          <w:shd w:fill="auto" w:val="clear"/>
        </w:rPr>
      </w:pPr>
    </w:p>
    <w:p>
      <w:pPr>
        <w:numPr>
          <w:ilvl w:val="0"/>
          <w:numId w:val="3081"/>
        </w:numPr>
        <w:tabs>
          <w:tab w:val="left" w:pos="304" w:leader="none"/>
        </w:tabs>
        <w:spacing w:before="0" w:after="0" w:line="240"/>
        <w:ind w:right="0" w:left="303" w:hanging="201"/>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Considerações</w:t>
      </w:r>
      <w:r>
        <w:rPr>
          <w:rFonts w:ascii="Arial" w:hAnsi="Arial" w:cs="Arial" w:eastAsia="Arial"/>
          <w:b/>
          <w:color w:val="auto"/>
          <w:spacing w:val="-8"/>
          <w:position w:val="0"/>
          <w:sz w:val="24"/>
          <w:shd w:fill="auto" w:val="clear"/>
        </w:rPr>
        <w:t xml:space="preserve"> </w:t>
      </w:r>
      <w:r>
        <w:rPr>
          <w:rFonts w:ascii="Arial" w:hAnsi="Arial" w:cs="Arial" w:eastAsia="Arial"/>
          <w:b/>
          <w:color w:val="auto"/>
          <w:spacing w:val="0"/>
          <w:position w:val="0"/>
          <w:sz w:val="24"/>
          <w:shd w:fill="auto" w:val="clear"/>
        </w:rPr>
        <w:t xml:space="preserve">finais</w:t>
      </w:r>
    </w:p>
    <w:p>
      <w:pPr>
        <w:spacing w:before="8" w:after="0" w:line="240"/>
        <w:ind w:right="0" w:left="0" w:firstLine="0"/>
        <w:jc w:val="left"/>
        <w:rPr>
          <w:rFonts w:ascii="Arial" w:hAnsi="Arial" w:cs="Arial" w:eastAsia="Arial"/>
          <w:b/>
          <w:color w:val="auto"/>
          <w:spacing w:val="0"/>
          <w:position w:val="0"/>
          <w:sz w:val="32"/>
          <w:shd w:fill="auto" w:val="clear"/>
        </w:rPr>
      </w:pPr>
    </w:p>
    <w:p>
      <w:pPr>
        <w:spacing w:before="1"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Como podemos concluir, é predominante a presença de mulheres nesse campo social - 11 (onze) mulheres entrevistas e 4 (quatro) homens, incluindo a coordenação. Este campo de atuação é considerado ao longo da história como espaço de atuação feminina, por se caracterizar também como um espaço de cuidado e proteção. O nível elevado de escolaridade das mulheres em relação aos homens, também foi algo que nos chamou atenção. A maioria das mulheres entrevistadas possui o terceiro grau completo, algumas até com nível de especialização, e ainda, atuando na área de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formação.</w:t>
      </w:r>
    </w:p>
    <w:p>
      <w:pPr>
        <w:spacing w:before="202"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que tange à distribuição das atividades, no caso da Pastoral da Criança que envolve cuidados com crianças de 0 a 6 anos e gestantes, realizam visitas mensais, o peso, a orientação às mães, a presença feminina é predominante. Nas outras instituições, são mulheres que atuam nas áreas de psicologia, terapia ocupacional, pedagogia, assistência social, coordenação, canto, oficina de panificação. Já os homens, desenvolvem a função de auxiliar de serviços externos, motorista, professor de violão e informática. </w:t>
      </w:r>
    </w:p>
    <w:p>
      <w:pPr>
        <w:spacing w:before="202" w:after="0" w:line="360"/>
        <w:ind w:right="116" w:left="102" w:firstLine="707"/>
        <w:jc w:val="both"/>
        <w:rPr>
          <w:rFonts w:ascii="Arial" w:hAnsi="Arial" w:cs="Arial" w:eastAsia="Arial"/>
          <w:color w:val="auto"/>
          <w:spacing w:val="0"/>
          <w:position w:val="0"/>
          <w:sz w:val="24"/>
          <w:shd w:fill="auto" w:val="clear"/>
        </w:rPr>
      </w:pPr>
    </w:p>
    <w:p>
      <w:pPr>
        <w:spacing w:before="202" w:after="0" w:line="360"/>
        <w:ind w:right="116"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Estes elementos sinalizam que, na atualidade, ainda se reproduz a concepção de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que há espaços a serem ocupados e lugares considerados mais apropriados ao feminino.</w:t>
      </w:r>
    </w:p>
    <w:p>
      <w:pPr>
        <w:spacing w:before="201" w:after="0" w:line="360"/>
        <w:ind w:right="116" w:left="102" w:firstLine="9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relação ao âmbito privado, constatamos que embora as mulheres estejam mais presente no mercado de trabalho, ainda cabe a elas a responsabilidade dos cuidados domésticos e com os filhos. Não só cabe a elas, como elas tomam para si tal responsabilidade, fortalecendo e naturalizando as atividades que devem ser desenvolvidas por homens e por mulheres. Entretanto, podemos identificar que as responsabilidades familiares não se constituem um fator impeditivo ao trabalho fora do lar. O trabalho por elas desenvolvido aparece como prazeroso, havendo uma identificação com as atividades desenvolvidas e com o público atendido, bem como, prevalece o sentido de realização tanto pessoal quanto profissional.</w:t>
      </w:r>
    </w:p>
    <w:p>
      <w:pPr>
        <w:spacing w:before="204" w:after="0" w:line="360"/>
        <w:ind w:right="119"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que tange aos homens pesquisados, aos casados, quando lhes foi perguntado acerca da relação trabalho/família, verificamos que mesmo com o trabalho tomando a maior parte do tempo, procuram ajudar nos afazeres domésticos. Assim, quando os maridos “entram em cena”, o mais recorrente é sua atuação em apenas alguns dos trabalhos constitutivos da organização e funcionamento do cotidiano doméstico e familiar. Esses homens, em geral, ajudam em atividades situadas na cozinha (preparo dos alimentos, lavar e secar a louça) e ou relativas a alguns dos cuidados com os filhos, todavia, não são vistos limpando e arrumando a casa, lavando e passando a roupa, por exemplo.</w:t>
      </w:r>
    </w:p>
    <w:p>
      <w:pPr>
        <w:spacing w:before="204" w:after="0" w:line="360"/>
        <w:ind w:right="117" w:left="102" w:firstLine="70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Portanto, como já mencionado anteriormente, são mulheres as responsáveis principais por trabalhos associados aos afazeres domésticos e cuidados de crianças, seja na condição de mãe, filha ou irmã reproduzindo relações “tradicionais” de gênero no espaço privado, e, não menos no espaço público, quando se trata do trabalho profissional no âmbito das políticas socioassistenciais direcionadas ao segmento infanto-juvenil.</w:t>
      </w:r>
    </w:p>
    <w:p>
      <w:pPr>
        <w:spacing w:before="0" w:after="0" w:line="360"/>
        <w:ind w:right="0" w:left="0" w:firstLine="0"/>
        <w:jc w:val="left"/>
        <w:rPr>
          <w:rFonts w:ascii="Arial" w:hAnsi="Arial" w:cs="Arial" w:eastAsia="Arial"/>
          <w:color w:val="auto"/>
          <w:spacing w:val="0"/>
          <w:position w:val="0"/>
          <w:sz w:val="22"/>
          <w:shd w:fill="auto" w:val="clear"/>
        </w:rPr>
      </w:pPr>
    </w:p>
    <w:p>
      <w:pPr>
        <w:numPr>
          <w:ilvl w:val="0"/>
          <w:numId w:val="3089"/>
        </w:numPr>
        <w:tabs>
          <w:tab w:val="left" w:pos="303" w:leader="none"/>
        </w:tabs>
        <w:spacing w:before="55" w:after="0" w:line="240"/>
        <w:ind w:right="0" w:left="302" w:hanging="20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Referências</w:t>
      </w:r>
      <w:r>
        <w:rPr>
          <w:rFonts w:ascii="Arial" w:hAnsi="Arial" w:cs="Arial" w:eastAsia="Arial"/>
          <w:b/>
          <w:color w:val="auto"/>
          <w:spacing w:val="-8"/>
          <w:position w:val="0"/>
          <w:sz w:val="24"/>
          <w:shd w:fill="auto" w:val="clear"/>
        </w:rPr>
        <w:t xml:space="preserve"> </w:t>
      </w:r>
      <w:r>
        <w:rPr>
          <w:rFonts w:ascii="Arial" w:hAnsi="Arial" w:cs="Arial" w:eastAsia="Arial"/>
          <w:b/>
          <w:color w:val="auto"/>
          <w:spacing w:val="0"/>
          <w:position w:val="0"/>
          <w:sz w:val="24"/>
          <w:shd w:fill="auto" w:val="clear"/>
        </w:rPr>
        <w:t xml:space="preserve">Bibliográficas</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9"/>
          <w:shd w:fill="auto" w:val="clear"/>
        </w:rPr>
      </w:pPr>
    </w:p>
    <w:p>
      <w:pPr>
        <w:spacing w:before="0" w:after="0" w:line="240"/>
        <w:ind w:right="118"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BRUSCHINI, Cristina. </w:t>
      </w:r>
      <w:r>
        <w:rPr>
          <w:rFonts w:ascii="Arial" w:hAnsi="Arial" w:cs="Arial" w:eastAsia="Arial"/>
          <w:i/>
          <w:color w:val="auto"/>
          <w:spacing w:val="0"/>
          <w:position w:val="0"/>
          <w:sz w:val="24"/>
          <w:shd w:fill="auto" w:val="clear"/>
        </w:rPr>
        <w:t xml:space="preserve">Gênero e trabalho no brasil</w:t>
      </w:r>
      <w:r>
        <w:rPr>
          <w:rFonts w:ascii="Arial" w:hAnsi="Arial" w:cs="Arial" w:eastAsia="Arial"/>
          <w:color w:val="auto"/>
          <w:spacing w:val="0"/>
          <w:position w:val="0"/>
          <w:sz w:val="24"/>
          <w:shd w:fill="auto" w:val="clear"/>
        </w:rPr>
        <w:t xml:space="preserve">: novas conquistas ou persistencia da discriminação? In ROCHA, Maria Isabel Baltar da (Org.). Trabalho e Gênero – mudanças, permanências e desafios. São Paulo: Editora 34, 2000, p 13 – 58.</w:t>
      </w:r>
    </w:p>
    <w:p>
      <w:pPr>
        <w:spacing w:before="11" w:after="0" w:line="240"/>
        <w:ind w:right="0" w:left="0" w:firstLine="0"/>
        <w:jc w:val="left"/>
        <w:rPr>
          <w:rFonts w:ascii="Arial" w:hAnsi="Arial" w:cs="Arial" w:eastAsia="Arial"/>
          <w:color w:val="auto"/>
          <w:spacing w:val="0"/>
          <w:position w:val="0"/>
          <w:sz w:val="17"/>
          <w:shd w:fill="auto" w:val="clear"/>
        </w:rPr>
      </w:pPr>
    </w:p>
    <w:p>
      <w:pPr>
        <w:tabs>
          <w:tab w:val="left" w:pos="2237" w:leader="none"/>
        </w:tabs>
        <w:spacing w:before="69" w:after="0" w:line="276"/>
        <w:ind w:right="117"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 </w:t>
        <w:tab/>
      </w:r>
      <w:r>
        <w:rPr>
          <w:rFonts w:ascii="Arial" w:hAnsi="Arial" w:cs="Arial" w:eastAsia="Arial"/>
          <w:color w:val="auto"/>
          <w:spacing w:val="0"/>
          <w:position w:val="0"/>
          <w:sz w:val="24"/>
          <w:shd w:fill="auto" w:val="clear"/>
        </w:rPr>
        <w:t xml:space="preserve">;  UNBEHAUM,  Sandra  G.  (Orgs.)  </w:t>
      </w:r>
      <w:r>
        <w:rPr>
          <w:rFonts w:ascii="Arial" w:hAnsi="Arial" w:cs="Arial" w:eastAsia="Arial"/>
          <w:i/>
          <w:color w:val="auto"/>
          <w:spacing w:val="0"/>
          <w:position w:val="0"/>
          <w:sz w:val="24"/>
          <w:shd w:fill="auto" w:val="clear"/>
        </w:rPr>
        <w:t xml:space="preserve">Gênero,</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democracia</w:t>
      </w:r>
      <w:r>
        <w:rPr>
          <w:rFonts w:ascii="Arial" w:hAnsi="Arial" w:cs="Arial" w:eastAsia="Arial"/>
          <w:i/>
          <w:color w:val="auto"/>
          <w:spacing w:val="51"/>
          <w:position w:val="0"/>
          <w:sz w:val="24"/>
          <w:shd w:fill="auto" w:val="clear"/>
        </w:rPr>
        <w:t xml:space="preserve"> </w:t>
      </w:r>
      <w:r>
        <w:rPr>
          <w:rFonts w:ascii="Arial" w:hAnsi="Arial" w:cs="Arial" w:eastAsia="Arial"/>
          <w:i/>
          <w:color w:val="auto"/>
          <w:spacing w:val="0"/>
          <w:position w:val="0"/>
          <w:sz w:val="24"/>
          <w:shd w:fill="auto" w:val="clear"/>
        </w:rPr>
        <w:t xml:space="preserve">e sociedade brasileira</w:t>
      </w:r>
      <w:r>
        <w:rPr>
          <w:rFonts w:ascii="Arial" w:hAnsi="Arial" w:cs="Arial" w:eastAsia="Arial"/>
          <w:color w:val="auto"/>
          <w:spacing w:val="0"/>
          <w:position w:val="0"/>
          <w:sz w:val="24"/>
          <w:shd w:fill="auto" w:val="clear"/>
        </w:rPr>
        <w:t xml:space="preserve">. In Fundação Carlos Chagas. São Paulo: Editora 34,</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2002.</w:t>
      </w:r>
    </w:p>
    <w:p>
      <w:pPr>
        <w:spacing w:before="202" w:after="0" w:line="278"/>
        <w:ind w:right="117"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GIDDENS, Anthony. Gênero e sexualidade. In </w:t>
      </w:r>
      <w:r>
        <w:rPr>
          <w:rFonts w:ascii="Arial" w:hAnsi="Arial" w:cs="Arial" w:eastAsia="Arial"/>
          <w:i/>
          <w:color w:val="auto"/>
          <w:spacing w:val="0"/>
          <w:position w:val="0"/>
          <w:sz w:val="24"/>
          <w:shd w:fill="auto" w:val="clear"/>
        </w:rPr>
        <w:t xml:space="preserve">Sociologia. </w:t>
      </w:r>
      <w:r>
        <w:rPr>
          <w:rFonts w:ascii="Arial" w:hAnsi="Arial" w:cs="Arial" w:eastAsia="Arial"/>
          <w:color w:val="auto"/>
          <w:spacing w:val="0"/>
          <w:position w:val="0"/>
          <w:sz w:val="24"/>
          <w:shd w:fill="auto" w:val="clear"/>
        </w:rPr>
        <w:t xml:space="preserve">Porto Alegre: Artmed,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2005.</w:t>
      </w:r>
    </w:p>
    <w:p>
      <w:pPr>
        <w:spacing w:before="195" w:after="0" w:line="240"/>
        <w:ind w:right="120"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GUEDES, Olegna de Souza; DAROS, Michelli Aparecida. </w:t>
      </w:r>
      <w:r>
        <w:rPr>
          <w:rFonts w:ascii="Arial" w:hAnsi="Arial" w:cs="Arial" w:eastAsia="Arial"/>
          <w:i/>
          <w:color w:val="auto"/>
          <w:spacing w:val="0"/>
          <w:position w:val="0"/>
          <w:sz w:val="24"/>
          <w:shd w:fill="auto" w:val="clear"/>
        </w:rPr>
        <w:t xml:space="preserve">O cuidado como atribuição feminina: </w:t>
      </w:r>
      <w:r>
        <w:rPr>
          <w:rFonts w:ascii="Arial" w:hAnsi="Arial" w:cs="Arial" w:eastAsia="Arial"/>
          <w:color w:val="auto"/>
          <w:spacing w:val="0"/>
          <w:position w:val="0"/>
          <w:sz w:val="24"/>
          <w:shd w:fill="auto" w:val="clear"/>
        </w:rPr>
        <w:t xml:space="preserve">contribuição para um debate ético. In Serviço Social em Revista. Vol. 12. Jul/dez, 2009.</w:t>
      </w:r>
    </w:p>
    <w:p>
      <w:pPr>
        <w:spacing w:before="0" w:after="0" w:line="240"/>
        <w:ind w:right="0" w:left="0" w:firstLine="0"/>
        <w:jc w:val="left"/>
        <w:rPr>
          <w:rFonts w:ascii="Arial" w:hAnsi="Arial" w:cs="Arial" w:eastAsia="Arial"/>
          <w:color w:val="auto"/>
          <w:spacing w:val="0"/>
          <w:position w:val="0"/>
          <w:sz w:val="24"/>
          <w:shd w:fill="auto" w:val="clear"/>
        </w:rPr>
      </w:pPr>
    </w:p>
    <w:p>
      <w:pPr>
        <w:spacing w:before="9" w:after="0" w:line="240"/>
        <w:ind w:right="0" w:left="0" w:firstLine="0"/>
        <w:jc w:val="left"/>
        <w:rPr>
          <w:rFonts w:ascii="Arial" w:hAnsi="Arial" w:cs="Arial" w:eastAsia="Arial"/>
          <w:color w:val="auto"/>
          <w:spacing w:val="0"/>
          <w:position w:val="0"/>
          <w:sz w:val="23"/>
          <w:shd w:fill="auto" w:val="clear"/>
        </w:rPr>
      </w:pPr>
    </w:p>
    <w:p>
      <w:pPr>
        <w:spacing w:before="0" w:after="0" w:line="242"/>
        <w:ind w:right="115"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IAMAMOTO, Marilda Villela. </w:t>
      </w:r>
      <w:r>
        <w:rPr>
          <w:rFonts w:ascii="Arial" w:hAnsi="Arial" w:cs="Arial" w:eastAsia="Arial"/>
          <w:i/>
          <w:color w:val="auto"/>
          <w:spacing w:val="0"/>
          <w:position w:val="0"/>
          <w:sz w:val="24"/>
          <w:shd w:fill="auto" w:val="clear"/>
        </w:rPr>
        <w:t xml:space="preserve">Serviço Social em tempo de capital fetiche: </w:t>
      </w:r>
      <w:r>
        <w:rPr>
          <w:rFonts w:ascii="Arial" w:hAnsi="Arial" w:cs="Arial" w:eastAsia="Arial"/>
          <w:color w:val="auto"/>
          <w:spacing w:val="0"/>
          <w:position w:val="0"/>
          <w:sz w:val="24"/>
          <w:shd w:fill="auto" w:val="clear"/>
        </w:rPr>
        <w:t xml:space="preserve">capital financeiro, trabalho e questão social. 2ª Ed. São Paulo: Cortez, 2008.</w:t>
      </w:r>
    </w:p>
    <w:p>
      <w:pPr>
        <w:spacing w:before="0" w:after="0" w:line="240"/>
        <w:ind w:right="0" w:left="0" w:firstLine="0"/>
        <w:jc w:val="left"/>
        <w:rPr>
          <w:rFonts w:ascii="Arial" w:hAnsi="Arial" w:cs="Arial" w:eastAsia="Arial"/>
          <w:color w:val="auto"/>
          <w:spacing w:val="0"/>
          <w:position w:val="0"/>
          <w:sz w:val="24"/>
          <w:shd w:fill="auto" w:val="clear"/>
        </w:rPr>
      </w:pPr>
    </w:p>
    <w:p>
      <w:pPr>
        <w:spacing w:before="155" w:after="0" w:line="240"/>
        <w:ind w:right="117"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SCOTT, Joan. </w:t>
      </w:r>
      <w:r>
        <w:rPr>
          <w:rFonts w:ascii="Arial" w:hAnsi="Arial" w:cs="Arial" w:eastAsia="Arial"/>
          <w:i/>
          <w:color w:val="auto"/>
          <w:spacing w:val="0"/>
          <w:position w:val="0"/>
          <w:sz w:val="24"/>
          <w:shd w:fill="auto" w:val="clear"/>
        </w:rPr>
        <w:t xml:space="preserve">Gênero</w:t>
      </w:r>
      <w:r>
        <w:rPr>
          <w:rFonts w:ascii="Arial" w:hAnsi="Arial" w:cs="Arial" w:eastAsia="Arial"/>
          <w:color w:val="auto"/>
          <w:spacing w:val="0"/>
          <w:position w:val="0"/>
          <w:sz w:val="24"/>
          <w:shd w:fill="auto" w:val="clear"/>
        </w:rPr>
        <w:t xml:space="preserve">: uma categoria útil de análise histórica. In </w:t>
      </w:r>
      <w:r>
        <w:rPr>
          <w:rFonts w:ascii="Arial" w:hAnsi="Arial" w:cs="Arial" w:eastAsia="Arial"/>
          <w:i/>
          <w:color w:val="auto"/>
          <w:spacing w:val="0"/>
          <w:position w:val="0"/>
          <w:sz w:val="24"/>
          <w:shd w:fill="auto" w:val="clear"/>
        </w:rPr>
        <w:t xml:space="preserve">Educação e Realidade</w:t>
      </w:r>
      <w:r>
        <w:rPr>
          <w:rFonts w:ascii="Arial" w:hAnsi="Arial" w:cs="Arial" w:eastAsia="Arial"/>
          <w:color w:val="auto"/>
          <w:spacing w:val="0"/>
          <w:position w:val="0"/>
          <w:sz w:val="24"/>
          <w:shd w:fill="auto" w:val="clear"/>
        </w:rPr>
        <w:t xml:space="preserve">. Porto Alegre/RS, UFRGS, n 2, 1995</w:t>
      </w:r>
    </w:p>
    <w:p>
      <w:pPr>
        <w:spacing w:before="0" w:after="0" w:line="240"/>
        <w:ind w:right="0" w:left="0" w:firstLine="0"/>
        <w:jc w:val="left"/>
        <w:rPr>
          <w:rFonts w:ascii="Arial" w:hAnsi="Arial" w:cs="Arial" w:eastAsia="Arial"/>
          <w:color w:val="auto"/>
          <w:spacing w:val="0"/>
          <w:position w:val="0"/>
          <w:sz w:val="24"/>
          <w:shd w:fill="auto" w:val="clear"/>
        </w:rPr>
      </w:pPr>
    </w:p>
    <w:p>
      <w:pPr>
        <w:spacing w:before="163" w:after="0" w:line="278"/>
        <w:ind w:right="116"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SERAPIONI, Mauro. </w:t>
      </w:r>
      <w:r>
        <w:rPr>
          <w:rFonts w:ascii="Arial" w:hAnsi="Arial" w:cs="Arial" w:eastAsia="Arial"/>
          <w:i/>
          <w:color w:val="auto"/>
          <w:spacing w:val="0"/>
          <w:position w:val="0"/>
          <w:sz w:val="24"/>
          <w:shd w:fill="auto" w:val="clear"/>
        </w:rPr>
        <w:t xml:space="preserve">Métodos qualitativos e quantitativos na pesquisa social em saúde</w:t>
      </w:r>
      <w:r>
        <w:rPr>
          <w:rFonts w:ascii="Arial" w:hAnsi="Arial" w:cs="Arial" w:eastAsia="Arial"/>
          <w:color w:val="auto"/>
          <w:spacing w:val="0"/>
          <w:position w:val="0"/>
          <w:sz w:val="24"/>
          <w:shd w:fill="auto" w:val="clear"/>
        </w:rPr>
        <w:t xml:space="preserve">: algumas estratégias para a integração. </w:t>
      </w:r>
      <w:r>
        <w:rPr>
          <w:rFonts w:ascii="Arial" w:hAnsi="Arial" w:cs="Arial" w:eastAsia="Arial"/>
          <w:i/>
          <w:color w:val="auto"/>
          <w:spacing w:val="0"/>
          <w:position w:val="0"/>
          <w:sz w:val="24"/>
          <w:shd w:fill="auto" w:val="clear"/>
        </w:rPr>
        <w:t xml:space="preserve">Ciênc. Saúde coletiva </w:t>
      </w:r>
      <w:r>
        <w:rPr>
          <w:rFonts w:ascii="Arial" w:hAnsi="Arial" w:cs="Arial" w:eastAsia="Arial"/>
          <w:color w:val="auto"/>
          <w:spacing w:val="0"/>
          <w:position w:val="0"/>
          <w:sz w:val="24"/>
          <w:shd w:fill="auto" w:val="clear"/>
        </w:rPr>
        <w:t xml:space="preserve">[online]. 2000,   vol.5,   n.1   [citado    2010-06-20],      P.   187-192   .   Disponível     em:</w:t>
      </w:r>
    </w:p>
    <w:p>
      <w:pPr>
        <w:tabs>
          <w:tab w:val="left" w:pos="8203" w:leader="none"/>
        </w:tabs>
        <w:spacing w:before="0" w:after="0" w:line="276"/>
        <w:ind w:right="115"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&lt; P :/</w:t>
      </w:r>
      <w:hyperlink xmlns:r="http://schemas.openxmlformats.org/officeDocument/2006/relationships" r:id="docRId133">
        <w:r>
          <w:rPr>
            <w:rFonts w:ascii="Arial" w:hAnsi="Arial" w:cs="Arial" w:eastAsia="Arial"/>
            <w:color w:val="0000FF"/>
            <w:spacing w:val="0"/>
            <w:position w:val="0"/>
            <w:sz w:val="24"/>
            <w:u w:val="single"/>
            <w:shd w:fill="auto" w:val="clear"/>
          </w:rPr>
          <w:t xml:space="preserve">/www.scielo.</w:t>
        </w:r>
      </w:hyperlink>
      <w:r>
        <w:rPr>
          <w:rFonts w:ascii="Arial" w:hAnsi="Arial" w:cs="Arial" w:eastAsia="Arial"/>
          <w:color w:val="auto"/>
          <w:spacing w:val="0"/>
          <w:position w:val="0"/>
          <w:sz w:val="24"/>
          <w:shd w:fill="auto" w:val="clear"/>
        </w:rPr>
        <w:t xml:space="preserve">b</w:t>
      </w:r>
      <w:hyperlink xmlns:r="http://schemas.openxmlformats.org/officeDocument/2006/relationships" r:id="docRId134">
        <w:r>
          <w:rPr>
            <w:rFonts w:ascii="Arial" w:hAnsi="Arial" w:cs="Arial" w:eastAsia="Arial"/>
            <w:color w:val="0000FF"/>
            <w:spacing w:val="0"/>
            <w:position w:val="0"/>
            <w:sz w:val="24"/>
            <w:u w:val="single"/>
            <w:shd w:fill="auto" w:val="clear"/>
          </w:rPr>
          <w:t xml:space="preserve">r/scielo.php?script=sci_arttext</w:t>
        </w:r>
        <w:r>
          <w:rPr>
            <w:rFonts w:ascii="Arial" w:hAnsi="Arial" w:cs="Arial" w:eastAsia="Arial"/>
            <w:vanish/>
            <w:color w:val="0000FF"/>
            <w:spacing w:val="0"/>
            <w:position w:val="0"/>
            <w:sz w:val="24"/>
            <w:u w:val="single"/>
            <w:shd w:fill="auto" w:val="clear"/>
          </w:rPr>
          <w:t xml:space="preserve">HYPERLINK "http://www.scielo.br/scielo.php?script=sci_arttext&amp;amp;pid=S1413-"</w:t>
        </w:r>
        <w:r>
          <w:rPr>
            <w:rFonts w:ascii="Arial" w:hAnsi="Arial" w:cs="Arial" w:eastAsia="Arial"/>
            <w:color w:val="0000FF"/>
            <w:spacing w:val="0"/>
            <w:position w:val="0"/>
            <w:sz w:val="24"/>
            <w:u w:val="single"/>
            <w:shd w:fill="auto" w:val="clear"/>
          </w:rPr>
          <w:t xml:space="preserve">&amp;</w:t>
        </w:r>
        <w:r>
          <w:rPr>
            <w:rFonts w:ascii="Arial" w:hAnsi="Arial" w:cs="Arial" w:eastAsia="Arial"/>
            <w:vanish/>
            <w:color w:val="0000FF"/>
            <w:spacing w:val="0"/>
            <w:position w:val="0"/>
            <w:sz w:val="24"/>
            <w:u w:val="single"/>
            <w:shd w:fill="auto" w:val="clear"/>
          </w:rPr>
          <w:t xml:space="preserve">HYPERLINK "http://www.scielo.br/scielo.php?script=sci_arttext&amp;amp;pid=S1413-"</w:t>
        </w:r>
        <w:r>
          <w:rPr>
            <w:rFonts w:ascii="Arial" w:hAnsi="Arial" w:cs="Arial" w:eastAsia="Arial"/>
            <w:color w:val="0000FF"/>
            <w:spacing w:val="0"/>
            <w:position w:val="0"/>
            <w:sz w:val="24"/>
            <w:u w:val="single"/>
            <w:shd w:fill="auto" w:val="clear"/>
          </w:rPr>
          <w:t xml:space="preserve">pid=S1413-</w:t>
        </w:r>
      </w:hyperlink>
      <w:r>
        <w:rPr>
          <w:rFonts w:ascii="Arial" w:hAnsi="Arial" w:cs="Arial" w:eastAsia="Arial"/>
          <w:color w:val="auto"/>
          <w:spacing w:val="0"/>
          <w:position w:val="0"/>
          <w:sz w:val="24"/>
          <w:shd w:fill="auto" w:val="clear"/>
        </w:rPr>
        <w:t xml:space="preserve"> 81232000000100016&amp;lng=pt&amp;nrm=iso&gt;.       </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ISSN       </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1413-8123.</w:t>
        <w:tab/>
        <w:t xml:space="preserve">P </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w:t>
      </w:r>
    </w:p>
    <w:p>
      <w:pPr>
        <w:spacing w:before="0" w:after="0" w:line="240"/>
        <w:ind w:right="0"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10.1590/S1413-81232000000100016. Acesso em: 27/06/2009.</w:t>
      </w:r>
    </w:p>
    <w:p>
      <w:pPr>
        <w:spacing w:before="0" w:after="0" w:line="240"/>
        <w:ind w:right="0" w:left="0" w:firstLine="0"/>
        <w:jc w:val="left"/>
        <w:rPr>
          <w:rFonts w:ascii="Arial" w:hAnsi="Arial" w:cs="Arial" w:eastAsia="Arial"/>
          <w:color w:val="auto"/>
          <w:spacing w:val="0"/>
          <w:position w:val="0"/>
          <w:sz w:val="24"/>
          <w:shd w:fill="auto" w:val="clear"/>
        </w:rPr>
      </w:pPr>
    </w:p>
    <w:p>
      <w:pPr>
        <w:spacing w:before="158" w:after="0" w:line="242"/>
        <w:ind w:right="118" w:left="102"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VIEIRA, Balbina Ottoni. </w:t>
      </w:r>
      <w:r>
        <w:rPr>
          <w:rFonts w:ascii="Arial" w:hAnsi="Arial" w:cs="Arial" w:eastAsia="Arial"/>
          <w:i/>
          <w:color w:val="auto"/>
          <w:spacing w:val="0"/>
          <w:position w:val="0"/>
          <w:sz w:val="24"/>
          <w:shd w:fill="auto" w:val="clear"/>
        </w:rPr>
        <w:t xml:space="preserve">História do Serviço Social: </w:t>
      </w:r>
      <w:r>
        <w:rPr>
          <w:rFonts w:ascii="Arial" w:hAnsi="Arial" w:cs="Arial" w:eastAsia="Arial"/>
          <w:color w:val="auto"/>
          <w:spacing w:val="0"/>
          <w:position w:val="0"/>
          <w:sz w:val="24"/>
          <w:shd w:fill="auto" w:val="clear"/>
        </w:rPr>
        <w:t xml:space="preserve">contribuição para a construção de sua teoria. 3 ed. Rio de Janeiro: Agir, 1980. Pg. 27-45.</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54" w:after="0" w:line="328"/>
        <w:ind w:right="182" w:left="3393" w:hanging="3193"/>
        <w:jc w:val="left"/>
        <w:rPr>
          <w:rFonts w:ascii="Times New Roman" w:hAnsi="Times New Roman" w:cs="Times New Roman" w:eastAsia="Times New Roman"/>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O TEATRO FEMINISTA NAS DECADAS DE 1960 E 1970: UMA VISÃO SOBRE SUAS TEORIAS E PRÁTICAS</w:t>
      </w:r>
      <w:r>
        <w:rPr>
          <w:rFonts w:ascii="Times New Roman" w:hAnsi="Times New Roman" w:cs="Times New Roman" w:eastAsia="Times New Roman"/>
          <w:color w:val="auto"/>
          <w:spacing w:val="0"/>
          <w:position w:val="11"/>
          <w:sz w:val="16"/>
          <w:shd w:fill="auto" w:val="clear"/>
        </w:rPr>
        <w:t xml:space="preserve">1</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76"/>
        <w:ind w:right="115" w:left="4055" w:firstLine="2974"/>
        <w:jc w:val="right"/>
        <w:rPr>
          <w:rFonts w:ascii="Times New Roman" w:hAnsi="Times New Roman" w:cs="Times New Roman" w:eastAsia="Times New Roman"/>
          <w:i/>
          <w:color w:val="auto"/>
          <w:spacing w:val="0"/>
          <w:position w:val="11"/>
          <w:sz w:val="16"/>
          <w:shd w:fill="auto" w:val="clear"/>
        </w:rPr>
      </w:pPr>
      <w:r>
        <w:rPr>
          <w:rFonts w:ascii="Times New Roman" w:hAnsi="Times New Roman" w:cs="Times New Roman" w:eastAsia="Times New Roman"/>
          <w:color w:val="auto"/>
          <w:spacing w:val="0"/>
          <w:position w:val="0"/>
          <w:sz w:val="24"/>
          <w:shd w:fill="auto" w:val="clear"/>
        </w:rPr>
        <w:t xml:space="preserve">Luana Tavano Garcia</w:t>
      </w:r>
      <w:r>
        <w:rPr>
          <w:rFonts w:ascii="Times New Roman" w:hAnsi="Times New Roman" w:cs="Times New Roman" w:eastAsia="Times New Roman"/>
          <w:color w:val="auto"/>
          <w:spacing w:val="0"/>
          <w:position w:val="11"/>
          <w:sz w:val="16"/>
          <w:shd w:fill="auto" w:val="clear"/>
        </w:rPr>
        <w:t xml:space="preserve">2 </w:t>
      </w:r>
      <w:r>
        <w:rPr>
          <w:rFonts w:ascii="Times New Roman" w:hAnsi="Times New Roman" w:cs="Times New Roman" w:eastAsia="Times New Roman"/>
          <w:i/>
          <w:color w:val="auto"/>
          <w:spacing w:val="0"/>
          <w:position w:val="11"/>
          <w:sz w:val="24"/>
          <w:shd w:fill="auto" w:val="clear"/>
        </w:rPr>
        <w:t xml:space="preserve">Universidade do Estado de Santa Catarina (UDESC) Orientadora: Dra. Maria Brígida de Miranda</w:t>
      </w:r>
      <w:r>
        <w:rPr>
          <w:rFonts w:ascii="Times New Roman" w:hAnsi="Times New Roman" w:cs="Times New Roman" w:eastAsia="Times New Roman"/>
          <w:i/>
          <w:color w:val="auto"/>
          <w:spacing w:val="0"/>
          <w:position w:val="11"/>
          <w:sz w:val="16"/>
          <w:shd w:fill="auto" w:val="clear"/>
        </w:rPr>
        <w:t xml:space="preserve">3</w:t>
      </w:r>
    </w:p>
    <w:p>
      <w:pPr>
        <w:spacing w:before="2" w:after="0" w:line="240"/>
        <w:ind w:right="0" w:left="0" w:firstLine="0"/>
        <w:jc w:val="left"/>
        <w:rPr>
          <w:rFonts w:ascii="Times New Roman" w:hAnsi="Times New Roman" w:cs="Times New Roman" w:eastAsia="Times New Roman"/>
          <w:i/>
          <w:color w:val="auto"/>
          <w:spacing w:val="0"/>
          <w:position w:val="0"/>
          <w:sz w:val="36"/>
          <w:shd w:fill="auto" w:val="clear"/>
        </w:rPr>
      </w:pPr>
    </w:p>
    <w:p>
      <w:pPr>
        <w:spacing w:before="0"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Escrever sobre Teatro Feminista significa abordar as diversificadas formas que muitas artistas encontraram de, por meio da representação teatral, expressarem suas experiências e suas aspirações políticas e sociais. O interesse em investigar a história do Teatro Feminista e compreender como e por que algumas artistas fundaram companhias de teatro direcionadas, especificamente, às experiências que elas, como mulheres – com suas diferenças e semelhanças – compartilhavam, impulsionaram a escrita deste trabalho.</w:t>
      </w:r>
    </w:p>
    <w:p>
      <w:pPr>
        <w:spacing w:before="4" w:after="0" w:line="360"/>
        <w:ind w:right="115"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 realização deste estudo, foi encontrada uma extensa bibliografia na língua inglesa que examinava as características de vários grupos teatrais de mulheres e as estratégias e estéticas adotadas por elas para transmitirem por meio do teatro, suas reflexões políticas e sociais direcionadas para as questões de relação de gênero. Porém, foi percebida a pouca disponibilidade de material, sobre o mesmo tema, na língua portuguesa. Existem muitas referências que tratam as relações de gênero de um ponto de vista feminista, mas elas estão mais  concentradas  nas  áreas  das  Ciências  Sociais,  do  Direito,  da  Saúde  e  da Literatura.</w:t>
      </w:r>
    </w:p>
    <w:p>
      <w:pPr>
        <w:spacing w:before="0" w:after="0" w:line="282"/>
        <w:ind w:right="182" w:left="118" w:firstLine="0"/>
        <w:jc w:val="left"/>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Relacionadas às práticas teatrais feministas, em português, existem muito poucas</w:t>
      </w:r>
      <w:r>
        <w:rPr>
          <w:rFonts w:ascii="Times New Roman" w:hAnsi="Times New Roman" w:cs="Times New Roman" w:eastAsia="Times New Roman"/>
          <w:color w:val="auto"/>
          <w:spacing w:val="0"/>
          <w:position w:val="11"/>
          <w:sz w:val="16"/>
          <w:shd w:fill="auto" w:val="clear"/>
        </w:rPr>
        <w:t xml:space="preserve">4</w:t>
      </w:r>
      <w:r>
        <w:rPr>
          <w:rFonts w:ascii="Times New Roman" w:hAnsi="Times New Roman" w:cs="Times New Roman" w:eastAsia="Times New Roman"/>
          <w:color w:val="auto"/>
          <w:spacing w:val="0"/>
          <w:position w:val="11"/>
          <w:sz w:val="24"/>
          <w:shd w:fill="auto" w:val="clear"/>
        </w:rPr>
        <w:t xml:space="preserve">.</w:t>
      </w:r>
    </w:p>
    <w:p>
      <w:pPr>
        <w:spacing w:before="137"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Serão apresentadas, no decorrer deste estudo, as formas como algumas teóricas do Teatro Feminista - Jill Dolan, Lizbeth Goodman, Linda Hart e Peggy Phelan, etc. -  classificam os feminismos das décadas de 1960 e 1970 nos Estados Unidos e na Inglaterra. Estas autoras apresentam um exame das categorias dentro do Teatro Feminista e identificam algumas práticas comuns de grupos de Teatro Feminista. </w:t>
      </w:r>
    </w:p>
    <w:p>
      <w:pPr>
        <w:spacing w:before="50" w:after="0" w:line="240"/>
        <w:ind w:right="6"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1 </w:t>
      </w:r>
      <w:r>
        <w:rPr>
          <w:rFonts w:ascii="Times New Roman" w:hAnsi="Times New Roman" w:cs="Times New Roman" w:eastAsia="Times New Roman"/>
          <w:color w:val="auto"/>
          <w:spacing w:val="0"/>
          <w:position w:val="9"/>
          <w:sz w:val="20"/>
          <w:shd w:fill="auto" w:val="clear"/>
        </w:rPr>
        <w:t xml:space="preserve">Este artigo foi realizado a partir de estudos que a autora investigou durante o período em que participou do projeto de pesquisa </w:t>
      </w:r>
      <w:r>
        <w:rPr>
          <w:rFonts w:ascii="Times New Roman" w:hAnsi="Times New Roman" w:cs="Times New Roman" w:eastAsia="Times New Roman"/>
          <w:i/>
          <w:color w:val="auto"/>
          <w:spacing w:val="0"/>
          <w:position w:val="9"/>
          <w:sz w:val="20"/>
          <w:shd w:fill="auto" w:val="clear"/>
        </w:rPr>
        <w:t xml:space="preserve">Poéticas do Feminino e Masculino: A Prática Teatral na Perspectiva das Teorias de Gênero </w:t>
      </w:r>
      <w:r>
        <w:rPr>
          <w:rFonts w:ascii="Times New Roman" w:hAnsi="Times New Roman" w:cs="Times New Roman" w:eastAsia="Times New Roman"/>
          <w:color w:val="auto"/>
          <w:spacing w:val="0"/>
          <w:position w:val="9"/>
          <w:sz w:val="20"/>
          <w:shd w:fill="auto" w:val="clear"/>
        </w:rPr>
        <w:t xml:space="preserve">coordenado pela Dra. Brígida de Miranda, na Universidade do Estado de Santa Catarina (UDESC), em 2007. O trabalho resultou  na escrita de seu Trabalho de Conclusão de Curso.</w:t>
      </w:r>
    </w:p>
    <w:p>
      <w:pPr>
        <w:spacing w:before="3" w:after="0" w:line="240"/>
        <w:ind w:right="182"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2 </w:t>
      </w:r>
      <w:r>
        <w:rPr>
          <w:rFonts w:ascii="Times New Roman" w:hAnsi="Times New Roman" w:cs="Times New Roman" w:eastAsia="Times New Roman"/>
          <w:color w:val="auto"/>
          <w:spacing w:val="0"/>
          <w:position w:val="9"/>
          <w:sz w:val="20"/>
          <w:shd w:fill="auto" w:val="clear"/>
        </w:rPr>
        <w:t xml:space="preserve">Atriz e pesquisadora, graduada em Licenciatura em Educação Artística- Habilitação Artes Cênicas, pela Universidade do Estado de Santa Catarina (UDESC), em 2008.</w:t>
      </w:r>
    </w:p>
    <w:p>
      <w:pPr>
        <w:spacing w:before="0" w:after="0" w:line="240"/>
        <w:ind w:right="182"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3 </w:t>
      </w:r>
      <w:r>
        <w:rPr>
          <w:rFonts w:ascii="Times New Roman" w:hAnsi="Times New Roman" w:cs="Times New Roman" w:eastAsia="Times New Roman"/>
          <w:color w:val="auto"/>
          <w:spacing w:val="0"/>
          <w:position w:val="9"/>
          <w:sz w:val="20"/>
          <w:shd w:fill="auto" w:val="clear"/>
        </w:rPr>
        <w:t xml:space="preserve">Professora Doutora do Departamento de Artes Cênicas do Centro de Artes (CEART) e do Programa de Pós- graduação em Teatro da Universidade do Estado de Santa Catarina (UDESC).</w:t>
      </w:r>
    </w:p>
    <w:p>
      <w:pPr>
        <w:spacing w:before="2" w:after="0" w:line="240"/>
        <w:ind w:right="286"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4 </w:t>
      </w:r>
      <w:r>
        <w:rPr>
          <w:rFonts w:ascii="Times New Roman" w:hAnsi="Times New Roman" w:cs="Times New Roman" w:eastAsia="Times New Roman"/>
          <w:color w:val="auto"/>
          <w:spacing w:val="0"/>
          <w:position w:val="9"/>
          <w:sz w:val="20"/>
          <w:shd w:fill="auto" w:val="clear"/>
        </w:rPr>
        <w:t xml:space="preserve">É preciso ressaltar que a autora Elza Cunha de Vincenzo realizou um belíssimo trabalho em </w:t>
      </w:r>
      <w:r>
        <w:rPr>
          <w:rFonts w:ascii="Times New Roman" w:hAnsi="Times New Roman" w:cs="Times New Roman" w:eastAsia="Times New Roman"/>
          <w:i/>
          <w:color w:val="auto"/>
          <w:spacing w:val="0"/>
          <w:position w:val="9"/>
          <w:sz w:val="20"/>
          <w:shd w:fill="auto" w:val="clear"/>
        </w:rPr>
        <w:t xml:space="preserve">Um teatro da mulher </w:t>
      </w:r>
      <w:r>
        <w:rPr>
          <w:rFonts w:ascii="Times New Roman" w:hAnsi="Times New Roman" w:cs="Times New Roman" w:eastAsia="Times New Roman"/>
          <w:color w:val="auto"/>
          <w:spacing w:val="0"/>
          <w:position w:val="9"/>
          <w:sz w:val="20"/>
          <w:shd w:fill="auto" w:val="clear"/>
        </w:rPr>
        <w:t xml:space="preserve">em que trata da dramaturgia de algumas autoras brasileiras da década de 1960 até 1990. Mas o estudo é</w:t>
      </w:r>
    </w:p>
    <w:p>
      <w:pPr>
        <w:spacing w:before="0" w:after="0" w:line="240"/>
        <w:ind w:right="182" w:left="11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voltado, principalmente, para as questões dramatúrgicas e não para as práticas do chamado Teatro Feminista.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4" w:after="0" w:line="350"/>
        <w:ind w:right="116" w:left="118" w:firstLine="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Também serão dispostas as  análises de autoras como Janelle Reinelt, Elin Diamond, Karen Laughlin, entre outras, para examinar de que forma algumas artistas feministas utilizaram e se apropriaram de uma estratégia específica de teatro político, o </w:t>
      </w:r>
      <w:r>
        <w:rPr>
          <w:rFonts w:ascii="Times New Roman" w:hAnsi="Times New Roman" w:cs="Times New Roman" w:eastAsia="Times New Roman"/>
          <w:i/>
          <w:color w:val="auto"/>
          <w:spacing w:val="0"/>
          <w:position w:val="0"/>
          <w:sz w:val="24"/>
          <w:shd w:fill="auto" w:val="clear"/>
        </w:rPr>
        <w:t xml:space="preserve">estranhamento brechtiano</w:t>
      </w:r>
      <w:r>
        <w:rPr>
          <w:rFonts w:ascii="Times New Roman" w:hAnsi="Times New Roman" w:cs="Times New Roman" w:eastAsia="Times New Roman"/>
          <w:color w:val="auto"/>
          <w:spacing w:val="0"/>
          <w:position w:val="0"/>
          <w:sz w:val="24"/>
          <w:shd w:fill="auto" w:val="clear"/>
        </w:rPr>
        <w:t xml:space="preserve">, para transmitirem suas experiências</w:t>
      </w:r>
      <w:r>
        <w:rPr>
          <w:rFonts w:ascii="Times New Roman" w:hAnsi="Times New Roman" w:cs="Times New Roman" w:eastAsia="Times New Roman"/>
          <w:color w:val="auto"/>
          <w:spacing w:val="0"/>
          <w:position w:val="11"/>
          <w:sz w:val="16"/>
          <w:shd w:fill="auto" w:val="clear"/>
        </w:rPr>
        <w:t xml:space="preserve">5</w:t>
      </w:r>
      <w:r>
        <w:rPr>
          <w:rFonts w:ascii="Times New Roman" w:hAnsi="Times New Roman" w:cs="Times New Roman" w:eastAsia="Times New Roman"/>
          <w:color w:val="auto"/>
          <w:spacing w:val="0"/>
          <w:position w:val="11"/>
          <w:sz w:val="24"/>
          <w:shd w:fill="auto" w:val="clear"/>
        </w:rPr>
        <w:t xml:space="preserve">.</w:t>
      </w:r>
    </w:p>
    <w:p>
      <w:pPr>
        <w:spacing w:before="0" w:after="0" w:line="360"/>
        <w:ind w:right="115"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preciso salientar que foi analisado o contexto destes países, neste período, pois foi a partir destes anos que o movimento feminista e as práticas teatrais feministas se consolidaram. Consolidaram-se como dois termos que englobam um hibridismo de categorias e de ideologias políticas e sociais não fixas, mas dependentes do contexto e do ponto de vista de cada mulher. Como cita Cunha, no final dos anos sessenta os movimentos feministas “renasciam em escala mundial e com novas feições. E concorriam poderosamente para a formação de uma nova mentalidade. Seus efeitos repercutem, ainda que indiretamente, na expressão feminina em todos os campos (1992, p. 17). No campo da arte, o teatro, como um modo de representação da realidade, e com seu caráter de relação direta entre artista e espectadora, foi utilizado como veículo de expressão para muitas mulheres poderem discutir e examinar sua situação específica na política e na sociedade daqueles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7"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7"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Oferecer uma maior visibilidade para as práticas teatrais feministas por meio das análises de autoras que relacionam o teatro com questões de gênero. Ressaltar as estratégias utilizadas pelas artistas para se expressarem e revelar como elas se apropriaram de linguagens teatrais específicas, como no caso do </w:t>
      </w:r>
      <w:r>
        <w:rPr>
          <w:rFonts w:ascii="Times New Roman" w:hAnsi="Times New Roman" w:cs="Times New Roman" w:eastAsia="Times New Roman"/>
          <w:i/>
          <w:color w:val="auto"/>
          <w:spacing w:val="0"/>
          <w:position w:val="0"/>
          <w:sz w:val="24"/>
          <w:shd w:fill="auto" w:val="clear"/>
        </w:rPr>
        <w:t xml:space="preserve">estranhamento brechtiano</w:t>
      </w:r>
      <w:r>
        <w:rPr>
          <w:rFonts w:ascii="Times New Roman" w:hAnsi="Times New Roman" w:cs="Times New Roman" w:eastAsia="Times New Roman"/>
          <w:color w:val="auto"/>
          <w:spacing w:val="0"/>
          <w:position w:val="0"/>
          <w:sz w:val="24"/>
          <w:shd w:fill="auto" w:val="clear"/>
        </w:rPr>
        <w:t xml:space="preserve">, para caracterizarem as relações de gênero como um produto social, cultural e político.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5"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Teatro Feminista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31"/>
        <w:ind w:right="118" w:left="118" w:firstLine="707"/>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O Teatro Feminista ressurgiu na Inglaterra e nos Estados Unidos durante as décadas de 1960 e 1970</w:t>
      </w:r>
      <w:r>
        <w:rPr>
          <w:rFonts w:ascii="Times New Roman" w:hAnsi="Times New Roman" w:cs="Times New Roman" w:eastAsia="Times New Roman"/>
          <w:color w:val="auto"/>
          <w:spacing w:val="0"/>
          <w:position w:val="11"/>
          <w:sz w:val="16"/>
          <w:shd w:fill="auto" w:val="clear"/>
        </w:rPr>
        <w:t xml:space="preserve">6</w:t>
      </w:r>
      <w:r>
        <w:rPr>
          <w:rFonts w:ascii="Times New Roman" w:hAnsi="Times New Roman" w:cs="Times New Roman" w:eastAsia="Times New Roman"/>
          <w:color w:val="auto"/>
          <w:spacing w:val="0"/>
          <w:position w:val="11"/>
          <w:sz w:val="24"/>
          <w:shd w:fill="auto" w:val="clear"/>
        </w:rPr>
        <w:t xml:space="preserve">. Este reaparecimento ocorreu, principalmente, por que algumas mulheres 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4"/>
          <w:shd w:fill="auto" w:val="clear"/>
        </w:rPr>
      </w:pPr>
    </w:p>
    <w:p>
      <w:pPr>
        <w:spacing w:before="38" w:after="0" w:line="244"/>
        <w:ind w:right="182" w:left="118" w:firstLine="0"/>
        <w:jc w:val="left"/>
        <w:rPr>
          <w:rFonts w:ascii="Times New Roman" w:hAnsi="Times New Roman" w:cs="Times New Roman" w:eastAsia="Times New Roman"/>
          <w:color w:val="auto"/>
          <w:spacing w:val="0"/>
          <w:position w:val="11"/>
          <w:sz w:val="20"/>
          <w:shd w:fill="auto" w:val="clear"/>
        </w:rPr>
      </w:pPr>
      <w:r>
        <w:rPr>
          <w:rFonts w:ascii="Times New Roman" w:hAnsi="Times New Roman" w:cs="Times New Roman" w:eastAsia="Times New Roman"/>
          <w:color w:val="auto"/>
          <w:spacing w:val="0"/>
          <w:position w:val="11"/>
          <w:sz w:val="16"/>
          <w:shd w:fill="auto" w:val="clear"/>
        </w:rPr>
        <w:t xml:space="preserve">5 </w:t>
      </w:r>
      <w:r>
        <w:rPr>
          <w:rFonts w:ascii="Times New Roman" w:hAnsi="Times New Roman" w:cs="Times New Roman" w:eastAsia="Times New Roman"/>
          <w:color w:val="auto"/>
          <w:spacing w:val="0"/>
          <w:position w:val="11"/>
          <w:sz w:val="20"/>
          <w:shd w:fill="auto" w:val="clear"/>
        </w:rPr>
        <w:t xml:space="preserve">Grande parte das referências utilizadas para compor este estudo estava escrita na língua inglesa, por isso, a autora realizou a tradução de alguns textos e todas as citações das autoras: Elain Aston, Elin Diamond, Jill Dolan, Barbara Freedman, Lizbeth Goodman, Linda Hart, Karen Laughlin, Julie Malinig, Judy Rosenthal e Janelle Reinelt.</w:t>
      </w:r>
    </w:p>
    <w:p>
      <w:pPr>
        <w:spacing w:before="0" w:after="0" w:line="240"/>
        <w:ind w:right="6"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6  </w:t>
      </w:r>
      <w:r>
        <w:rPr>
          <w:rFonts w:ascii="Times New Roman" w:hAnsi="Times New Roman" w:cs="Times New Roman" w:eastAsia="Times New Roman"/>
          <w:color w:val="auto"/>
          <w:spacing w:val="0"/>
          <w:position w:val="9"/>
          <w:sz w:val="20"/>
          <w:shd w:fill="auto" w:val="clear"/>
        </w:rPr>
        <w:t xml:space="preserve">Em meados do século XIX, na Europa e nos Estados Unidos, muitas mulheres uniram-se formando associações</w:t>
      </w:r>
    </w:p>
    <w:p>
      <w:pPr>
        <w:spacing w:before="0" w:after="0" w:line="240"/>
        <w:ind w:right="116" w:left="11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feministas que reivindicavam, de acordo com a historiadora Anne-Marie Käppeli (1991), a emancipação e a libertação das mulheres na autodeterminação de seus corpos, o acesso a educação e formação, e, principalmente, a igualdade de direitos entre os sexos – o direito ao voto – que lhes designou o termo </w:t>
      </w:r>
      <w:r>
        <w:rPr>
          <w:rFonts w:ascii="Times New Roman" w:hAnsi="Times New Roman" w:cs="Times New Roman" w:eastAsia="Times New Roman"/>
          <w:i/>
          <w:color w:val="auto"/>
          <w:spacing w:val="0"/>
          <w:position w:val="0"/>
          <w:sz w:val="20"/>
          <w:shd w:fill="auto" w:val="clear"/>
        </w:rPr>
        <w:t xml:space="preserve">as sufragistas</w:t>
      </w:r>
      <w:r>
        <w:rPr>
          <w:rFonts w:ascii="Times New Roman" w:hAnsi="Times New Roman" w:cs="Times New Roman" w:eastAsia="Times New Roman"/>
          <w:color w:val="auto"/>
          <w:spacing w:val="0"/>
          <w:position w:val="0"/>
          <w:sz w:val="20"/>
          <w:shd w:fill="auto" w:val="clear"/>
        </w:rPr>
        <w:t xml:space="preserve">. Algumas</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4" w:after="0" w:line="360"/>
        <w:ind w:right="122"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meio teatral estavam descontentes com as atitudes sexistas que os homens apresentavam dentro dos grupos mistos de teatro.</w:t>
      </w:r>
    </w:p>
    <w:p>
      <w:pPr>
        <w:spacing w:before="6" w:after="0" w:line="360"/>
        <w:ind w:right="117"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Lizbeth Goodman (1993) aponta que elas perceberam que não apresentavam “voz” ativa nestes grupos, onde a supremacia do pensamento do homem predominava. A autora inglesa destaca Gillian Hanna, uma das fundadoras da companhia de Teatro Feminista </w:t>
      </w:r>
      <w:r>
        <w:rPr>
          <w:rFonts w:ascii="Times New Roman" w:hAnsi="Times New Roman" w:cs="Times New Roman" w:eastAsia="Times New Roman"/>
          <w:i/>
          <w:color w:val="auto"/>
          <w:spacing w:val="0"/>
          <w:position w:val="0"/>
          <w:sz w:val="24"/>
          <w:shd w:fill="auto" w:val="clear"/>
        </w:rPr>
        <w:t xml:space="preserve">Monstrous Regiment</w:t>
      </w:r>
      <w:r>
        <w:rPr>
          <w:rFonts w:ascii="Times New Roman" w:hAnsi="Times New Roman" w:cs="Times New Roman" w:eastAsia="Times New Roman"/>
          <w:color w:val="auto"/>
          <w:spacing w:val="0"/>
          <w:position w:val="0"/>
          <w:sz w:val="24"/>
          <w:shd w:fill="auto" w:val="clear"/>
        </w:rPr>
        <w:t xml:space="preserve">, que ao ser entrevistada em 1978, falou sobre a problemática que muitas mulheres do contexto teatral inglês enfrentavam no final da década de 1960: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8"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[Gillian Hanna] descreveu as práticas de trabalho de alguns grupos mistos de teatro  e observou que as opiniões e perspectivas das mulheres eram respeitadas somente até certo ponto: enquanto as mulheres estivessem dispostas a trazê-las à tona continuamente e as que diziam respeito ao interesse „major‟ da produção, quando os prazos finais começavam a aparecer (GOODMAN, 1993,</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p.70).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20"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percepção, de algumas mulheres do meio artístico, também ocorreu nos Estados Unidos. De acordo com as norte-americanas Julie Malnig e Judy C. Rosenthal, durante a década de 1960 nos E.U.A,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5"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mulheres que atuavam na contracultura com os homens </w:t>
      </w:r>
      <w:r>
        <w:rPr>
          <w:rFonts w:ascii="Times New Roman" w:hAnsi="Times New Roman" w:cs="Times New Roman" w:eastAsia="Times New Roman"/>
          <w:i/>
          <w:color w:val="auto"/>
          <w:spacing w:val="0"/>
          <w:position w:val="0"/>
          <w:sz w:val="20"/>
          <w:shd w:fill="auto" w:val="clear"/>
        </w:rPr>
        <w:t xml:space="preserve">novos esquerdistas</w:t>
      </w:r>
      <w:r>
        <w:rPr>
          <w:rFonts w:ascii="Times New Roman" w:hAnsi="Times New Roman" w:cs="Times New Roman" w:eastAsia="Times New Roman"/>
          <w:color w:val="auto"/>
          <w:spacing w:val="0"/>
          <w:position w:val="0"/>
          <w:sz w:val="20"/>
          <w:shd w:fill="auto" w:val="clear"/>
        </w:rPr>
        <w:t xml:space="preserve">, começaram a questionar seus próprios papéis subordinados dentro daquele, suposto, mundo igualitário. Após as tentativas sem sucesso de mudar atitudes sexistas, várias mulheres decidiram abandonar as casas de teatro sob dominação dos homens</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ao mesmo tempo. Elas estavam, claro, sendo apoiadas por um nascente movimento feminista, que expunha desejos e necessidades, anteriormente não expressos. Nas artes, assim como no teatro, houve um renascimento da atividade criativa, na medida em que as mulheres descobriam talento latente como artistas, escritoras e produtoras (1996, p.202).</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60" w:after="0" w:line="345"/>
        <w:ind w:right="112" w:left="118" w:firstLine="707"/>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Cabe salientar que o “nascente” movimento feminista que Malnig e Rosenthal citam, faz referência à segunda onda do feminismo, que surgiu nas décadas de 1960 e 1970 nos Estados Unidos</w:t>
      </w:r>
      <w:r>
        <w:rPr>
          <w:rFonts w:ascii="Times New Roman" w:hAnsi="Times New Roman" w:cs="Times New Roman" w:eastAsia="Times New Roman"/>
          <w:color w:val="auto"/>
          <w:spacing w:val="0"/>
          <w:position w:val="11"/>
          <w:sz w:val="16"/>
          <w:shd w:fill="auto" w:val="clear"/>
        </w:rPr>
        <w:t xml:space="preserve">7</w:t>
      </w:r>
      <w:r>
        <w:rPr>
          <w:rFonts w:ascii="Times New Roman" w:hAnsi="Times New Roman" w:cs="Times New Roman" w:eastAsia="Times New Roman"/>
          <w:color w:val="auto"/>
          <w:spacing w:val="0"/>
          <w:position w:val="11"/>
          <w:sz w:val="24"/>
          <w:shd w:fill="auto" w:val="clear"/>
        </w:rPr>
        <w:t xml:space="preserve">. Assim, em vez de “nascente”, um renascente movimento feminista, com</w:t>
      </w:r>
    </w:p>
    <w:p>
      <w:pPr>
        <w:spacing w:before="5" w:after="0" w:line="360"/>
        <w:ind w:right="112"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diversas correntes, contribuíram como apoio para a saída das mulheres dos grupos. Esta questão foi aqui levantada para salientar o problema do discurso no feminismo e, principalmente, no Teatro Feminista.</w:t>
      </w:r>
    </w:p>
    <w:p>
      <w:pPr>
        <w:spacing w:before="74" w:after="0" w:line="240"/>
        <w:ind w:right="115" w:left="11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sufragistas se uniram e também formaram grupos de Teatro Feminista, com caráter panfletário. Por isso empregou-se o termo “O Teatro Feminista ressurgiu”.</w:t>
      </w:r>
    </w:p>
    <w:p>
      <w:pPr>
        <w:spacing w:before="3" w:after="0" w:line="240"/>
        <w:ind w:right="114" w:left="118" w:firstLine="0"/>
        <w:jc w:val="both"/>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7 </w:t>
      </w:r>
      <w:r>
        <w:rPr>
          <w:rFonts w:ascii="Times New Roman" w:hAnsi="Times New Roman" w:cs="Times New Roman" w:eastAsia="Times New Roman"/>
          <w:color w:val="auto"/>
          <w:spacing w:val="0"/>
          <w:position w:val="9"/>
          <w:sz w:val="20"/>
          <w:shd w:fill="auto" w:val="clear"/>
        </w:rPr>
        <w:t xml:space="preserve">A movimentação feminista pode ser dividida em “ondas”. Estas ondas estão diretamente relacionadas com o período histórico em que muitas feministas se posicionaram. Como movimento de onda, o movimento feminista atinge um ápice e depois sofre um declínio, ocasionado por diversas motivações. Comumente, refere-se à primeira onda do feminismo, como o período das sufragistas. A segunda onda é relacionada aos feminismos  das</w:t>
      </w:r>
    </w:p>
    <w:p>
      <w:pPr>
        <w:spacing w:before="0" w:after="0" w:line="240"/>
        <w:ind w:right="128" w:left="11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décadas de 1960 e 1970. E uma suposta terceira onda estaria ocorrendo no presente momento. Para este estudo,  o foco será direcionado para a segunda onda do feminismo e as práticas teatrais que muitas artistas feministas utilizaram durante o</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período.</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4"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existiram diversos movimentos feministas no decorrer desta segunda onda, no teatro, as mulheres destas diferentes correntes adotaram estratégias e estéticas diferenciadas para a representação teatral. De acordo com Goodman,“um dos mais importantes aspectos do Teatro Feminista é a ambigüidade do próprio termo „Teatro Feminista‟” (1993, p.2). Esta problemática será examinada a fim de estabelecer para este estudo, um meio de encontrar definições e facilitar a investigação deste Teatro Feminista.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Problemas de termo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investigar o Teatro Feminista é preciso contextualizar e diferenciar algumas denominações como </w:t>
      </w:r>
      <w:r>
        <w:rPr>
          <w:rFonts w:ascii="Times New Roman" w:hAnsi="Times New Roman" w:cs="Times New Roman" w:eastAsia="Times New Roman"/>
          <w:i/>
          <w:color w:val="auto"/>
          <w:spacing w:val="0"/>
          <w:position w:val="0"/>
          <w:sz w:val="24"/>
          <w:shd w:fill="auto" w:val="clear"/>
        </w:rPr>
        <w:t xml:space="preserve">Teatro de mulheres </w:t>
      </w:r>
      <w:r>
        <w:rPr>
          <w:rFonts w:ascii="Times New Roman" w:hAnsi="Times New Roman" w:cs="Times New Roman" w:eastAsia="Times New Roman"/>
          <w:color w:val="auto"/>
          <w:spacing w:val="0"/>
          <w:position w:val="0"/>
          <w:sz w:val="24"/>
          <w:shd w:fill="auto" w:val="clear"/>
        </w:rPr>
        <w:t xml:space="preserve">e o próprio termo </w:t>
      </w:r>
      <w:r>
        <w:rPr>
          <w:rFonts w:ascii="Times New Roman" w:hAnsi="Times New Roman" w:cs="Times New Roman" w:eastAsia="Times New Roman"/>
          <w:i/>
          <w:color w:val="auto"/>
          <w:spacing w:val="0"/>
          <w:position w:val="0"/>
          <w:sz w:val="24"/>
          <w:shd w:fill="auto" w:val="clear"/>
        </w:rPr>
        <w:t xml:space="preserve">Teatro Feminista</w:t>
      </w:r>
      <w:r>
        <w:rPr>
          <w:rFonts w:ascii="Times New Roman" w:hAnsi="Times New Roman" w:cs="Times New Roman" w:eastAsia="Times New Roman"/>
          <w:color w:val="auto"/>
          <w:spacing w:val="0"/>
          <w:position w:val="0"/>
          <w:sz w:val="24"/>
          <w:shd w:fill="auto" w:val="clear"/>
        </w:rPr>
        <w:t xml:space="preserve">. Desde o ressurgimento destes grupos de mulheres no teatro, associações e atribuições ao movimento feminista são negadas ou abraçadas. Isto ocorria em diversos grupos, não somente no âmbito teatral. Como a historiadora Yasmine Ergas apontou, “muitas mulheres preferiam apoiar os</w:t>
      </w:r>
    </w:p>
    <w:p>
      <w:pPr>
        <w:spacing w:before="6" w:after="0" w:line="360"/>
        <w:ind w:right="116"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„movimentos de mulheres‟ de aparência mais neutra em vez dos „movimentos feministas‟; outras declaravam „não sou feminista, mas...‟” (1994, p. 587). No teatro, muitas mulheres que praticavam a linguagem teatral tratando de questões da “mulher” não queriam ser  relacionadas com o feminismo. Também no Brasil, Elza Vincenzo destaca que as dramaturgas que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entrevistou,</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20"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recusam, de maneira geral, a ser consideradas feministas. Quando questionadas a esse respeito, respondem de imediato com uma negativa, exprimindo, a seguir, a crença de que a emancipação da mulher se dará como decorrência natural das mudanças que vieram a ocorrer [...] nas estruturas sociais e políticas (1992, p.278).</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11"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Considerando estas negações, usualmente, de acordo com Goodman (1993), Teatro de Mulheres é utilizado como um termo genérico, enquanto Teatro Feminista como um termo político. Mas esta diferença é também problemática, pois, como a própria autora desafia, “se existe diferença entre trabalhar, como mulher, com uma „perspectiva da mulher‟, então poderia o teatro de mulheres ser definido separadamente do Teatro  Feminista?”  (GOODMAN, 1993, p.17). Estes fatores são reflexos das variações dentro dos discursos dos feminismos que influenciaram diretamente a prática teatral das feministas. Não existe um único modelo de Teatro Feminista. Para Brígida de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Miranda,</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3" w:after="0" w:line="240"/>
        <w:ind w:right="113"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podemos começar por transformar o termo 'Teatro Feminista' em um plural. Pois é um termo que compreende uma grande variedade de práticas teatrais. Ao mesmo tempo podemos pensar nessas práticas numa primeira aproximação, como práticas de teatro político mas, de gênero específico [...]De </w:t>
      </w:r>
      <w:r>
        <w:rPr>
          <w:rFonts w:ascii="Times New Roman" w:hAnsi="Times New Roman" w:cs="Times New Roman" w:eastAsia="Times New Roman"/>
          <w:color w:val="auto"/>
          <w:spacing w:val="-2"/>
          <w:position w:val="0"/>
          <w:sz w:val="20"/>
          <w:shd w:fill="auto" w:val="clear"/>
        </w:rPr>
        <w:t xml:space="preserve">uma </w:t>
      </w:r>
      <w:r>
        <w:rPr>
          <w:rFonts w:ascii="Times New Roman" w:hAnsi="Times New Roman" w:cs="Times New Roman" w:eastAsia="Times New Roman"/>
          <w:color w:val="auto"/>
          <w:spacing w:val="0"/>
          <w:position w:val="0"/>
          <w:sz w:val="20"/>
          <w:shd w:fill="auto" w:val="clear"/>
        </w:rPr>
        <w:t xml:space="preserve">maneira geral, o Teatro Feminista destas décadas [1960 e 1970] é um teatro político de gênero específico, com conteúdo relacionado a experiências e problemáticas de mulheres em contextos culturais particulares (2007, p.</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286).</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claro entendimento de que existe uma variedade de práticas de Teatro Feminista e não um único modelo que o represente, neste trabalho, o termo será empregado  no singular. O termo </w:t>
      </w:r>
      <w:r>
        <w:rPr>
          <w:rFonts w:ascii="Times New Roman" w:hAnsi="Times New Roman" w:cs="Times New Roman" w:eastAsia="Times New Roman"/>
          <w:i/>
          <w:color w:val="auto"/>
          <w:spacing w:val="0"/>
          <w:position w:val="0"/>
          <w:sz w:val="24"/>
          <w:shd w:fill="auto" w:val="clear"/>
        </w:rPr>
        <w:t xml:space="preserve">Teatro Feminista </w:t>
      </w:r>
      <w:r>
        <w:rPr>
          <w:rFonts w:ascii="Times New Roman" w:hAnsi="Times New Roman" w:cs="Times New Roman" w:eastAsia="Times New Roman"/>
          <w:color w:val="auto"/>
          <w:spacing w:val="0"/>
          <w:position w:val="0"/>
          <w:sz w:val="24"/>
          <w:shd w:fill="auto" w:val="clear"/>
        </w:rPr>
        <w:t xml:space="preserve">será utilizado para representar este leque de diferentes estéticas, linguagens e práticas adotadas por artistas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feministas.</w:t>
      </w:r>
    </w:p>
    <w:p>
      <w:pPr>
        <w:spacing w:before="4"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de apresentarem estilos diversificados, o Teatro Feminista reúne características que direcionam ao objetivo comum de suscitar questões políticas relacionadas às experiências das mulheres. Por ora, como definição do termo, será adotado o posicionamento de Goodman quando afirma Teatro Feminista “como aquele teatro que objetiva alcançar uma reavaliação positiva dos papéis das mulheres para provocar uma mudança social e que é formado, neste projeto, por amplas idéias feministas” (1993, p.36). A identificação com o termo, ou o emprego do mesmo, só pode ser realizado a partir das perspectivas de suas praticantes e da crítica teatral feminista. O entrelace entre a prática e a teoria compõe um caminho para a análise das estratégias utilizadas dentro do Teatro Feminista, pois como afirma Linda Hart, “a teoria feminista de representações dramáticas aborda tanto a ausência de mulheres no teatro convencional, quanto a sua luta para construir caminhos de ponto de vista alternativos” (1989,</w:t>
      </w:r>
    </w:p>
    <w:p>
      <w:pPr>
        <w:spacing w:before="4" w:after="0" w:line="360"/>
        <w:ind w:right="182"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 3). Em uma visão mais ampla sobre a teoria feminista, mas que se pode relacionar com a teoria teatral feminista, a socióloga brasileira Miriam Adelman argumenta: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6"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É importante assinalar que a crítica ao cânone sociológico da qual a teoria feminista participa, não significa a rejeição contundente do conhecimento produzido pelos paradigmas anteriores. Trata-se de uma crítica que permite a releitura do cânone, confrontando suas obras fundamentais com a produção que, particularmente nas últimas décadas, vem sendo elaborada desde outras posições de sujeito. (2004, p. 168)</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1" w:after="0" w:line="360"/>
        <w:ind w:right="117"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práticas e as teorias congregadas por artistas feministas constituem uma parte da história das mulheres dentro do teatro ocidental, que - por meio da revisão artística dos cânones do teatro - encontraram estratégias diferenciadas e uma linguagem própria, para exprimirem suas experiências.</w:t>
      </w:r>
    </w:p>
    <w:p>
      <w:pPr>
        <w:spacing w:before="1" w:after="0" w:line="360"/>
        <w:ind w:right="117" w:left="118" w:firstLine="707"/>
        <w:jc w:val="both"/>
        <w:rPr>
          <w:rFonts w:ascii="Times New Roman" w:hAnsi="Times New Roman" w:cs="Times New Roman" w:eastAsia="Times New Roman"/>
          <w:color w:val="auto"/>
          <w:spacing w:val="0"/>
          <w:position w:val="0"/>
          <w:sz w:val="24"/>
          <w:shd w:fill="auto" w:val="clear"/>
        </w:rPr>
      </w:pPr>
    </w:p>
    <w:p>
      <w:pPr>
        <w:spacing w:before="1" w:after="0" w:line="360"/>
        <w:ind w:right="117" w:left="118" w:firstLine="707"/>
        <w:jc w:val="both"/>
        <w:rPr>
          <w:rFonts w:ascii="Times New Roman" w:hAnsi="Times New Roman" w:cs="Times New Roman" w:eastAsia="Times New Roman"/>
          <w:color w:val="auto"/>
          <w:spacing w:val="0"/>
          <w:position w:val="0"/>
          <w:sz w:val="24"/>
          <w:shd w:fill="auto" w:val="clear"/>
        </w:rPr>
      </w:pPr>
    </w:p>
    <w:p>
      <w:pPr>
        <w:spacing w:before="1" w:after="0" w:line="360"/>
        <w:ind w:right="117" w:left="118" w:firstLine="707"/>
        <w:jc w:val="both"/>
        <w:rPr>
          <w:rFonts w:ascii="Times New Roman" w:hAnsi="Times New Roman" w:cs="Times New Roman" w:eastAsia="Times New Roman"/>
          <w:color w:val="auto"/>
          <w:spacing w:val="0"/>
          <w:position w:val="0"/>
          <w:sz w:val="24"/>
          <w:shd w:fill="auto" w:val="clear"/>
        </w:rPr>
      </w:pPr>
    </w:p>
    <w:p>
      <w:pPr>
        <w:spacing w:before="1" w:after="0" w:line="360"/>
        <w:ind w:right="117" w:left="118" w:firstLine="707"/>
        <w:jc w:val="both"/>
        <w:rPr>
          <w:rFonts w:ascii="Times New Roman" w:hAnsi="Times New Roman" w:cs="Times New Roman" w:eastAsia="Times New Roman"/>
          <w:color w:val="auto"/>
          <w:spacing w:val="0"/>
          <w:position w:val="0"/>
          <w:sz w:val="24"/>
          <w:shd w:fill="auto" w:val="clear"/>
        </w:rPr>
      </w:pPr>
    </w:p>
    <w:p>
      <w:pPr>
        <w:spacing w:before="4" w:after="0" w:line="360"/>
        <w:ind w:right="116" w:left="118" w:firstLine="707"/>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Como foi dito anteriormente, o Teatro Feminista, na sua multiplicidade de faces, é propulsionado   por   motivações   políticas.   Modificar   as   estruturas   sociais  estabelecidas significa, também, a partir de uma visão política do teatro, alterar a forma que a realidade é representada no palco. O teatro ocidental tradicional ou </w:t>
      </w:r>
      <w:r>
        <w:rPr>
          <w:rFonts w:ascii="Times New Roman" w:hAnsi="Times New Roman" w:cs="Times New Roman" w:eastAsia="Times New Roman"/>
          <w:i/>
          <w:color w:val="auto"/>
          <w:spacing w:val="0"/>
          <w:position w:val="0"/>
          <w:sz w:val="24"/>
          <w:shd w:fill="auto" w:val="clear"/>
        </w:rPr>
        <w:t xml:space="preserve">aristotélico </w:t>
      </w:r>
      <w:r>
        <w:rPr>
          <w:rFonts w:ascii="Times New Roman" w:hAnsi="Times New Roman" w:cs="Times New Roman" w:eastAsia="Times New Roman"/>
          <w:color w:val="auto"/>
          <w:spacing w:val="0"/>
          <w:position w:val="0"/>
          <w:sz w:val="24"/>
          <w:shd w:fill="auto" w:val="clear"/>
        </w:rPr>
        <w:t xml:space="preserve">e sua apresentação realista ou naturalista do mundo, não satisfizeram os desejos de transgressão e subversão que muitas mulheres  do  Teatro  Feminista,  comportavam</w:t>
      </w:r>
      <w:r>
        <w:rPr>
          <w:rFonts w:ascii="Times New Roman" w:hAnsi="Times New Roman" w:cs="Times New Roman" w:eastAsia="Times New Roman"/>
          <w:i/>
          <w:color w:val="auto"/>
          <w:spacing w:val="0"/>
          <w:position w:val="11"/>
          <w:sz w:val="16"/>
          <w:shd w:fill="auto" w:val="clear"/>
        </w:rPr>
        <w:t xml:space="preserve">8</w:t>
      </w:r>
      <w:r>
        <w:rPr>
          <w:rFonts w:ascii="Times New Roman" w:hAnsi="Times New Roman" w:cs="Times New Roman" w:eastAsia="Times New Roman"/>
          <w:color w:val="auto"/>
          <w:spacing w:val="0"/>
          <w:position w:val="11"/>
          <w:sz w:val="24"/>
          <w:shd w:fill="auto" w:val="clear"/>
        </w:rPr>
        <w:t xml:space="preserve">.  Pois,  a  realidade  representada  no  palco é</w:t>
      </w:r>
    </w:p>
    <w:p>
      <w:pPr>
        <w:spacing w:before="0" w:after="0" w:line="360"/>
        <w:ind w:right="113"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sempre uma visão dos acontecimentos, uma visão direcionada a um particular espectador. Jill Dolan (1991), argumenta que o teatro tradicional cria um espectador ideal baseado no gosto  da cultura dominante, e que, historicamente, este espectador é “assumidamente branco, de classe-média, heterossexual e homem” (DOLAN, 1991, p.</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p>
    <w:p>
      <w:pPr>
        <w:spacing w:before="6"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deste padrão de representação, voltado para um tipo específico de espectador, muitas mulheres não encontraram identificação, pois dificilmente conseguiram enxergar a </w:t>
      </w:r>
      <w:r>
        <w:rPr>
          <w:rFonts w:ascii="Times New Roman" w:hAnsi="Times New Roman" w:cs="Times New Roman" w:eastAsia="Times New Roman"/>
          <w:color w:val="auto"/>
          <w:spacing w:val="3"/>
          <w:position w:val="0"/>
          <w:sz w:val="24"/>
          <w:shd w:fill="auto" w:val="clear"/>
        </w:rPr>
        <w:t xml:space="preserve">sua </w:t>
      </w:r>
      <w:r>
        <w:rPr>
          <w:rFonts w:ascii="Times New Roman" w:hAnsi="Times New Roman" w:cs="Times New Roman" w:eastAsia="Times New Roman"/>
          <w:color w:val="auto"/>
          <w:spacing w:val="0"/>
          <w:position w:val="0"/>
          <w:sz w:val="24"/>
          <w:shd w:fill="auto" w:val="clear"/>
        </w:rPr>
        <w:t xml:space="preserve">realidade, com o seu olhar. Como afirma Janelle Reinelt (1996[1]), o vocabulário da representação tradicional do teatro ocidental “inscreveu as mulheres como o Outro e como uma „Mulher‟ ficcional dentro de uma moldura teatral designada e operada largamente dentro da economia fálica do desejo do homem” (1996, p.82). A partir das observações relacionadas à figura feminina dentro de certos parâmetros representacionais, estudiosas e praticantes do Teatro Feminista perceberam que, como coloca Barbara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Freedman,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5"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Como o teatro clássico incorpora não somente o espetáculo, mas a narrativa – para que o homem seja representado como um agente móvel portador do olhar e a mulher como o objeto ativamente transformado por ele – a ação, assim como o ponto de vista tem implicações para o estudo de ideologias de gênero (1990, p.59).</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6"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Muitas mulheres, praticantes de Teatro Feminista, encontraram em algumas estéticas específicas uma maneira de apropriarem-se da linguagem artística e introduzirem elementos que correspondiam à sua visão, às suas experiências. Para isso, utilizaram técnicas e estratégias para promoverem a subversão do teatro tradicional em busca de uma abordagem poética e política de sua realidade. Hart (1989) também aponta para a representação da  mulher, no teatro tradicional, como o </w:t>
      </w:r>
      <w:r>
        <w:rPr>
          <w:rFonts w:ascii="Times New Roman" w:hAnsi="Times New Roman" w:cs="Times New Roman" w:eastAsia="Times New Roman"/>
          <w:i/>
          <w:color w:val="auto"/>
          <w:spacing w:val="0"/>
          <w:position w:val="0"/>
          <w:sz w:val="24"/>
          <w:shd w:fill="auto" w:val="clear"/>
        </w:rPr>
        <w:t xml:space="preserve">Outro</w:t>
      </w:r>
      <w:r>
        <w:rPr>
          <w:rFonts w:ascii="Times New Roman" w:hAnsi="Times New Roman" w:cs="Times New Roman" w:eastAsia="Times New Roman"/>
          <w:color w:val="auto"/>
          <w:spacing w:val="0"/>
          <w:position w:val="0"/>
          <w:sz w:val="24"/>
          <w:shd w:fill="auto" w:val="clear"/>
        </w:rPr>
        <w:t xml:space="preserve">. A autora afirma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p>
    <w:p>
      <w:pPr>
        <w:spacing w:before="142" w:after="0" w:line="240"/>
        <w:ind w:right="114"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mulheres e a natureza têm sido equacionados nos discursos patriarcais. Assim, as mulheres se tornam a tela na qual os homens projetam suas fantasias sobre as mulheres, ou melhor, sobre a Mulher – o monolítico Outro. Esta estética de “mimesis” manteve a hegemonia do realismo no teatro que efetivamente mascara o poder de recriação da mimesis. O teatro então, necessita ser desafiado não apenas na base do que ele representa, mas como ele reproduz significado através das apresentações. (HART, 1989, p. 3-4)</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0" w:after="0" w:line="240"/>
        <w:ind w:right="182"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8 </w:t>
      </w:r>
      <w:r>
        <w:rPr>
          <w:rFonts w:ascii="Times New Roman" w:hAnsi="Times New Roman" w:cs="Times New Roman" w:eastAsia="Times New Roman"/>
          <w:color w:val="auto"/>
          <w:spacing w:val="0"/>
          <w:position w:val="9"/>
          <w:sz w:val="20"/>
          <w:shd w:fill="auto" w:val="clear"/>
        </w:rPr>
        <w:t xml:space="preserve">De acordo com Patrice Pavis, este termo foi utilizado por Bertolt Brecht (1898-1956) para “designar uma dramaturgia que se vale de Aristóteles, dramaturgia baseada na ilusão e na identificação” (1999, p.24).</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4" w:after="0" w:line="360"/>
        <w:ind w:right="119"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objetivo de desnaturalizar sua condição histórica é que, algumas feministas encontraram caminhos diferenciados para expressarem suas experiências e provocarem a espectadora, e para que ela, diante do movimento artístico, desenvolva uma posição ativa e crítica da realidade.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Teatro Feminista nos Estados Unidos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5"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Seguindo as denominações de Jill Dolan (1991), no teatro norte-americano podem ser encontradas três categorias ou estéticas mais definidas de Teatro Feminista: as liberais, as culturais ou radicais e as materialistas. Ela aponta algumas gradações dentro destas categorias, como feminismo lésbico, feminismo espiritualista, etc., mas para clarificar os diferentes pontos de vista do feminismo de maneira mais ampla, se detém a estudar as três vertentes acima citadas.</w:t>
      </w:r>
    </w:p>
    <w:p>
      <w:pPr>
        <w:spacing w:before="4" w:after="0" w:line="360"/>
        <w:ind w:right="112"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feminismo liberal, de acordo com a autora, pretendia equiparar em direitos e valores a mulher e o homem, uma forma de incorporar as características das mulheres dentro do universal patriarcal. Para Dolan, o feminismo liberal ao invés de propor uma mudança radical na estrutura, “sugere que trabalhar dentro de uma organização social e política existente, pode ao final, assegurar a paridade social, política e econômica entre mulheres e homens” (1991, p.3). No teatro, as dramaturgas passaram a ganhar maior visibilidade e um maior número de mulheres escritoras, diretoras, e produtoras adentraram o “cobiçado” comércio do meio  teatral.</w:t>
      </w:r>
    </w:p>
    <w:p>
      <w:pPr>
        <w:spacing w:before="4" w:after="0" w:line="360"/>
        <w:ind w:right="116"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apesar de fazerem a “criação de papéis mais ricos para as atrizes” (DOLAN, 1991, p. 4) a estética adotada pelas artistas feministas liberais ainda era considerada “tradicional” e as peças que representavam esta corrente encaixavam-se no chamado “circuito comercial”, como a Broadway, por exemplo. Dolan afirma que várias escritoras do movimento, aceitavam “a noção que o teatro se comunica universalmente e preferem não serem particularizadas como mulheres” (1991, p. 4). Para a autora, apesar de os esforços do feminismo liberal terem sido responsáveis por uma maior notoriedade de escritoras, diretoras e produtoras teatrais, para a crítica feminista este pensamento acarretava a neutralização de uma política feminista, já que estas mulheres apresentavam o desejo de “se tornarem parte do sistema que historicamente as excluíram” (Id, p. 5).</w:t>
      </w:r>
    </w:p>
    <w:p>
      <w:pPr>
        <w:spacing w:before="4" w:after="0" w:line="360"/>
        <w:ind w:right="116" w:left="118" w:firstLine="707"/>
        <w:jc w:val="both"/>
        <w:rPr>
          <w:rFonts w:ascii="Times New Roman" w:hAnsi="Times New Roman" w:cs="Times New Roman" w:eastAsia="Times New Roman"/>
          <w:color w:val="auto"/>
          <w:spacing w:val="0"/>
          <w:position w:val="0"/>
          <w:sz w:val="24"/>
          <w:shd w:fill="auto" w:val="clear"/>
        </w:rPr>
      </w:pPr>
    </w:p>
    <w:p>
      <w:pPr>
        <w:spacing w:before="4" w:after="0" w:line="360"/>
        <w:ind w:right="116" w:left="118" w:firstLine="707"/>
        <w:jc w:val="both"/>
        <w:rPr>
          <w:rFonts w:ascii="Times New Roman" w:hAnsi="Times New Roman" w:cs="Times New Roman" w:eastAsia="Times New Roman"/>
          <w:color w:val="auto"/>
          <w:spacing w:val="0"/>
          <w:position w:val="0"/>
          <w:sz w:val="24"/>
          <w:shd w:fill="auto" w:val="clear"/>
        </w:rPr>
      </w:pPr>
    </w:p>
    <w:p>
      <w:pPr>
        <w:spacing w:before="4" w:after="0" w:line="360"/>
        <w:ind w:right="116" w:left="118" w:firstLine="707"/>
        <w:jc w:val="both"/>
        <w:rPr>
          <w:rFonts w:ascii="Times New Roman" w:hAnsi="Times New Roman" w:cs="Times New Roman" w:eastAsia="Times New Roman"/>
          <w:color w:val="auto"/>
          <w:spacing w:val="0"/>
          <w:position w:val="0"/>
          <w:sz w:val="24"/>
          <w:shd w:fill="auto" w:val="clear"/>
        </w:rPr>
      </w:pPr>
    </w:p>
    <w:p>
      <w:pPr>
        <w:spacing w:before="4" w:after="0" w:line="360"/>
        <w:ind w:right="116" w:left="118" w:firstLine="707"/>
        <w:jc w:val="both"/>
        <w:rPr>
          <w:rFonts w:ascii="Times New Roman" w:hAnsi="Times New Roman" w:cs="Times New Roman" w:eastAsia="Times New Roman"/>
          <w:color w:val="auto"/>
          <w:spacing w:val="0"/>
          <w:position w:val="0"/>
          <w:sz w:val="24"/>
          <w:shd w:fill="auto" w:val="clear"/>
        </w:rPr>
      </w:pPr>
    </w:p>
    <w:p>
      <w:pPr>
        <w:spacing w:before="4" w:after="0" w:line="360"/>
        <w:ind w:right="116"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Pode-se reconhecer as práticas teatrais deste pensamento liberal feminista em diversificadas produções internacionais e nacionais em que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diretoras</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dramaturgas</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adotam</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mesma</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linguagem</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teatro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tradicional, por  meio  de  uma  representação  naturalista  ou,  por  vezes,  mais  espetacular  -  no    estilo</w:t>
      </w:r>
    </w:p>
    <w:p>
      <w:pPr>
        <w:spacing w:before="137" w:after="0" w:line="240"/>
        <w:ind w:right="0"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Broadway </w:t>
      </w:r>
      <w:r>
        <w:rPr>
          <w:rFonts w:ascii="Times New Roman" w:hAnsi="Times New Roman" w:cs="Times New Roman" w:eastAsia="Times New Roman"/>
          <w:color w:val="auto"/>
          <w:spacing w:val="0"/>
          <w:position w:val="0"/>
          <w:sz w:val="24"/>
          <w:shd w:fill="auto" w:val="clear"/>
        </w:rPr>
        <w:t xml:space="preserve">– da realidade.</w:t>
      </w:r>
    </w:p>
    <w:p>
      <w:pPr>
        <w:spacing w:before="139" w:after="0" w:line="360"/>
        <w:ind w:right="112"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feminismo cultural, também chamado de radical, propunha “uma mudança fundamental na natureza da universalidade, sugerindo que os valores do gênero feminino tomem o lugar do genérico masculino” (DOLAN, 1991 p. 6). Pode-se constatar que as feministas culturais consideravam o </w:t>
      </w:r>
      <w:r>
        <w:rPr>
          <w:rFonts w:ascii="Times New Roman" w:hAnsi="Times New Roman" w:cs="Times New Roman" w:eastAsia="Times New Roman"/>
          <w:i/>
          <w:color w:val="auto"/>
          <w:spacing w:val="0"/>
          <w:position w:val="0"/>
          <w:sz w:val="24"/>
          <w:shd w:fill="auto" w:val="clear"/>
        </w:rPr>
        <w:t xml:space="preserve">feminino </w:t>
      </w:r>
      <w:r>
        <w:rPr>
          <w:rFonts w:ascii="Times New Roman" w:hAnsi="Times New Roman" w:cs="Times New Roman" w:eastAsia="Times New Roman"/>
          <w:color w:val="auto"/>
          <w:spacing w:val="0"/>
          <w:position w:val="0"/>
          <w:sz w:val="24"/>
          <w:shd w:fill="auto" w:val="clear"/>
        </w:rPr>
        <w:t xml:space="preserve">como as especificidades essenciais pertencentes às mulheres e o </w:t>
      </w:r>
      <w:r>
        <w:rPr>
          <w:rFonts w:ascii="Times New Roman" w:hAnsi="Times New Roman" w:cs="Times New Roman" w:eastAsia="Times New Roman"/>
          <w:i/>
          <w:color w:val="auto"/>
          <w:spacing w:val="0"/>
          <w:position w:val="0"/>
          <w:sz w:val="24"/>
          <w:shd w:fill="auto" w:val="clear"/>
        </w:rPr>
        <w:t xml:space="preserve">masculino</w:t>
      </w:r>
      <w:r>
        <w:rPr>
          <w:rFonts w:ascii="Times New Roman" w:hAnsi="Times New Roman" w:cs="Times New Roman" w:eastAsia="Times New Roman"/>
          <w:color w:val="auto"/>
          <w:spacing w:val="0"/>
          <w:position w:val="0"/>
          <w:sz w:val="24"/>
          <w:shd w:fill="auto" w:val="clear"/>
        </w:rPr>
        <w:t xml:space="preserve">, como características atribuídas somente aos homens. Com isto, percebe-se que a relação hierárquica de poder se mantinha nesta visão, porém invertida, e as especificidades das mulheres eram consideradas mais valorosas do que as dos homens. Para Dolan, as feministas culturais anulavam a diferença entre sexo e gênero e consideravam que a base biológica, que diferencia mulheres dos homens, evidenciava para a formulação da </w:t>
      </w:r>
      <w:r>
        <w:rPr>
          <w:rFonts w:ascii="Times New Roman" w:hAnsi="Times New Roman" w:cs="Times New Roman" w:eastAsia="Times New Roman"/>
          <w:i/>
          <w:color w:val="auto"/>
          <w:spacing w:val="0"/>
          <w:position w:val="0"/>
          <w:sz w:val="24"/>
          <w:shd w:fill="auto" w:val="clear"/>
        </w:rPr>
        <w:t xml:space="preserve">feminilidade </w:t>
      </w:r>
      <w:r>
        <w:rPr>
          <w:rFonts w:ascii="Times New Roman" w:hAnsi="Times New Roman" w:cs="Times New Roman" w:eastAsia="Times New Roman"/>
          <w:color w:val="auto"/>
          <w:spacing w:val="0"/>
          <w:position w:val="0"/>
          <w:sz w:val="24"/>
          <w:shd w:fill="auto" w:val="clear"/>
        </w:rPr>
        <w:t xml:space="preserve">como inata e hereditariamente superior do que a </w:t>
      </w:r>
      <w:r>
        <w:rPr>
          <w:rFonts w:ascii="Times New Roman" w:hAnsi="Times New Roman" w:cs="Times New Roman" w:eastAsia="Times New Roman"/>
          <w:i/>
          <w:color w:val="auto"/>
          <w:spacing w:val="0"/>
          <w:position w:val="0"/>
          <w:sz w:val="24"/>
          <w:shd w:fill="auto" w:val="clear"/>
        </w:rPr>
        <w:t xml:space="preserve">masculinidade</w:t>
      </w:r>
      <w:r>
        <w:rPr>
          <w:rFonts w:ascii="Times New Roman" w:hAnsi="Times New Roman" w:cs="Times New Roman" w:eastAsia="Times New Roman"/>
          <w:color w:val="auto"/>
          <w:spacing w:val="0"/>
          <w:position w:val="0"/>
          <w:sz w:val="24"/>
          <w:shd w:fill="auto" w:val="clear"/>
        </w:rPr>
        <w:t xml:space="preserve">.</w:t>
      </w:r>
    </w:p>
    <w:p>
      <w:pPr>
        <w:spacing w:before="6"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visão era transposta no teatro como uma noção de contra-cânon feminino, uma “resposta à supressão das conquistas artísticas das mulheres dentro de um milênio de dominação masculina e um esforço para separar os valores femininos do padrão masculino” (DOLAN, 1991, p. 7). O teatro do feminismo cultural era considerado uma “contra-tradição à história do teatro” (</w:t>
      </w:r>
      <w:r>
        <w:rPr>
          <w:rFonts w:ascii="Times New Roman" w:hAnsi="Times New Roman" w:cs="Times New Roman" w:eastAsia="Times New Roman"/>
          <w:i/>
          <w:color w:val="auto"/>
          <w:spacing w:val="0"/>
          <w:position w:val="0"/>
          <w:sz w:val="24"/>
          <w:shd w:fill="auto" w:val="clear"/>
        </w:rPr>
        <w:t xml:space="preserve">Ibid</w:t>
      </w:r>
      <w:r>
        <w:rPr>
          <w:rFonts w:ascii="Times New Roman" w:hAnsi="Times New Roman" w:cs="Times New Roman" w:eastAsia="Times New Roman"/>
          <w:color w:val="auto"/>
          <w:spacing w:val="0"/>
          <w:position w:val="0"/>
          <w:sz w:val="24"/>
          <w:shd w:fill="auto" w:val="clear"/>
        </w:rPr>
        <w:t xml:space="preserve">). As artistas feministas procuravam subverter os parâmetros tradicionais do teatro ocidental, por meio da revisão de estratégias de atuação elaboradas também por homens, que procuravam romper com a estrutura dramática tradicional.</w:t>
      </w:r>
    </w:p>
    <w:p>
      <w:pPr>
        <w:spacing w:before="4" w:after="0" w:line="360"/>
        <w:ind w:right="115"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Dolan, no teatro de Antonin Artaud e  na apropriação feminista cultural  de sua linguagem teatral, a autoridade do texto era invertida para o privilégio do corpo e do gesto como essência primordial. Neste sentido, Linda Hart argumenta que “como os corpos das mulheres têm sido, primariamente, politizados em sistemas de troca, a textualização do corpo feminino apresenta problemáticas especiais e potenciais para a dramaturgia da mulher” (1989,</w:t>
      </w:r>
    </w:p>
    <w:p>
      <w:pPr>
        <w:spacing w:before="4" w:after="0" w:line="360"/>
        <w:ind w:right="116"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 5). Isto pode ser melhor exemplificado por meio do modelo teatral da escritora/dramaturga Hèlene Cixous, representante do feminismo essencialista francês, que sugere que “se „mulher é palco‟, enredos não serão mais necessários” (DOLAN, 1997, p.8). A tendência essencialista do feminismo cultural era representada no palco por meio de uma textualidade corporal feminina com característica ritualística:</w:t>
      </w:r>
    </w:p>
    <w:p>
      <w:pPr>
        <w:spacing w:before="5" w:after="0" w:line="240"/>
        <w:ind w:right="0" w:left="0" w:firstLine="0"/>
        <w:jc w:val="left"/>
        <w:rPr>
          <w:rFonts w:ascii="Times New Roman" w:hAnsi="Times New Roman" w:cs="Times New Roman" w:eastAsia="Times New Roman"/>
          <w:color w:val="auto"/>
          <w:spacing w:val="0"/>
          <w:position w:val="0"/>
          <w:sz w:val="3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30"/>
          <w:shd w:fill="auto" w:val="clear"/>
        </w:rPr>
      </w:pPr>
    </w:p>
    <w:p>
      <w:pPr>
        <w:spacing w:before="1" w:after="0" w:line="240"/>
        <w:ind w:right="115"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escrita da mulher será ouvido o ritmo da expressão sentida e o ímpeto do fôlego que fará o texto „ofegar‟, sacudido de gritos. Será ouvida a voz que exclama os sofrimentos e gozos do corpo, uma espécie de carne cantante que existia antes da lei patriarcal, antes que o „fôlego fosse sufocado pelo simbólico.‟ (CIXOUS apud</w:t>
      </w:r>
      <w:r>
        <w:rPr>
          <w:rFonts w:ascii="Times New Roman" w:hAnsi="Times New Roman" w:cs="Times New Roman" w:eastAsia="Times New Roman"/>
          <w:color w:val="auto"/>
          <w:spacing w:val="-3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NYE, 1995, p.</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238)</w:t>
      </w:r>
    </w:p>
    <w:p>
      <w:pPr>
        <w:spacing w:before="1" w:after="0" w:line="240"/>
        <w:ind w:right="115" w:left="2386" w:firstLine="0"/>
        <w:jc w:val="both"/>
        <w:rPr>
          <w:rFonts w:ascii="Times New Roman" w:hAnsi="Times New Roman" w:cs="Times New Roman" w:eastAsia="Times New Roman"/>
          <w:color w:val="auto"/>
          <w:spacing w:val="0"/>
          <w:position w:val="0"/>
          <w:sz w:val="20"/>
          <w:shd w:fill="auto" w:val="clear"/>
        </w:rPr>
      </w:pPr>
    </w:p>
    <w:p>
      <w:pPr>
        <w:spacing w:before="54" w:after="0" w:line="360"/>
        <w:ind w:right="116"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crítica teatral feminista a esta prática, no entanto, defende que “unir a sexualidade  da mulher à sua textualidade oferece uma posição de sujeito cravada em universalismos transcendentes” (DOLAN, 1991, p. 8). As diferenças de etnia, classe social e opção sexual entre as mulheres não eram consideradas, já que “enquanto suas diferenças sexuais dos homens são reforçadas, suas diferenças de outras mulheres são ignoradas [...] todas as diferenças são molduradas em termos de igualdade definida pela separação da mulher do homem” (</w:t>
      </w:r>
      <w:r>
        <w:rPr>
          <w:rFonts w:ascii="Times New Roman" w:hAnsi="Times New Roman" w:cs="Times New Roman" w:eastAsia="Times New Roman"/>
          <w:i/>
          <w:color w:val="auto"/>
          <w:spacing w:val="0"/>
          <w:position w:val="0"/>
          <w:sz w:val="24"/>
          <w:shd w:fill="auto" w:val="clear"/>
        </w:rPr>
        <w:t xml:space="preserve">Id</w:t>
      </w:r>
      <w:r>
        <w:rPr>
          <w:rFonts w:ascii="Times New Roman" w:hAnsi="Times New Roman" w:cs="Times New Roman" w:eastAsia="Times New Roman"/>
          <w:color w:val="auto"/>
          <w:spacing w:val="0"/>
          <w:position w:val="0"/>
          <w:sz w:val="24"/>
          <w:shd w:fill="auto" w:val="clear"/>
        </w:rPr>
        <w:t xml:space="preserve">, p. 9). Pode-se perceber que a representação deste sujeito </w:t>
      </w:r>
      <w:r>
        <w:rPr>
          <w:rFonts w:ascii="Times New Roman" w:hAnsi="Times New Roman" w:cs="Times New Roman" w:eastAsia="Times New Roman"/>
          <w:i/>
          <w:color w:val="auto"/>
          <w:spacing w:val="0"/>
          <w:position w:val="0"/>
          <w:sz w:val="24"/>
          <w:shd w:fill="auto" w:val="clear"/>
        </w:rPr>
        <w:t xml:space="preserve">Mulher </w:t>
      </w:r>
      <w:r>
        <w:rPr>
          <w:rFonts w:ascii="Times New Roman" w:hAnsi="Times New Roman" w:cs="Times New Roman" w:eastAsia="Times New Roman"/>
          <w:color w:val="auto"/>
          <w:spacing w:val="0"/>
          <w:position w:val="0"/>
          <w:sz w:val="24"/>
          <w:shd w:fill="auto" w:val="clear"/>
        </w:rPr>
        <w:t xml:space="preserve">agregava as características que aproximam algumas mulheres e desconsiderava as inúmeras diferenças que separam umas mulheres das outras. A representação no palco desta Mulher, que compartilha experiências, acarreta, também, a projeção de uma espectadora feminista ideal e transcendental.</w:t>
      </w:r>
    </w:p>
    <w:p>
      <w:pPr>
        <w:spacing w:before="4"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Dolan, o feminismo materialista, terceira corrente do feminismo norte- americano, enquadra o debate de gênero sob termos de neutralidade de gênero. As feministas materialistas “desconstroem o sujeito mítico Mulher, para olhar para as mulheres como uma classe oprimida por condições materiais e relações sociais” (DOLAN, 1991, p 10). No discurso materialista, gênero não é inato. Ele é ditado através da culturalização, uma vez que as divisões de gênero são situadas a serviço da ideologia da cultura dominante.</w:t>
      </w:r>
    </w:p>
    <w:p>
      <w:pPr>
        <w:spacing w:before="4"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Percebe-se que a escrita e a prática teatral das mulheres que representam o pensamento feminista materialista convergem no esforço de provocar uma “desnaturalização” do processo psicológico de identificação, implícito na representação teatral:</w:t>
      </w:r>
    </w:p>
    <w:p>
      <w:pPr>
        <w:spacing w:before="142" w:after="0" w:line="240"/>
        <w:ind w:right="119"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Invés de ser seduzida por </w:t>
      </w:r>
      <w:r>
        <w:rPr>
          <w:rFonts w:ascii="Times New Roman" w:hAnsi="Times New Roman" w:cs="Times New Roman" w:eastAsia="Times New Roman"/>
          <w:color w:val="auto"/>
          <w:spacing w:val="-2"/>
          <w:position w:val="0"/>
          <w:sz w:val="20"/>
          <w:shd w:fill="auto" w:val="clear"/>
        </w:rPr>
        <w:t xml:space="preserve">uma </w:t>
      </w:r>
      <w:r>
        <w:rPr>
          <w:rFonts w:ascii="Times New Roman" w:hAnsi="Times New Roman" w:cs="Times New Roman" w:eastAsia="Times New Roman"/>
          <w:color w:val="auto"/>
          <w:spacing w:val="0"/>
          <w:position w:val="0"/>
          <w:sz w:val="20"/>
          <w:shd w:fill="auto" w:val="clear"/>
        </w:rPr>
        <w:t xml:space="preserve">narrativa que oferece uma posição confortável de gênero, a espectadora é convidada a prestar atenção crítica para a ideologia de gênero que o processo de representação historicamente produz e às opressivas relações sociais que ela legitimiza (DOLAN, 1991, p.</w:t>
      </w:r>
      <w:r>
        <w:rPr>
          <w:rFonts w:ascii="Times New Roman" w:hAnsi="Times New Roman" w:cs="Times New Roman" w:eastAsia="Times New Roman"/>
          <w:color w:val="auto"/>
          <w:spacing w:val="-1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14).</w: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o feminismo materialista enxerga as mulheres como sujeitos históricos, também a estética adotada nas performances e peças teatrais tinha a intenção de, através de um distanciamento crítico, abordar os diferentes contextos das mulheres nas suas relações com as estruturas sociais por meio de suas identificações com questões de raça, classe e opção sexual. Dentro do Teatro Feminista materialista podem-se encontrar subdivisões voltadas a questões específicas das experiências das mulheres, como o teatro lésbico e o teatro de mulheres  negras.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contexto Inglês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9" w:after="0" w:line="240"/>
        <w:ind w:right="0" w:left="0" w:firstLine="0"/>
        <w:jc w:val="left"/>
        <w:rPr>
          <w:rFonts w:ascii="Times New Roman" w:hAnsi="Times New Roman" w:cs="Times New Roman" w:eastAsia="Times New Roman"/>
          <w:b/>
          <w:color w:val="auto"/>
          <w:spacing w:val="0"/>
          <w:position w:val="0"/>
          <w:sz w:val="13"/>
          <w:shd w:fill="auto" w:val="clear"/>
        </w:rPr>
      </w:pPr>
    </w:p>
    <w:p>
      <w:pPr>
        <w:spacing w:before="69" w:after="0" w:line="360"/>
        <w:ind w:right="112"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na Inglaterra, durante as décadas de 1960 e 1970, o Teatro Feminista ressurge com um olhar crítico voltado para as questões socialistas dos direitos das mulheres ainda sob influência das sufragistas. De acordo com a pesquisadora inglesa Elaine Aston (1995), a recuperação da dramaturgia criada pelas sufragistas e do contexto da história do teatro britânico, servem de material de estudo para muitas artistas e teóricas feministas. Segundo a autora, este “interesse foi impulsionado pelos paralelos que puderam ser traçados entre a atividade política e teatral dos anos do sufrágio na virada do século e o Movimento de Libertação das Mulheres dos anos 1970” (ASTON, 1995, p. 27). Estes paralelos podem ser observados na análise dos estilos de Teatro Feminista, que Goodman coloca: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2"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desenvolvimento de estilo(s) no Teatro Feminista [na Inglaterra] sofreu modificações devidas a algumas fases brutalmente definidas: de </w:t>
      </w:r>
      <w:r>
        <w:rPr>
          <w:rFonts w:ascii="Times New Roman" w:hAnsi="Times New Roman" w:cs="Times New Roman" w:eastAsia="Times New Roman"/>
          <w:i/>
          <w:color w:val="auto"/>
          <w:spacing w:val="0"/>
          <w:position w:val="0"/>
          <w:sz w:val="20"/>
          <w:shd w:fill="auto" w:val="clear"/>
        </w:rPr>
        <w:t xml:space="preserve">agitprop </w:t>
      </w:r>
      <w:r>
        <w:rPr>
          <w:rFonts w:ascii="Times New Roman" w:hAnsi="Times New Roman" w:cs="Times New Roman" w:eastAsia="Times New Roman"/>
          <w:color w:val="auto"/>
          <w:spacing w:val="0"/>
          <w:position w:val="0"/>
          <w:sz w:val="20"/>
          <w:shd w:fill="auto" w:val="clear"/>
        </w:rPr>
        <w:t xml:space="preserve">e demonstrações de rua, para um realismo social e </w:t>
      </w:r>
      <w:r>
        <w:rPr>
          <w:rFonts w:ascii="Times New Roman" w:hAnsi="Times New Roman" w:cs="Times New Roman" w:eastAsia="Times New Roman"/>
          <w:i/>
          <w:color w:val="auto"/>
          <w:spacing w:val="0"/>
          <w:position w:val="0"/>
          <w:sz w:val="20"/>
          <w:shd w:fill="auto" w:val="clear"/>
        </w:rPr>
        <w:t xml:space="preserve">docu-drama</w:t>
      </w:r>
      <w:r>
        <w:rPr>
          <w:rFonts w:ascii="Times New Roman" w:hAnsi="Times New Roman" w:cs="Times New Roman" w:eastAsia="Times New Roman"/>
          <w:color w:val="auto"/>
          <w:spacing w:val="0"/>
          <w:position w:val="0"/>
          <w:sz w:val="20"/>
          <w:shd w:fill="auto" w:val="clear"/>
        </w:rPr>
        <w:t xml:space="preserve">, para uma gama de abordagens contemporâneas (1993, p.57).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a autora, a técnica inicial para a montagem de espetáculos, que os primeiros grupos de teatros feministas utilizaram, era a apropriação de características provindas do </w:t>
      </w:r>
      <w:r>
        <w:rPr>
          <w:rFonts w:ascii="Times New Roman" w:hAnsi="Times New Roman" w:cs="Times New Roman" w:eastAsia="Times New Roman"/>
          <w:i/>
          <w:color w:val="auto"/>
          <w:spacing w:val="0"/>
          <w:position w:val="0"/>
          <w:sz w:val="24"/>
          <w:shd w:fill="auto" w:val="clear"/>
        </w:rPr>
        <w:t xml:space="preserve">teatro coletivo</w:t>
      </w:r>
      <w:r>
        <w:rPr>
          <w:rFonts w:ascii="Times New Roman" w:hAnsi="Times New Roman" w:cs="Times New Roman" w:eastAsia="Times New Roman"/>
          <w:color w:val="auto"/>
          <w:spacing w:val="0"/>
          <w:position w:val="0"/>
          <w:sz w:val="24"/>
          <w:shd w:fill="auto" w:val="clear"/>
        </w:rPr>
        <w:t xml:space="preserve">. Segundo a autora, “por trabalharem em companhias mistas nos anos 1960 e início de 1970, as mulheres ganharam experiência tanto com os benefícios quanto com as limitações do trabalho de teatro coletivo” (1993, p.53). Este teatro coletivo possuía a especificidade de propor que toda a produção teatral fosse construída pelo grupo de forma coletiva, sem ressaltar as características ou habilidades individuais dos integrantes.</w:t>
      </w:r>
    </w:p>
    <w:p>
      <w:pPr>
        <w:spacing w:before="4" w:after="0" w:line="360"/>
        <w:ind w:right="112"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passar do tempo, e com a experiência, muitos grupos de Teatro Feminista perceberam que, “um sistema que não releva as habilidades individuais [...] resultava em muitas “falhas na peça” (GOODMAN, 1993, p.55). Seguindo esta percepção, as companhias começaram a adotar e praticar o chamado </w:t>
      </w:r>
      <w:r>
        <w:rPr>
          <w:rFonts w:ascii="Times New Roman" w:hAnsi="Times New Roman" w:cs="Times New Roman" w:eastAsia="Times New Roman"/>
          <w:i/>
          <w:color w:val="auto"/>
          <w:spacing w:val="0"/>
          <w:position w:val="0"/>
          <w:sz w:val="24"/>
          <w:shd w:fill="auto" w:val="clear"/>
        </w:rPr>
        <w:t xml:space="preserve">teatro colaborativo. </w:t>
      </w:r>
      <w:r>
        <w:rPr>
          <w:rFonts w:ascii="Times New Roman" w:hAnsi="Times New Roman" w:cs="Times New Roman" w:eastAsia="Times New Roman"/>
          <w:color w:val="auto"/>
          <w:spacing w:val="0"/>
          <w:position w:val="0"/>
          <w:sz w:val="24"/>
          <w:shd w:fill="auto" w:val="clear"/>
        </w:rPr>
        <w:t xml:space="preserve">Para Goodman, o teatro colaborativo excede os coletivos de teatro, pois ele também retinha o ideal de se opor às estruturas paternalistas que compunham o teatro comercial tradicional e, ao mesmo tempo, “permitia a exploração (em um senso positivo) de habilidades individuais, sem designar diferentes níveis ou status para aquelas habilidades” (1993, p.55). Percebe-se com isto, que o envolvimento de todos com a produção teatral ocorria para que cada um pudesse explorar  suas facilidades em determinados aspectos e aprender com suas dificuldades em</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outros.</w:t>
      </w:r>
    </w:p>
    <w:p>
      <w:pPr>
        <w:spacing w:before="4" w:after="0" w:line="360"/>
        <w:ind w:right="112" w:left="118" w:firstLine="707"/>
        <w:jc w:val="both"/>
        <w:rPr>
          <w:rFonts w:ascii="Times New Roman" w:hAnsi="Times New Roman" w:cs="Times New Roman" w:eastAsia="Times New Roman"/>
          <w:color w:val="auto"/>
          <w:spacing w:val="0"/>
          <w:position w:val="0"/>
          <w:sz w:val="24"/>
          <w:shd w:fill="auto" w:val="clear"/>
        </w:rPr>
      </w:pPr>
    </w:p>
    <w:p>
      <w:pPr>
        <w:spacing w:before="6" w:after="0" w:line="360"/>
        <w:ind w:right="118"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Goodman examina em </w:t>
      </w:r>
      <w:r>
        <w:rPr>
          <w:rFonts w:ascii="Times New Roman" w:hAnsi="Times New Roman" w:cs="Times New Roman" w:eastAsia="Times New Roman"/>
          <w:i/>
          <w:color w:val="auto"/>
          <w:spacing w:val="0"/>
          <w:position w:val="0"/>
          <w:sz w:val="24"/>
          <w:shd w:fill="auto" w:val="clear"/>
        </w:rPr>
        <w:t xml:space="preserve">Contemporary Feminist Theatre </w:t>
      </w:r>
      <w:r>
        <w:rPr>
          <w:rFonts w:ascii="Times New Roman" w:hAnsi="Times New Roman" w:cs="Times New Roman" w:eastAsia="Times New Roman"/>
          <w:color w:val="auto"/>
          <w:spacing w:val="0"/>
          <w:position w:val="0"/>
          <w:sz w:val="24"/>
          <w:shd w:fill="auto" w:val="clear"/>
        </w:rPr>
        <w:t xml:space="preserve">(1993), quatro práticas comuns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Teatro</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Feminista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inglês: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Editais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comissões</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financiam</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novos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trabalhos</w:t>
      </w:r>
    </w:p>
    <w:p>
      <w:pPr>
        <w:spacing w:before="54" w:after="0" w:line="240"/>
        <w:ind w:right="6" w:left="118"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escritos  por mulheres;  2)  </w:t>
      </w:r>
      <w:r>
        <w:rPr>
          <w:rFonts w:ascii="Times New Roman" w:hAnsi="Times New Roman" w:cs="Times New Roman" w:eastAsia="Times New Roman"/>
          <w:i/>
          <w:color w:val="auto"/>
          <w:spacing w:val="0"/>
          <w:position w:val="0"/>
          <w:sz w:val="24"/>
          <w:shd w:fill="auto" w:val="clear"/>
        </w:rPr>
        <w:t xml:space="preserve">Devised theatre</w:t>
      </w:r>
      <w:r>
        <w:rPr>
          <w:rFonts w:ascii="Times New Roman" w:hAnsi="Times New Roman" w:cs="Times New Roman" w:eastAsia="Times New Roman"/>
          <w:color w:val="auto"/>
          <w:spacing w:val="0"/>
          <w:position w:val="0"/>
          <w:sz w:val="24"/>
          <w:shd w:fill="auto" w:val="clear"/>
        </w:rPr>
        <w:t xml:space="preserve">;  3)  Leituras  dramáticas;  e 4)  A </w:t>
      </w:r>
      <w:r>
        <w:rPr>
          <w:rFonts w:ascii="Times New Roman" w:hAnsi="Times New Roman" w:cs="Times New Roman" w:eastAsia="Times New Roman"/>
          <w:i/>
          <w:color w:val="auto"/>
          <w:spacing w:val="0"/>
          <w:position w:val="0"/>
          <w:sz w:val="24"/>
          <w:shd w:fill="auto" w:val="clear"/>
        </w:rPr>
        <w:t xml:space="preserve">performance art</w:t>
      </w:r>
    </w:p>
    <w:p>
      <w:pPr>
        <w:spacing w:before="137" w:after="0" w:line="240"/>
        <w:ind w:right="182"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feminista.</w:t>
      </w:r>
    </w:p>
    <w:p>
      <w:pPr>
        <w:spacing w:before="139" w:after="0" w:line="360"/>
        <w:ind w:right="117"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a autora, por meio do trabalho comissionado, muitas dramaturgas conquistaram a liberdade para escreverem seus textos - com a segurança de que seriam pagas por eles. Para Goodman, estes editais, são os métodos de trabalho feminista de maior remuneração. Este incentivo impulsiona escritoras a se arriscarem em um meio em que, como Aston aponta, “o padrão de silenciamento histórico de textos de mulheres parece ocorrer quando e onde a autoria feminina critica ou ridiculariza as formas e ideologias da cultura dominante” (1995, p. 25).</w:t>
      </w:r>
    </w:p>
    <w:p>
      <w:pPr>
        <w:spacing w:before="4"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Devised theatre </w:t>
      </w:r>
      <w:r>
        <w:rPr>
          <w:rFonts w:ascii="Times New Roman" w:hAnsi="Times New Roman" w:cs="Times New Roman" w:eastAsia="Times New Roman"/>
          <w:color w:val="auto"/>
          <w:spacing w:val="0"/>
          <w:position w:val="0"/>
          <w:sz w:val="24"/>
          <w:shd w:fill="auto" w:val="clear"/>
        </w:rPr>
        <w:t xml:space="preserve">é o processo de construção colaborativa de um texto ou de um espetáculo teatral e é muito utilizado pelos grupos de Teatro Feminista. Esta colaboração pode ocorrer: por meio de editais – determinado grupo contrata uma diretora ou dramaturga para trabalhar conjuntamente no processo de construção do espetáculo; por meio do trabalho colaborativo dentro do próprio grupo – a companhia se reúne com o intuito de “dividir” as responsabilidades da produção (entre outros motivos, a escolha por este método se dá porque “ao dividir, a quantidade de capital investida e gasta fora do grupo é reduzida” (GOODMAN, 1989, p.103)); e por meio do processo colaborativo da escrita do texto.</w:t>
      </w:r>
    </w:p>
    <w:p>
      <w:pPr>
        <w:spacing w:before="4" w:after="0" w:line="360"/>
        <w:ind w:right="118"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as leituras dramáticas aparecem como método de, sem muito investimento monetário necessário, apresentar textos de novas escritoras feministas por meio de uma forma distanciada de atuação. As temáticas são atribuídas às suas experiências como mulheres, pertencentes a contextos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diversos.</w:t>
      </w:r>
    </w:p>
    <w:p>
      <w:pPr>
        <w:spacing w:before="4" w:after="0" w:line="360"/>
        <w:ind w:right="116"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i/>
          <w:color w:val="auto"/>
          <w:spacing w:val="0"/>
          <w:position w:val="0"/>
          <w:sz w:val="24"/>
          <w:shd w:fill="auto" w:val="clear"/>
        </w:rPr>
        <w:t xml:space="preserve">performance art </w:t>
      </w:r>
      <w:r>
        <w:rPr>
          <w:rFonts w:ascii="Times New Roman" w:hAnsi="Times New Roman" w:cs="Times New Roman" w:eastAsia="Times New Roman"/>
          <w:color w:val="auto"/>
          <w:spacing w:val="0"/>
          <w:position w:val="0"/>
          <w:sz w:val="24"/>
          <w:shd w:fill="auto" w:val="clear"/>
        </w:rPr>
        <w:t xml:space="preserve">é uma prática teatral muito recorrente entre as artistas feministas. Goodman aponta que o termo foi definido de variadas formas e que é comumente utilizado de uma forma imprecisa, designando àquilo que não é bem teatro, nem dança, nem fotografia, mas algo que se situa entre estas terminologias. Mas, a autora utiliza o termo </w:t>
      </w:r>
      <w:r>
        <w:rPr>
          <w:rFonts w:ascii="Times New Roman" w:hAnsi="Times New Roman" w:cs="Times New Roman" w:eastAsia="Times New Roman"/>
          <w:i/>
          <w:color w:val="auto"/>
          <w:spacing w:val="0"/>
          <w:position w:val="0"/>
          <w:sz w:val="24"/>
          <w:shd w:fill="auto" w:val="clear"/>
        </w:rPr>
        <w:t xml:space="preserve">performance art </w:t>
      </w:r>
      <w:r>
        <w:rPr>
          <w:rFonts w:ascii="Times New Roman" w:hAnsi="Times New Roman" w:cs="Times New Roman" w:eastAsia="Times New Roman"/>
          <w:color w:val="auto"/>
          <w:spacing w:val="0"/>
          <w:position w:val="0"/>
          <w:sz w:val="24"/>
          <w:shd w:fill="auto" w:val="clear"/>
        </w:rPr>
        <w:t xml:space="preserve">feminista,</w:t>
      </w:r>
    </w:p>
    <w:p>
      <w:pPr>
        <w:spacing w:before="4" w:after="0" w:line="360"/>
        <w:ind w:right="116" w:left="118" w:firstLine="707"/>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para referir ao teatro físico e conceitual que enfatiza o papel da atriz como representante dela mesma – seu corpo como texto, ela mesma como personagem [...] seus próprios movimentos como simbólico dos gestos e rituais do cotidiano (GOODMAN, 1993, p.182).</w:t>
      </w:r>
    </w:p>
    <w:p>
      <w:pPr>
        <w:spacing w:before="4" w:after="0" w:line="360"/>
        <w:ind w:right="116" w:left="118" w:firstLine="707"/>
        <w:jc w:val="both"/>
        <w:rPr>
          <w:rFonts w:ascii="Times New Roman" w:hAnsi="Times New Roman" w:cs="Times New Roman" w:eastAsia="Times New Roman"/>
          <w:color w:val="auto"/>
          <w:spacing w:val="0"/>
          <w:position w:val="0"/>
          <w:sz w:val="20"/>
          <w:shd w:fill="auto" w:val="clear"/>
        </w:rPr>
      </w:pPr>
    </w:p>
    <w:p>
      <w:pPr>
        <w:spacing w:before="4" w:after="0" w:line="360"/>
        <w:ind w:right="116" w:left="118" w:firstLine="707"/>
        <w:jc w:val="both"/>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5"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Pode-se perceber que o corpo da atriz, por meio desta prática teatral, se torna uma metáfora enquanto ela dialoga consigo mesma. De uma forma mais intimista e individualista, muitas  atrizes  apresentavam  suas  experiências  e  expressavam  suas  vivências  dentro    do sistema cultural que se relacionavam, para um publico que, ora estava consciente da representação que estava presenciando, ora não. O corpo, como expressão viva, aparece como o centro da representação e a partir dele e de suas particularidades significativas, o movimento performático ocorria. </w:t>
      </w:r>
    </w:p>
    <w:p>
      <w:pPr>
        <w:spacing w:before="0" w:after="0" w:line="360"/>
        <w:ind w:right="115"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afirma Miranda, “a centralidade de um corpo de mulher ativo no palco colocou novos questionamentos sobre visibilidade e a objetificação do corpo da  mulher” (2003, p. 273). O corpo vivo da mulher na cena e a posição de sujeito ativo,  aparecem com o intuito de reavaliar o teatro dramático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tradicional.</w:t>
      </w:r>
    </w:p>
    <w:p>
      <w:pPr>
        <w:spacing w:before="4" w:after="0" w:line="360"/>
        <w:ind w:right="115"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i/>
          <w:color w:val="auto"/>
          <w:spacing w:val="0"/>
          <w:position w:val="0"/>
          <w:sz w:val="24"/>
          <w:shd w:fill="auto" w:val="clear"/>
        </w:rPr>
        <w:t xml:space="preserve">performance art </w:t>
      </w:r>
      <w:r>
        <w:rPr>
          <w:rFonts w:ascii="Times New Roman" w:hAnsi="Times New Roman" w:cs="Times New Roman" w:eastAsia="Times New Roman"/>
          <w:color w:val="auto"/>
          <w:spacing w:val="0"/>
          <w:position w:val="0"/>
          <w:sz w:val="24"/>
          <w:shd w:fill="auto" w:val="clear"/>
        </w:rPr>
        <w:t xml:space="preserve">feminista apresenta, muitas vezes, um caráter auto-biográfico em que o limite entre a representação e o “real”, se torna imperceptível. Esta prática era realizada, muitas vezes, por uma artista somente. Mas, também por companhias de Teatro Feminista que empregaram esta linguagem e, de forma coletiva, apresentaram performances que retratavam as suas inquietações como mulheres. Para Goodman,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7"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Alguns teatros feministas contemporâneos utilizam a </w:t>
      </w:r>
      <w:r>
        <w:rPr>
          <w:rFonts w:ascii="Times New Roman" w:hAnsi="Times New Roman" w:cs="Times New Roman" w:eastAsia="Times New Roman"/>
          <w:i/>
          <w:color w:val="auto"/>
          <w:spacing w:val="0"/>
          <w:position w:val="0"/>
          <w:sz w:val="20"/>
          <w:shd w:fill="auto" w:val="clear"/>
        </w:rPr>
        <w:t xml:space="preserve">performance art </w:t>
      </w:r>
      <w:r>
        <w:rPr>
          <w:rFonts w:ascii="Times New Roman" w:hAnsi="Times New Roman" w:cs="Times New Roman" w:eastAsia="Times New Roman"/>
          <w:color w:val="auto"/>
          <w:spacing w:val="0"/>
          <w:position w:val="0"/>
          <w:sz w:val="20"/>
          <w:shd w:fill="auto" w:val="clear"/>
        </w:rPr>
        <w:t xml:space="preserve">como uma abordagem ao seu trabalho – uma forma de se afastarem do teatro baseado no texto e aproximarem a uma exploração física da linguagem corporal, gesto e movimento (1993, p.183).</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Pode-se afirmar que as re-significações provocadas pela leitura desta dramaturgia corporal da mulher em cena são variadas e dependentes de diversos atributos que, dentro de contextos específicos, podem ser reavaliados, pois como cita Miranda, “a performance feminista desafiou a „voz‟ e o „corpo‟ „femininos‟ produzidos por teatros dominados por homens” (2003 p. 273).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Brecht e Teatro Feminista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Muitos grupos de Teatro Feminista das décadas de 1960 e 1970 investigaram e apropriaram-se de algumas técnicas do </w:t>
      </w:r>
      <w:r>
        <w:rPr>
          <w:rFonts w:ascii="Times New Roman" w:hAnsi="Times New Roman" w:cs="Times New Roman" w:eastAsia="Times New Roman"/>
          <w:i/>
          <w:color w:val="auto"/>
          <w:spacing w:val="0"/>
          <w:position w:val="0"/>
          <w:sz w:val="24"/>
          <w:shd w:fill="auto" w:val="clear"/>
        </w:rPr>
        <w:t xml:space="preserve">teatro épico </w:t>
      </w:r>
      <w:r>
        <w:rPr>
          <w:rFonts w:ascii="Times New Roman" w:hAnsi="Times New Roman" w:cs="Times New Roman" w:eastAsia="Times New Roman"/>
          <w:color w:val="auto"/>
          <w:spacing w:val="0"/>
          <w:position w:val="0"/>
          <w:sz w:val="24"/>
          <w:shd w:fill="auto" w:val="clear"/>
        </w:rPr>
        <w:t xml:space="preserve">criado por Erwin Piscator (1893-1966), mas aprofundado e difundido por Bertolt Brecht (autor e diretor de teatro) no início do  século</w:t>
      </w:r>
    </w:p>
    <w:p>
      <w:pPr>
        <w:spacing w:before="4" w:after="0" w:line="360"/>
        <w:ind w:right="117"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XX. Influenciado por idéias marxistas, Brecht pretendia promover, por meio do teatro, uma mudança na estrutura social do contexto que presenciava após a Primeira Grande Guerra. É preciso ressaltar que algumas destas idéias foram contestadas por feministas e, por isso, unir a teoria de Brecht à teoria feminista pode abrir espaço para controvérsia e polêmica. Porém, o objetivo desta parte do trabalho é examinar como algumas feministas se apropriaram de aspectos  do  “projeto  teórico” de Brecht  para transmitirem  as  suas idéias e mostrarem,  por</w:t>
      </w:r>
    </w:p>
    <w:p>
      <w:pPr>
        <w:spacing w:before="54" w:after="0" w:line="360"/>
        <w:ind w:right="117"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meio do teatro, como são produzidas as ideologias de gênero e como a espectadora se porta diante delas. De acordo com Janelle Reinelt, apesar da “distancia fundamental entre Brecht e feministas em vários assuntos, algumas alianças estratégicas têm conectado a teoria e dramaturgia Brechtiana às dramaturgas, teóricas e diretoras feministas” (1996[1], p. 84).</w:t>
      </w:r>
    </w:p>
    <w:p>
      <w:pPr>
        <w:spacing w:before="54" w:after="0" w:line="360"/>
        <w:ind w:right="117" w:left="118" w:firstLine="0"/>
        <w:jc w:val="both"/>
        <w:rPr>
          <w:rFonts w:ascii="Times New Roman" w:hAnsi="Times New Roman" w:cs="Times New Roman" w:eastAsia="Times New Roman"/>
          <w:color w:val="auto"/>
          <w:spacing w:val="0"/>
          <w:position w:val="0"/>
          <w:sz w:val="24"/>
          <w:shd w:fill="auto" w:val="clear"/>
        </w:rPr>
      </w:pPr>
    </w:p>
    <w:p>
      <w:pPr>
        <w:spacing w:before="6" w:after="0" w:line="360"/>
        <w:ind w:right="118"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Integrantes de grupos teatrais diversos, as artistas feministas viram nas técnicas do teatro épico de Brecht, um caminho para, a partir da perspectiva da mulher e da dialética materialista, questionar e criticar as relações de gênero, classe, raça e opção sexual, estabelecidas. Para Reinelt,</w:t>
      </w:r>
    </w:p>
    <w:p>
      <w:pPr>
        <w:spacing w:before="7" w:after="0" w:line="240"/>
        <w:ind w:right="0" w:left="0" w:firstLine="0"/>
        <w:jc w:val="left"/>
        <w:rPr>
          <w:rFonts w:ascii="Times New Roman" w:hAnsi="Times New Roman" w:cs="Times New Roman" w:eastAsia="Times New Roman"/>
          <w:color w:val="auto"/>
          <w:spacing w:val="0"/>
          <w:position w:val="0"/>
          <w:sz w:val="30"/>
          <w:shd w:fill="auto" w:val="clear"/>
        </w:rPr>
      </w:pPr>
    </w:p>
    <w:p>
      <w:pPr>
        <w:spacing w:before="0" w:after="0" w:line="240"/>
        <w:ind w:right="118" w:left="2386" w:firstLine="0"/>
        <w:jc w:val="both"/>
        <w:rPr>
          <w:rFonts w:ascii="Times New Roman" w:hAnsi="Times New Roman" w:cs="Times New Roman" w:eastAsia="Times New Roman"/>
          <w:color w:val="auto"/>
          <w:spacing w:val="0"/>
          <w:position w:val="9"/>
          <w:sz w:val="13"/>
          <w:shd w:fill="auto" w:val="clear"/>
        </w:rPr>
      </w:pPr>
      <w:r>
        <w:rPr>
          <w:rFonts w:ascii="Times New Roman" w:hAnsi="Times New Roman" w:cs="Times New Roman" w:eastAsia="Times New Roman"/>
          <w:color w:val="auto"/>
          <w:spacing w:val="0"/>
          <w:position w:val="0"/>
          <w:sz w:val="20"/>
          <w:shd w:fill="auto" w:val="clear"/>
        </w:rPr>
        <w:t xml:space="preserve">Técnicas brechtianas proveram uma metodologia para encravar uma crítica materialista junto ao meio teatral. O teatro político requer a habilidade de isolar e manifestar certas idéias e relacionamentos que fazem visível a ideologia, em contraste com os estilos de realismo e naturalismo, em que a ideologia é escondida ou coberta (1990, p.150).</w:t>
      </w:r>
      <w:r>
        <w:rPr>
          <w:rFonts w:ascii="Times New Roman" w:hAnsi="Times New Roman" w:cs="Times New Roman" w:eastAsia="Times New Roman"/>
          <w:color w:val="auto"/>
          <w:spacing w:val="0"/>
          <w:position w:val="9"/>
          <w:sz w:val="13"/>
          <w:shd w:fill="auto" w:val="clear"/>
        </w:rPr>
        <w:t xml:space="preserve">9</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19"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Goodman, “teatros feministas tendem a serem definidos e criticados como uma fenda entre „ideologia e arte‟” (1993, p.236). Algumas feministas apoiaram seus discursos e práticas teatrais na crítica de Brecht aos interessas da cultura dominante, que propulsiona a formação de valores. Segundo a autora, “o objetivo de Brecht e também do Teatro Feminista é interromper e desconstruir os códigos da atuação habitual da majoritária cultura (masculina)” (GOODMAN, 1993, p.20).</w:t>
      </w:r>
    </w:p>
    <w:p>
      <w:pPr>
        <w:spacing w:before="4" w:after="0" w:line="360"/>
        <w:ind w:right="111"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teatro épico assume uma estrutura de narrativa em que os acontecimentos da trama são demonstrados ao público, ao invés de envolvê-lo em uma representação realista ou naturalista do mundo. De acordo com Anatol Rosenfeld, Brecht continha “o desejo de não apresentar apenas relações inter-humanas individuais – objetivo essencial do drama rigoroso e da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„peça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feita‟,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também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determinantes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sociais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dessas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relações”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(1985,</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147).</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 dramaturgo alemão desenvolveu uma estética teatral que reunia um conjunto de recursos literários e cênicos que visava romper com a identificação do espectador em relação à trama representada, como era comum acontecer no teatro aristotélico, ou “dramático”, na primeira metade do século XX. Para nomear este conjunto de recursos, Brecht empregou o termo alemão </w:t>
      </w:r>
      <w:r>
        <w:rPr>
          <w:rFonts w:ascii="Times New Roman" w:hAnsi="Times New Roman" w:cs="Times New Roman" w:eastAsia="Times New Roman"/>
          <w:i/>
          <w:color w:val="auto"/>
          <w:spacing w:val="0"/>
          <w:position w:val="0"/>
          <w:sz w:val="24"/>
          <w:shd w:fill="auto" w:val="clear"/>
        </w:rPr>
        <w:t xml:space="preserve">verfremdungseffekt</w:t>
      </w:r>
      <w:r>
        <w:rPr>
          <w:rFonts w:ascii="Times New Roman" w:hAnsi="Times New Roman" w:cs="Times New Roman" w:eastAsia="Times New Roman"/>
          <w:color w:val="auto"/>
          <w:spacing w:val="0"/>
          <w:position w:val="0"/>
          <w:sz w:val="24"/>
          <w:shd w:fill="auto" w:val="clear"/>
        </w:rPr>
        <w:t xml:space="preserve">, traduzido para o português como </w:t>
      </w:r>
      <w:r>
        <w:rPr>
          <w:rFonts w:ascii="Times New Roman" w:hAnsi="Times New Roman" w:cs="Times New Roman" w:eastAsia="Times New Roman"/>
          <w:i/>
          <w:color w:val="auto"/>
          <w:spacing w:val="0"/>
          <w:position w:val="0"/>
          <w:sz w:val="24"/>
          <w:shd w:fill="auto" w:val="clear"/>
        </w:rPr>
        <w:t xml:space="preserve">efeito de estranhamento </w:t>
      </w:r>
      <w:r>
        <w:rPr>
          <w:rFonts w:ascii="Times New Roman" w:hAnsi="Times New Roman" w:cs="Times New Roman" w:eastAsia="Times New Roman"/>
          <w:color w:val="auto"/>
          <w:spacing w:val="0"/>
          <w:position w:val="0"/>
          <w:sz w:val="24"/>
          <w:shd w:fill="auto" w:val="clear"/>
        </w:rPr>
        <w:t xml:space="preserve">(ou distanciamento, de acordo com alguns autores). A técnica era utilizada tanto na preparação dos atores, influenciando na atuação que eles deveriam apresentar no palco, quanto na estrutura dramática e cênica da obra. De acordo com</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Brecht,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3" w:after="0" w:line="240"/>
        <w:ind w:right="120"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Esta técnica permite ao teatro empregar, nas suas reproduções, o método da nova ciência social, a dialética materialista. Tal método, para conferir mobilidade ao domínio social, trata as condições sociais como acontecimentos em processo e acompanha-as nas suas contradições (1948, p.117).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50" w:after="0" w:line="240"/>
        <w:ind w:right="182" w:left="118"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9 </w:t>
      </w:r>
      <w:r>
        <w:rPr>
          <w:rFonts w:ascii="Times New Roman" w:hAnsi="Times New Roman" w:cs="Times New Roman" w:eastAsia="Times New Roman"/>
          <w:color w:val="auto"/>
          <w:spacing w:val="0"/>
          <w:position w:val="9"/>
          <w:sz w:val="20"/>
          <w:shd w:fill="auto" w:val="clear"/>
        </w:rPr>
        <w:t xml:space="preserve">Tradução de Claudia Mussi (não publicada).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17"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contradições destas condições sociais eram demonstradas por meio da desmistificação da representação e do efeito antiilusionista do teatro de Brecht. A observação dos acontecimentos proporcionava, à platéia, o distanciamento necessário para promover uma posição crítica racional da realidade e chamar a atenção para “as forças dialéticas e contraditórias dentro das relações sociais” (DIAMOND, 1996, p.121). De acordo com Elin Diamond, “desmistificar a representação, mostrar como e quando o objeto de prazer é feito, libertar o espectador das identificações imaginarias e ilusórias” (</w:t>
      </w:r>
      <w:r>
        <w:rPr>
          <w:rFonts w:ascii="Times New Roman" w:hAnsi="Times New Roman" w:cs="Times New Roman" w:eastAsia="Times New Roman"/>
          <w:i/>
          <w:color w:val="auto"/>
          <w:spacing w:val="0"/>
          <w:position w:val="0"/>
          <w:sz w:val="24"/>
          <w:shd w:fill="auto" w:val="clear"/>
        </w:rPr>
        <w:t xml:space="preserve">Ibid</w:t>
      </w:r>
      <w:r>
        <w:rPr>
          <w:rFonts w:ascii="Times New Roman" w:hAnsi="Times New Roman" w:cs="Times New Roman" w:eastAsia="Times New Roman"/>
          <w:color w:val="auto"/>
          <w:spacing w:val="0"/>
          <w:position w:val="0"/>
          <w:sz w:val="24"/>
          <w:shd w:fill="auto" w:val="clear"/>
        </w:rPr>
        <w:t xml:space="preserve">), são elementos cruciais do projeto teórico de Brecht.</w:t>
      </w:r>
    </w:p>
    <w:p>
      <w:pPr>
        <w:spacing w:before="6"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Pode-se relacionar estas premissas com os projetos teóricos feministas. Como aponta Goodman, “uma questão que a teoria feminista repetidamente chama atenção é para o fato de que o discurso tem uma maneira de construir falsos universos e de fazê-los parecerem naturais” (1993, p.22). Foi a partir desta concepção e da busca de artistas feministas por um teatro que empregava um conteúdo político e apresentava uma estética que demonstrasse as ideologias de gênero como uma produção social, que o </w:t>
      </w:r>
      <w:r>
        <w:rPr>
          <w:rFonts w:ascii="Times New Roman" w:hAnsi="Times New Roman" w:cs="Times New Roman" w:eastAsia="Times New Roman"/>
          <w:i/>
          <w:color w:val="auto"/>
          <w:spacing w:val="0"/>
          <w:position w:val="0"/>
          <w:sz w:val="24"/>
          <w:shd w:fill="auto" w:val="clear"/>
        </w:rPr>
        <w:t xml:space="preserve">estranhamento brechtiano </w:t>
      </w:r>
      <w:r>
        <w:rPr>
          <w:rFonts w:ascii="Times New Roman" w:hAnsi="Times New Roman" w:cs="Times New Roman" w:eastAsia="Times New Roman"/>
          <w:color w:val="auto"/>
          <w:spacing w:val="0"/>
          <w:position w:val="0"/>
          <w:sz w:val="24"/>
          <w:shd w:fill="auto" w:val="clear"/>
        </w:rPr>
        <w:t xml:space="preserve">foi adotado como estratégia feminista.</w:t>
      </w:r>
    </w:p>
    <w:p>
      <w:pPr>
        <w:spacing w:before="4"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Reinelt (1996[1]), em oposição aos sistemas fechados de representação, a teoria Brechtiana e a teoria feminista podem ser unidas por meio de três objetivos comuns: romper a narrativa “sem costuras” (p.83), pois os sistemas fechados de conexões casuais implicam a inevitabilidade dos eventos; expor as suposições ideológicas carregadas nos termos ou nos sistemas de representação; e desconstruir a integridade de personagem, “para mostrar o sujeito como um lugar de contradições, uma posição dentro de um campo ideológico de práticas sociais que não são unificadas ou estáveis e, certamente, não são eternas” (Id, p. 83-84). A partir do efeito do estranhamento, como cita Rosenfeld, “o espectador, começando a estranhar tantas coisas que pelo habito se lhe afiguram familiares e por isso naturais e imutáveis, se convence da necessidade da intervenção transformadora” (1985, p.150). Esta ação  interventora por parte da platéia é um dos objetivos do Teatro Feminista, que procura modificar as estruturas sociais e hierarquias de gênero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instituídas.</w:t>
      </w:r>
    </w:p>
    <w:p>
      <w:pPr>
        <w:spacing w:before="6" w:after="0" w:line="360"/>
        <w:ind w:right="118"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Karen Laughlin (1999), autora de um trabalho que relaciona a teoria Brechtiana ao Teatro Feminista norte-americano, as artistas feministas americanas encontraram três principais aspectos na estética de teatro brechtiano, e que serviram para o desenvolvimento de um</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teatro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privilegia</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experiências</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eles:</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comentários</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Brecht sobre atuação e o ator”; “o argumento para historicizar os eventos dramáticos”; e “os esquemas estruturais e os métodos narrativos do „teatro épico‟” (LAUGHLIN, 1999, p. 214). Para melhor analisar as técnicas de estranhamento e como o Teatro Feminista se apropriou delas, este trabalho os divide em quatro aspectos principais: atuação, historicização, esquemas estruturais do teatro épico e o </w:t>
      </w:r>
      <w:r>
        <w:rPr>
          <w:rFonts w:ascii="Times New Roman" w:hAnsi="Times New Roman" w:cs="Times New Roman" w:eastAsia="Times New Roman"/>
          <w:i/>
          <w:color w:val="auto"/>
          <w:spacing w:val="0"/>
          <w:position w:val="0"/>
          <w:sz w:val="24"/>
          <w:shd w:fill="auto" w:val="clear"/>
        </w:rPr>
        <w:t xml:space="preserve">gestus</w:t>
      </w:r>
      <w:r>
        <w:rPr>
          <w:rFonts w:ascii="Times New Roman" w:hAnsi="Times New Roman" w:cs="Times New Roman" w:eastAsia="Times New Roman"/>
          <w:color w:val="auto"/>
          <w:spacing w:val="0"/>
          <w:position w:val="0"/>
          <w:sz w:val="24"/>
          <w:shd w:fill="auto" w:val="clear"/>
        </w:rPr>
        <w:t xml:space="preserve">.</w:t>
      </w:r>
    </w:p>
    <w:p>
      <w:pPr>
        <w:spacing w:before="4"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Brecht, “o ator está em cena como uma personagem dupla” (1948, p. 118). De acordo com Laughlin (1999), muitas dramaturgas feministas escreveram este duplo papel do ator/atriz brechtiano – como a personagem e como a atriz que observa e julga as ações da personagem – nos seus roteiros. Seguindo o projeto de Brecht, a atriz não deveria incorporar a personagem, de forma que o público não conseguisse distinguir uma da outra. Ao contrário, deveria manter um distanciamento, mostrar a personagem para o público, mantê-lo consciente de que, o que ele vê, é uma representação. Segundo Diamond,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6"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sujeito histórico interpretando um ator que interpreta uma personagem, divide o ponto de vista do espectador, que, como um leitor de um sistema complexo de signos, não consegue consumir ou reduzir o objeto de sua visão a uma projeção monolítica de si (</w:t>
      </w:r>
      <w:r>
        <w:rPr>
          <w:rFonts w:ascii="Times New Roman" w:hAnsi="Times New Roman" w:cs="Times New Roman" w:eastAsia="Times New Roman"/>
          <w:color w:val="auto"/>
          <w:spacing w:val="0"/>
          <w:position w:val="0"/>
          <w:sz w:val="24"/>
          <w:shd w:fill="auto" w:val="clear"/>
        </w:rPr>
        <w:t xml:space="preserve">1997, </w:t>
      </w:r>
      <w:r>
        <w:rPr>
          <w:rFonts w:ascii="Times New Roman" w:hAnsi="Times New Roman" w:cs="Times New Roman" w:eastAsia="Times New Roman"/>
          <w:color w:val="auto"/>
          <w:spacing w:val="0"/>
          <w:position w:val="0"/>
          <w:sz w:val="20"/>
          <w:shd w:fill="auto" w:val="clear"/>
        </w:rPr>
        <w:t xml:space="preserve">p.53).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39"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posição assumida pela atriz deve ser o da crítica social, ela “não pode se perder na personagem, mas sim demonstrá-la como função de uma particular relação sócio-histórica” (DIAMOND, 1996, p.127). Como cita Rosenfeld, em relação ao ator brechtiano, “ao tomar esta atitude critica em face do personagem, o ator revela dois horizontes de consciência: o dele, narrador, e o do personagem; horizontes em parte entrecruzados e em parte antinômicos” (1985, p.162).</w:t>
      </w:r>
    </w:p>
    <w:p>
      <w:pPr>
        <w:spacing w:before="4" w:after="0" w:line="360"/>
        <w:ind w:right="110"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desta exposição anterior, pode-se propor que este distanciamento, ou melhor, estas contraposições, entre atriz e personagem podem ocorrer durante o espetáculo de diversas formas: por meio de </w:t>
      </w:r>
      <w:r>
        <w:rPr>
          <w:rFonts w:ascii="Times New Roman" w:hAnsi="Times New Roman" w:cs="Times New Roman" w:eastAsia="Times New Roman"/>
          <w:i/>
          <w:color w:val="auto"/>
          <w:spacing w:val="0"/>
          <w:position w:val="0"/>
          <w:sz w:val="24"/>
          <w:shd w:fill="auto" w:val="clear"/>
        </w:rPr>
        <w:t xml:space="preserve">comentário </w:t>
      </w:r>
      <w:r>
        <w:rPr>
          <w:rFonts w:ascii="Times New Roman" w:hAnsi="Times New Roman" w:cs="Times New Roman" w:eastAsia="Times New Roman"/>
          <w:color w:val="auto"/>
          <w:spacing w:val="0"/>
          <w:position w:val="0"/>
          <w:sz w:val="24"/>
          <w:shd w:fill="auto" w:val="clear"/>
        </w:rPr>
        <w:t xml:space="preserve">– a atriz, como sujeito histórico vivo e presente, comenta as ações de sua personagem utilizando a terceira pessoa; por meio da </w:t>
      </w:r>
      <w:r>
        <w:rPr>
          <w:rFonts w:ascii="Times New Roman" w:hAnsi="Times New Roman" w:cs="Times New Roman" w:eastAsia="Times New Roman"/>
          <w:i/>
          <w:color w:val="auto"/>
          <w:spacing w:val="0"/>
          <w:position w:val="0"/>
          <w:sz w:val="24"/>
          <w:shd w:fill="auto" w:val="clear"/>
        </w:rPr>
        <w:t xml:space="preserve">troca de papéis </w:t>
      </w:r>
      <w:r>
        <w:rPr>
          <w:rFonts w:ascii="Times New Roman" w:hAnsi="Times New Roman" w:cs="Times New Roman" w:eastAsia="Times New Roman"/>
          <w:color w:val="auto"/>
          <w:spacing w:val="0"/>
          <w:position w:val="0"/>
          <w:sz w:val="24"/>
          <w:shd w:fill="auto" w:val="clear"/>
        </w:rPr>
        <w:t xml:space="preserve">entre as artistas – ao interpretar outras personagens, a atriz se mantém distanciada de uma única </w:t>
      </w:r>
      <w:r>
        <w:rPr>
          <w:rFonts w:ascii="Times New Roman" w:hAnsi="Times New Roman" w:cs="Times New Roman" w:eastAsia="Times New Roman"/>
          <w:i/>
          <w:color w:val="auto"/>
          <w:spacing w:val="0"/>
          <w:position w:val="0"/>
          <w:sz w:val="24"/>
          <w:shd w:fill="auto" w:val="clear"/>
        </w:rPr>
        <w:t xml:space="preserve">persona</w:t>
      </w:r>
      <w:r>
        <w:rPr>
          <w:rFonts w:ascii="Times New Roman" w:hAnsi="Times New Roman" w:cs="Times New Roman" w:eastAsia="Times New Roman"/>
          <w:color w:val="auto"/>
          <w:spacing w:val="0"/>
          <w:position w:val="0"/>
          <w:sz w:val="24"/>
          <w:shd w:fill="auto" w:val="clear"/>
        </w:rPr>
        <w:t xml:space="preserve">; e, o que serve muito às críticas feministas sobre a “performatividade” do gênero, o</w:t>
      </w:r>
    </w:p>
    <w:p>
      <w:pPr>
        <w:spacing w:before="0" w:after="0" w:line="282"/>
        <w:ind w:right="0" w:left="118" w:firstLine="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travestimento  das  personagens  –  homens  interpretando  mulheres  e  vice-versa</w:t>
      </w:r>
      <w:r>
        <w:rPr>
          <w:rFonts w:ascii="Times New Roman" w:hAnsi="Times New Roman" w:cs="Times New Roman" w:eastAsia="Times New Roman"/>
          <w:color w:val="auto"/>
          <w:spacing w:val="0"/>
          <w:position w:val="11"/>
          <w:sz w:val="16"/>
          <w:shd w:fill="auto" w:val="clear"/>
        </w:rPr>
        <w:t xml:space="preserve">10</w:t>
      </w:r>
      <w:r>
        <w:rPr>
          <w:rFonts w:ascii="Times New Roman" w:hAnsi="Times New Roman" w:cs="Times New Roman" w:eastAsia="Times New Roman"/>
          <w:color w:val="auto"/>
          <w:spacing w:val="0"/>
          <w:position w:val="11"/>
          <w:sz w:val="24"/>
          <w:shd w:fill="auto" w:val="clear"/>
        </w:rPr>
        <w:t xml:space="preserve">.        Para</w:t>
      </w:r>
    </w:p>
    <w:p>
      <w:pPr>
        <w:spacing w:before="137" w:after="0" w:line="240"/>
        <w:ind w:right="0"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Diamond, “a prática feminista que procura expor ou zombar das estruturas de gênero, para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0" w:after="0" w:line="240"/>
        <w:ind w:right="117" w:left="118" w:firstLine="0"/>
        <w:jc w:val="both"/>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10 </w:t>
      </w:r>
      <w:r>
        <w:rPr>
          <w:rFonts w:ascii="Times New Roman" w:hAnsi="Times New Roman" w:cs="Times New Roman" w:eastAsia="Times New Roman"/>
          <w:color w:val="auto"/>
          <w:spacing w:val="0"/>
          <w:position w:val="9"/>
          <w:sz w:val="20"/>
          <w:shd w:fill="auto" w:val="clear"/>
        </w:rPr>
        <w:t xml:space="preserve">A filósofa Judith Butler argumenta em </w:t>
      </w:r>
      <w:r>
        <w:rPr>
          <w:rFonts w:ascii="Times New Roman" w:hAnsi="Times New Roman" w:cs="Times New Roman" w:eastAsia="Times New Roman"/>
          <w:i/>
          <w:color w:val="auto"/>
          <w:spacing w:val="0"/>
          <w:position w:val="9"/>
          <w:sz w:val="20"/>
          <w:shd w:fill="auto" w:val="clear"/>
        </w:rPr>
        <w:t xml:space="preserve">Performative Acts and Gender Constiturion: An Essay in Phenomenology and Feminist Theory</w:t>
      </w:r>
      <w:r>
        <w:rPr>
          <w:rFonts w:ascii="Times New Roman" w:hAnsi="Times New Roman" w:cs="Times New Roman" w:eastAsia="Times New Roman"/>
          <w:color w:val="auto"/>
          <w:spacing w:val="0"/>
          <w:position w:val="9"/>
          <w:sz w:val="20"/>
          <w:shd w:fill="auto" w:val="clear"/>
        </w:rPr>
        <w:t xml:space="preserve">, que o gênero é uma “realização performática”. In: CASE, Sue-Ellen. </w:t>
      </w:r>
      <w:r>
        <w:rPr>
          <w:rFonts w:ascii="Times New Roman" w:hAnsi="Times New Roman" w:cs="Times New Roman" w:eastAsia="Times New Roman"/>
          <w:b/>
          <w:color w:val="auto"/>
          <w:spacing w:val="0"/>
          <w:position w:val="9"/>
          <w:sz w:val="20"/>
          <w:shd w:fill="auto" w:val="clear"/>
        </w:rPr>
        <w:t xml:space="preserve">Performing Feminisms: Feminist Critical Theory and Theatre</w:t>
      </w:r>
      <w:r>
        <w:rPr>
          <w:rFonts w:ascii="Times New Roman" w:hAnsi="Times New Roman" w:cs="Times New Roman" w:eastAsia="Times New Roman"/>
          <w:color w:val="auto"/>
          <w:spacing w:val="0"/>
          <w:position w:val="9"/>
          <w:sz w:val="20"/>
          <w:shd w:fill="auto" w:val="clear"/>
        </w:rPr>
        <w:t xml:space="preserve">. Baltimore: Johns Hopkins University Press, 1990. p. 271.</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4" w:after="0" w:line="360"/>
        <w:ind w:right="116"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revelar gênero como aparência, como o efeito e não a precondição [...] normalmente utiliza uma versão do distanciamento brechtiano” (1997, p. 4). Ao jogar com o travestimento, os valores culturalmente considerados como masculinos ou femininos são expostos como construções sociais e nada mais. Ainda de acordo com Diamond,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2" w:after="0" w:line="240"/>
        <w:ind w:right="112"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Compreender gênero como uma ideologia – como um sistema de crenças e comportamentos, mapeados por meio de corpos de mulheres e homens, que reforça  o </w:t>
      </w:r>
      <w:r>
        <w:rPr>
          <w:rFonts w:ascii="Times New Roman" w:hAnsi="Times New Roman" w:cs="Times New Roman" w:eastAsia="Times New Roman"/>
          <w:i/>
          <w:color w:val="auto"/>
          <w:spacing w:val="0"/>
          <w:position w:val="0"/>
          <w:sz w:val="20"/>
          <w:shd w:fill="auto" w:val="clear"/>
        </w:rPr>
        <w:t xml:space="preserve">status quo </w:t>
      </w:r>
      <w:r>
        <w:rPr>
          <w:rFonts w:ascii="Times New Roman" w:hAnsi="Times New Roman" w:cs="Times New Roman" w:eastAsia="Times New Roman"/>
          <w:color w:val="auto"/>
          <w:spacing w:val="0"/>
          <w:position w:val="0"/>
          <w:sz w:val="20"/>
          <w:shd w:fill="auto" w:val="clear"/>
        </w:rPr>
        <w:t xml:space="preserve">social – é apreciar a continuidade atemporal do </w:t>
      </w:r>
      <w:r>
        <w:rPr>
          <w:rFonts w:ascii="Times New Roman" w:hAnsi="Times New Roman" w:cs="Times New Roman" w:eastAsia="Times New Roman"/>
          <w:i/>
          <w:color w:val="auto"/>
          <w:spacing w:val="0"/>
          <w:position w:val="0"/>
          <w:sz w:val="20"/>
          <w:shd w:fill="auto" w:val="clear"/>
        </w:rPr>
        <w:t xml:space="preserve">Verfremdungseffekt </w:t>
      </w:r>
      <w:r>
        <w:rPr>
          <w:rFonts w:ascii="Times New Roman" w:hAnsi="Times New Roman" w:cs="Times New Roman" w:eastAsia="Times New Roman"/>
          <w:color w:val="auto"/>
          <w:spacing w:val="0"/>
          <w:position w:val="0"/>
          <w:sz w:val="20"/>
          <w:shd w:fill="auto" w:val="clear"/>
        </w:rPr>
        <w:t xml:space="preserve">e o propósito de desnaturalizar e desfamiliarizar o que a ideologia –  e  a performatividade – fazem parecer normal, aceitável, inescapável (1997,</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p.47)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3"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por meio do distanciamento entre atriz e personagem, o espectador enxerga o sujeito histórico – com suas características e atributos físicos. De acordo com  Laughlin (1999), a posição da espectadora, o papel da recepção e a relação com a platéia também foram incorporados na busca de um estilo de atuação feminista e de esforços relacionados a ressaltar a natureza opressiva das distinções de gênero. Para Diamond, quando Brecht afirma que os espectadores devem se tornar historiadores, “ele faz referência tanto ao desapego da espectadora, sua posição crítica, quanto ao fato de que ela está escrevendo sua  própria história, até mesmo enquanto absorve as mensagens vindas do palco” (1997, p.126). Pode-se perceber a formação então, de uma tríade entre atriz-personagem-espectadora que impulsiona, por meio do rompimento da identificação com o sistema ideológico representado, a formação de uma nova história.</w:t>
      </w:r>
    </w:p>
    <w:p>
      <w:pPr>
        <w:spacing w:before="148"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Conclusão</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1"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Refletir sobre Teatro Feminista, hoje, implica considerar os contextos político- históricos que as artistas feministas vivenciavam e procuravam retratar por meio da  linguagem teatral. A partir das décadas examinadas neste estudo, percebe-se que o Teatro Feminista agrupou diversificadas práticas e estéticas, que exprimiam os desejos e as  ideologias políticas e sociais de mulheres artistas, representantes das diferentes correntes que integram o feminismo. As mudanças que ocorreram dentro do movimento feminista, acarretaram a busca destas mulheres, por um teatro político que subvertesse o teatro  dramático tradicional. Para isto, muitas artistas feministas exerceram práticas que subverteram a hierarquia de poder existente no teatro tradicional, em que o domínio do texto e do diretor reinavam.  </w:t>
      </w:r>
    </w:p>
    <w:p>
      <w:pPr>
        <w:spacing w:before="0" w:after="0" w:line="360"/>
        <w:ind w:right="111"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utilizaram  estratégias,  como  o  </w:t>
      </w:r>
      <w:r>
        <w:rPr>
          <w:rFonts w:ascii="Times New Roman" w:hAnsi="Times New Roman" w:cs="Times New Roman" w:eastAsia="Times New Roman"/>
          <w:i/>
          <w:color w:val="auto"/>
          <w:spacing w:val="0"/>
          <w:position w:val="0"/>
          <w:sz w:val="24"/>
          <w:shd w:fill="auto" w:val="clear"/>
        </w:rPr>
        <w:t xml:space="preserve">estranhamento  brechtiano</w:t>
      </w:r>
      <w:r>
        <w:rPr>
          <w:rFonts w:ascii="Times New Roman" w:hAnsi="Times New Roman" w:cs="Times New Roman" w:eastAsia="Times New Roman"/>
          <w:color w:val="auto"/>
          <w:spacing w:val="0"/>
          <w:position w:val="0"/>
          <w:sz w:val="24"/>
          <w:shd w:fill="auto" w:val="clear"/>
        </w:rPr>
        <w:t xml:space="preserve">,  com  o  intuito </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provocarem nas suas espectadoras, uma posição crítica sobre sua realidade e suas experiências.</w:t>
      </w:r>
    </w:p>
    <w:p>
      <w:pPr>
        <w:spacing w:before="0" w:after="0" w:line="360"/>
        <w:ind w:right="111" w:left="118" w:firstLine="707"/>
        <w:jc w:val="both"/>
        <w:rPr>
          <w:rFonts w:ascii="Times New Roman" w:hAnsi="Times New Roman" w:cs="Times New Roman" w:eastAsia="Times New Roman"/>
          <w:color w:val="auto"/>
          <w:spacing w:val="0"/>
          <w:position w:val="0"/>
          <w:sz w:val="24"/>
          <w:shd w:fill="auto" w:val="clear"/>
        </w:rPr>
      </w:pPr>
    </w:p>
    <w:p>
      <w:pPr>
        <w:spacing w:before="6" w:after="0" w:line="360"/>
        <w:ind w:right="114" w:left="118" w:firstLine="7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Discutir o Teatro Feminista, dentro da academia brasileira, não é algo recorrente, visto que existem poucas produções acadêmicas nacionais sobre o tema. Tornar visível, por meio das traduções e exposição histórica e teórica, as práticas teatrais de diversificadas mulheres é necessário para possibilitar a composição de um percurso, de uma história das mulheres no teatro ocidental.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82" w:left="82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Bibliográficas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1" w:after="0" w:line="240"/>
        <w:ind w:right="1079"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ASTON, Elaine. </w:t>
      </w:r>
      <w:r>
        <w:rPr>
          <w:rFonts w:ascii="Times New Roman" w:hAnsi="Times New Roman" w:cs="Times New Roman" w:eastAsia="Times New Roman"/>
          <w:b/>
          <w:color w:val="auto"/>
          <w:spacing w:val="0"/>
          <w:position w:val="0"/>
          <w:sz w:val="24"/>
          <w:shd w:fill="auto" w:val="clear"/>
        </w:rPr>
        <w:t xml:space="preserve">An Introduction to Feminism and Theatre</w:t>
      </w:r>
      <w:r>
        <w:rPr>
          <w:rFonts w:ascii="Times New Roman" w:hAnsi="Times New Roman" w:cs="Times New Roman" w:eastAsia="Times New Roman"/>
          <w:color w:val="auto"/>
          <w:spacing w:val="0"/>
          <w:position w:val="0"/>
          <w:sz w:val="24"/>
          <w:shd w:fill="auto" w:val="clear"/>
        </w:rPr>
        <w:t xml:space="preserve">. Londres/Nova York: Routledge, 1995.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82"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BRECHT, Bertolt. </w:t>
      </w:r>
      <w:r>
        <w:rPr>
          <w:rFonts w:ascii="Times New Roman" w:hAnsi="Times New Roman" w:cs="Times New Roman" w:eastAsia="Times New Roman"/>
          <w:b/>
          <w:color w:val="auto"/>
          <w:spacing w:val="0"/>
          <w:position w:val="0"/>
          <w:sz w:val="24"/>
          <w:shd w:fill="auto" w:val="clear"/>
        </w:rPr>
        <w:t xml:space="preserve">Pequeno Organon para o Teatro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[S. l.]: [s.n.], 1948.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32"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DIAMOND, Elin. Brechtian </w:t>
      </w:r>
      <w:r>
        <w:rPr>
          <w:rFonts w:ascii="Times New Roman" w:hAnsi="Times New Roman" w:cs="Times New Roman" w:eastAsia="Times New Roman"/>
          <w:i/>
          <w:color w:val="auto"/>
          <w:spacing w:val="0"/>
          <w:position w:val="0"/>
          <w:sz w:val="24"/>
          <w:shd w:fill="auto" w:val="clear"/>
        </w:rPr>
        <w:t xml:space="preserve">Thoery/Feminist Theory: Toward a Gestic Feminist Criticism</w:t>
      </w:r>
      <w:r>
        <w:rPr>
          <w:rFonts w:ascii="Times New Roman" w:hAnsi="Times New Roman" w:cs="Times New Roman" w:eastAsia="Times New Roman"/>
          <w:color w:val="auto"/>
          <w:spacing w:val="0"/>
          <w:position w:val="0"/>
          <w:sz w:val="24"/>
          <w:shd w:fill="auto" w:val="clear"/>
        </w:rPr>
        <w:t xml:space="preserve">. In: MARTIN, Carol. </w:t>
      </w:r>
      <w:r>
        <w:rPr>
          <w:rFonts w:ascii="Times New Roman" w:hAnsi="Times New Roman" w:cs="Times New Roman" w:eastAsia="Times New Roman"/>
          <w:b/>
          <w:color w:val="auto"/>
          <w:spacing w:val="0"/>
          <w:position w:val="0"/>
          <w:sz w:val="24"/>
          <w:shd w:fill="auto" w:val="clear"/>
        </w:rPr>
        <w:t xml:space="preserve">A Sourcebook of Feminist Theatre and Performance</w:t>
      </w:r>
      <w:r>
        <w:rPr>
          <w:rFonts w:ascii="Times New Roman" w:hAnsi="Times New Roman" w:cs="Times New Roman" w:eastAsia="Times New Roman"/>
          <w:color w:val="auto"/>
          <w:spacing w:val="0"/>
          <w:position w:val="0"/>
          <w:sz w:val="24"/>
          <w:shd w:fill="auto" w:val="clear"/>
        </w:rPr>
        <w:t xml:space="preserve">: On and Beyond the Stage. Londres/UK: Routledge,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1996.</w:t>
      </w:r>
    </w:p>
    <w:p>
      <w:pPr>
        <w:spacing w:before="11" w:after="0" w:line="240"/>
        <w:ind w:right="0" w:left="0" w:firstLine="0"/>
        <w:jc w:val="left"/>
        <w:rPr>
          <w:rFonts w:ascii="Times New Roman" w:hAnsi="Times New Roman" w:cs="Times New Roman" w:eastAsia="Times New Roman"/>
          <w:color w:val="auto"/>
          <w:spacing w:val="0"/>
          <w:position w:val="0"/>
          <w:sz w:val="17"/>
          <w:shd w:fill="auto" w:val="clear"/>
        </w:rPr>
      </w:pPr>
    </w:p>
    <w:p>
      <w:pPr>
        <w:tabs>
          <w:tab w:val="left" w:pos="1798" w:leader="none"/>
        </w:tabs>
        <w:spacing w:before="69" w:after="0" w:line="240"/>
        <w:ind w:right="72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Unmaking mimesis: </w:t>
      </w:r>
      <w:r>
        <w:rPr>
          <w:rFonts w:ascii="Times New Roman" w:hAnsi="Times New Roman" w:cs="Times New Roman" w:eastAsia="Times New Roman"/>
          <w:color w:val="auto"/>
          <w:spacing w:val="0"/>
          <w:position w:val="0"/>
          <w:sz w:val="24"/>
          <w:shd w:fill="auto" w:val="clear"/>
        </w:rPr>
        <w:t xml:space="preserve">Essays on Feminism and</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Theatre.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Londres/UK: Routledge,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1997.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486"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DOLAN, Jill. </w:t>
      </w:r>
      <w:r>
        <w:rPr>
          <w:rFonts w:ascii="Times New Roman" w:hAnsi="Times New Roman" w:cs="Times New Roman" w:eastAsia="Times New Roman"/>
          <w:b/>
          <w:color w:val="auto"/>
          <w:spacing w:val="0"/>
          <w:position w:val="0"/>
          <w:sz w:val="24"/>
          <w:shd w:fill="auto" w:val="clear"/>
        </w:rPr>
        <w:t xml:space="preserve">The feminist Spectator as Critic</w:t>
      </w:r>
      <w:r>
        <w:rPr>
          <w:rFonts w:ascii="Times New Roman" w:hAnsi="Times New Roman" w:cs="Times New Roman" w:eastAsia="Times New Roman"/>
          <w:color w:val="auto"/>
          <w:spacing w:val="0"/>
          <w:position w:val="0"/>
          <w:sz w:val="24"/>
          <w:shd w:fill="auto" w:val="clear"/>
        </w:rPr>
        <w:t xml:space="preserve">. Michigan: University of Michigan Press, 1991.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41"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ERGAS, Yasmine. </w:t>
      </w:r>
      <w:r>
        <w:rPr>
          <w:rFonts w:ascii="Times New Roman" w:hAnsi="Times New Roman" w:cs="Times New Roman" w:eastAsia="Times New Roman"/>
          <w:i/>
          <w:color w:val="auto"/>
          <w:spacing w:val="0"/>
          <w:position w:val="0"/>
          <w:sz w:val="24"/>
          <w:shd w:fill="auto" w:val="clear"/>
        </w:rPr>
        <w:t xml:space="preserve">O sujeito mulher. O feminismo dos anos 1960-1980</w:t>
      </w:r>
      <w:r>
        <w:rPr>
          <w:rFonts w:ascii="Times New Roman" w:hAnsi="Times New Roman" w:cs="Times New Roman" w:eastAsia="Times New Roman"/>
          <w:color w:val="auto"/>
          <w:spacing w:val="0"/>
          <w:position w:val="0"/>
          <w:sz w:val="24"/>
          <w:shd w:fill="auto" w:val="clear"/>
        </w:rPr>
        <w:t xml:space="preserve">. In: DUBY, Georges, PERROT, Michelle. </w:t>
      </w:r>
      <w:r>
        <w:rPr>
          <w:rFonts w:ascii="Times New Roman" w:hAnsi="Times New Roman" w:cs="Times New Roman" w:eastAsia="Times New Roman"/>
          <w:b/>
          <w:color w:val="auto"/>
          <w:spacing w:val="0"/>
          <w:position w:val="0"/>
          <w:sz w:val="24"/>
          <w:shd w:fill="auto" w:val="clear"/>
        </w:rPr>
        <w:t xml:space="preserve">História das Mulheres no Ocidente</w:t>
      </w:r>
      <w:r>
        <w:rPr>
          <w:rFonts w:ascii="Times New Roman" w:hAnsi="Times New Roman" w:cs="Times New Roman" w:eastAsia="Times New Roman"/>
          <w:i/>
          <w:color w:val="auto"/>
          <w:spacing w:val="0"/>
          <w:position w:val="0"/>
          <w:sz w:val="24"/>
          <w:shd w:fill="auto" w:val="clear"/>
        </w:rPr>
        <w:t xml:space="preserve">. Vol. 5: O século XX</w:t>
      </w:r>
      <w:r>
        <w:rPr>
          <w:rFonts w:ascii="Times New Roman" w:hAnsi="Times New Roman" w:cs="Times New Roman" w:eastAsia="Times New Roman"/>
          <w:color w:val="auto"/>
          <w:spacing w:val="0"/>
          <w:position w:val="0"/>
          <w:sz w:val="24"/>
          <w:shd w:fill="auto" w:val="clear"/>
        </w:rPr>
        <w:t xml:space="preserve">. Trad. Maria Helena da Cruz Coelho, Irene Maria Vaquinhas, Leontina Ventura e Gulhermina Mota. Porto: Edições Afrontamento/ São Paulo: Edabril, 1994.</w:t>
      </w:r>
    </w:p>
    <w:p>
      <w:pPr>
        <w:spacing w:before="9"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134"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FREEDMAN, Barbara. </w:t>
      </w:r>
      <w:r>
        <w:rPr>
          <w:rFonts w:ascii="Times New Roman" w:hAnsi="Times New Roman" w:cs="Times New Roman" w:eastAsia="Times New Roman"/>
          <w:i/>
          <w:color w:val="auto"/>
          <w:spacing w:val="0"/>
          <w:position w:val="0"/>
          <w:sz w:val="24"/>
          <w:shd w:fill="auto" w:val="clear"/>
        </w:rPr>
        <w:t xml:space="preserve">Frame-Up: Feminism, Psychoanalysis, Theatre</w:t>
      </w:r>
      <w:r>
        <w:rPr>
          <w:rFonts w:ascii="Times New Roman" w:hAnsi="Times New Roman" w:cs="Times New Roman" w:eastAsia="Times New Roman"/>
          <w:color w:val="auto"/>
          <w:spacing w:val="0"/>
          <w:position w:val="0"/>
          <w:sz w:val="24"/>
          <w:shd w:fill="auto" w:val="clear"/>
        </w:rPr>
        <w:t xml:space="preserve">. In: CASE, Sue- Ellen. </w:t>
      </w:r>
      <w:r>
        <w:rPr>
          <w:rFonts w:ascii="Times New Roman" w:hAnsi="Times New Roman" w:cs="Times New Roman" w:eastAsia="Times New Roman"/>
          <w:b/>
          <w:color w:val="auto"/>
          <w:spacing w:val="0"/>
          <w:position w:val="0"/>
          <w:sz w:val="24"/>
          <w:shd w:fill="auto" w:val="clear"/>
        </w:rPr>
        <w:t xml:space="preserve">Performing Feminisms</w:t>
      </w:r>
      <w:r>
        <w:rPr>
          <w:rFonts w:ascii="Times New Roman" w:hAnsi="Times New Roman" w:cs="Times New Roman" w:eastAsia="Times New Roman"/>
          <w:color w:val="auto"/>
          <w:spacing w:val="0"/>
          <w:position w:val="0"/>
          <w:sz w:val="24"/>
          <w:shd w:fill="auto" w:val="clear"/>
        </w:rPr>
        <w:t xml:space="preserve">: Feminist Critical Theory and Theatre. Baltimore and London: The Johns Hopkins University Press, 1990.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6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GOODMAN, Lizbeth. </w:t>
      </w:r>
      <w:r>
        <w:rPr>
          <w:rFonts w:ascii="Times New Roman" w:hAnsi="Times New Roman" w:cs="Times New Roman" w:eastAsia="Times New Roman"/>
          <w:b/>
          <w:color w:val="auto"/>
          <w:spacing w:val="0"/>
          <w:position w:val="0"/>
          <w:sz w:val="24"/>
          <w:shd w:fill="auto" w:val="clear"/>
        </w:rPr>
        <w:t xml:space="preserve">Contemporary Feminist Theatres: </w:t>
      </w:r>
      <w:r>
        <w:rPr>
          <w:rFonts w:ascii="Times New Roman" w:hAnsi="Times New Roman" w:cs="Times New Roman" w:eastAsia="Times New Roman"/>
          <w:color w:val="auto"/>
          <w:spacing w:val="0"/>
          <w:position w:val="0"/>
          <w:sz w:val="24"/>
          <w:shd w:fill="auto" w:val="clear"/>
        </w:rPr>
        <w:t xml:space="preserve">To Each Her Own. London: T.J. Press Ltd, 1993.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82"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HART, Linda. </w:t>
      </w:r>
      <w:r>
        <w:rPr>
          <w:rFonts w:ascii="Times New Roman" w:hAnsi="Times New Roman" w:cs="Times New Roman" w:eastAsia="Times New Roman"/>
          <w:b/>
          <w:color w:val="auto"/>
          <w:spacing w:val="0"/>
          <w:position w:val="0"/>
          <w:sz w:val="24"/>
          <w:shd w:fill="auto" w:val="clear"/>
        </w:rPr>
        <w:t xml:space="preserve">Making a Spectacle: </w:t>
      </w:r>
      <w:r>
        <w:rPr>
          <w:rFonts w:ascii="Times New Roman" w:hAnsi="Times New Roman" w:cs="Times New Roman" w:eastAsia="Times New Roman"/>
          <w:color w:val="auto"/>
          <w:spacing w:val="0"/>
          <w:position w:val="0"/>
          <w:sz w:val="24"/>
          <w:shd w:fill="auto" w:val="clear"/>
        </w:rPr>
        <w:t xml:space="preserve">Feminist essays on contemporary Women‟s Theatre. Michigan/USA: University of Michigan Press, 1989.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461" w:left="1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KÄPPELI, Anne-Marie. </w:t>
      </w:r>
      <w:r>
        <w:rPr>
          <w:rFonts w:ascii="Times New Roman" w:hAnsi="Times New Roman" w:cs="Times New Roman" w:eastAsia="Times New Roman"/>
          <w:i/>
          <w:color w:val="auto"/>
          <w:spacing w:val="0"/>
          <w:position w:val="0"/>
          <w:sz w:val="24"/>
          <w:shd w:fill="auto" w:val="clear"/>
        </w:rPr>
        <w:t xml:space="preserve">Cenas feministas</w:t>
      </w:r>
      <w:r>
        <w:rPr>
          <w:rFonts w:ascii="Times New Roman" w:hAnsi="Times New Roman" w:cs="Times New Roman" w:eastAsia="Times New Roman"/>
          <w:color w:val="auto"/>
          <w:spacing w:val="0"/>
          <w:position w:val="0"/>
          <w:sz w:val="24"/>
          <w:shd w:fill="auto" w:val="clear"/>
        </w:rPr>
        <w:t xml:space="preserve">. In: FRAISSE, Geneviève; PERROT, Michelle. </w:t>
      </w:r>
      <w:r>
        <w:rPr>
          <w:rFonts w:ascii="Times New Roman" w:hAnsi="Times New Roman" w:cs="Times New Roman" w:eastAsia="Times New Roman"/>
          <w:b/>
          <w:color w:val="auto"/>
          <w:spacing w:val="0"/>
          <w:position w:val="0"/>
          <w:sz w:val="24"/>
          <w:shd w:fill="auto" w:val="clear"/>
        </w:rPr>
        <w:t xml:space="preserve">História das Mulheres no Ocidente</w:t>
      </w:r>
      <w:r>
        <w:rPr>
          <w:rFonts w:ascii="Times New Roman" w:hAnsi="Times New Roman" w:cs="Times New Roman" w:eastAsia="Times New Roman"/>
          <w:color w:val="auto"/>
          <w:spacing w:val="0"/>
          <w:position w:val="0"/>
          <w:sz w:val="24"/>
          <w:shd w:fill="auto" w:val="clear"/>
        </w:rPr>
        <w:t xml:space="preserve">. Vol.4: O Século XIX. Porto: Edições Afrontamento. São Paulo: EBRADIL, 1991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52" w:after="0" w:line="240"/>
        <w:ind w:right="107"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LAUGHLIN, Karen. </w:t>
      </w:r>
      <w:r>
        <w:rPr>
          <w:rFonts w:ascii="Times New Roman" w:hAnsi="Times New Roman" w:cs="Times New Roman" w:eastAsia="Times New Roman"/>
          <w:i/>
          <w:color w:val="auto"/>
          <w:spacing w:val="0"/>
          <w:position w:val="0"/>
          <w:sz w:val="24"/>
          <w:shd w:fill="auto" w:val="clear"/>
        </w:rPr>
        <w:t xml:space="preserve">Brechtian Theory and American Feminist Theatre. </w:t>
      </w:r>
      <w:r>
        <w:rPr>
          <w:rFonts w:ascii="Times New Roman" w:hAnsi="Times New Roman" w:cs="Times New Roman" w:eastAsia="Times New Roman"/>
          <w:color w:val="auto"/>
          <w:spacing w:val="0"/>
          <w:position w:val="0"/>
          <w:sz w:val="24"/>
          <w:shd w:fill="auto" w:val="clear"/>
        </w:rPr>
        <w:t xml:space="preserve">In: MARTIN, Carol; BIAL, Henry. </w:t>
      </w:r>
      <w:r>
        <w:rPr>
          <w:rFonts w:ascii="Times New Roman" w:hAnsi="Times New Roman" w:cs="Times New Roman" w:eastAsia="Times New Roman"/>
          <w:b/>
          <w:color w:val="auto"/>
          <w:spacing w:val="0"/>
          <w:position w:val="0"/>
          <w:sz w:val="24"/>
          <w:shd w:fill="auto" w:val="clear"/>
        </w:rPr>
        <w:t xml:space="preserve">Brecht Sourcebook</w:t>
      </w:r>
      <w:r>
        <w:rPr>
          <w:rFonts w:ascii="Times New Roman" w:hAnsi="Times New Roman" w:cs="Times New Roman" w:eastAsia="Times New Roman"/>
          <w:color w:val="auto"/>
          <w:spacing w:val="0"/>
          <w:position w:val="0"/>
          <w:sz w:val="24"/>
          <w:shd w:fill="auto" w:val="clear"/>
        </w:rPr>
        <w:t xml:space="preserve">: A critical anthology. Londres/Nova York: Routledge, 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92"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MALNIG, Julie, ROSENTHAL, Judy C. </w:t>
      </w:r>
      <w:r>
        <w:rPr>
          <w:rFonts w:ascii="Times New Roman" w:hAnsi="Times New Roman" w:cs="Times New Roman" w:eastAsia="Times New Roman"/>
          <w:i/>
          <w:color w:val="auto"/>
          <w:spacing w:val="0"/>
          <w:position w:val="0"/>
          <w:sz w:val="24"/>
          <w:shd w:fill="auto" w:val="clear"/>
        </w:rPr>
        <w:t xml:space="preserve">The Women´s Experimental Theatre: Transforming Family Stories into Feminist Questions</w:t>
      </w:r>
      <w:r>
        <w:rPr>
          <w:rFonts w:ascii="Times New Roman" w:hAnsi="Times New Roman" w:cs="Times New Roman" w:eastAsia="Times New Roman"/>
          <w:color w:val="auto"/>
          <w:spacing w:val="0"/>
          <w:position w:val="0"/>
          <w:sz w:val="24"/>
          <w:shd w:fill="auto" w:val="clear"/>
        </w:rPr>
        <w:t xml:space="preserve">. In: HART, Lynda and PHELAN, Peggy. </w:t>
      </w:r>
      <w:r>
        <w:rPr>
          <w:rFonts w:ascii="Times New Roman" w:hAnsi="Times New Roman" w:cs="Times New Roman" w:eastAsia="Times New Roman"/>
          <w:b/>
          <w:color w:val="auto"/>
          <w:spacing w:val="0"/>
          <w:position w:val="0"/>
          <w:sz w:val="24"/>
          <w:shd w:fill="auto" w:val="clear"/>
        </w:rPr>
        <w:t xml:space="preserve">Acting out: feminist performances. </w:t>
      </w:r>
      <w:r>
        <w:rPr>
          <w:rFonts w:ascii="Times New Roman" w:hAnsi="Times New Roman" w:cs="Times New Roman" w:eastAsia="Times New Roman"/>
          <w:color w:val="auto"/>
          <w:spacing w:val="0"/>
          <w:position w:val="0"/>
          <w:sz w:val="24"/>
          <w:shd w:fill="auto" w:val="clear"/>
        </w:rPr>
        <w:t xml:space="preserve">USA: University of Michigan Press, 1996.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6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MIRANDA, Maria Brígida de. </w:t>
      </w:r>
      <w:r>
        <w:rPr>
          <w:rFonts w:ascii="Times New Roman" w:hAnsi="Times New Roman" w:cs="Times New Roman" w:eastAsia="Times New Roman"/>
          <w:b/>
          <w:color w:val="auto"/>
          <w:spacing w:val="0"/>
          <w:position w:val="0"/>
          <w:sz w:val="24"/>
          <w:shd w:fill="auto" w:val="clear"/>
        </w:rPr>
        <w:t xml:space="preserve">Playful Training</w:t>
      </w:r>
      <w:r>
        <w:rPr>
          <w:rFonts w:ascii="Times New Roman" w:hAnsi="Times New Roman" w:cs="Times New Roman" w:eastAsia="Times New Roman"/>
          <w:color w:val="auto"/>
          <w:spacing w:val="0"/>
          <w:position w:val="0"/>
          <w:sz w:val="24"/>
          <w:shd w:fill="auto" w:val="clear"/>
        </w:rPr>
        <w:t xml:space="preserve">: Towards capoeira in the physical training of actors. La Trobe University, Australia: 2003.</w:t>
      </w:r>
    </w:p>
    <w:p>
      <w:pPr>
        <w:spacing w:before="11" w:after="0" w:line="240"/>
        <w:ind w:right="0" w:left="0" w:firstLine="0"/>
        <w:jc w:val="left"/>
        <w:rPr>
          <w:rFonts w:ascii="Times New Roman" w:hAnsi="Times New Roman" w:cs="Times New Roman" w:eastAsia="Times New Roman"/>
          <w:color w:val="auto"/>
          <w:spacing w:val="0"/>
          <w:position w:val="0"/>
          <w:sz w:val="17"/>
          <w:shd w:fill="auto" w:val="clear"/>
        </w:rPr>
      </w:pPr>
    </w:p>
    <w:p>
      <w:pPr>
        <w:tabs>
          <w:tab w:val="left" w:pos="3118" w:leader="none"/>
        </w:tabs>
        <w:spacing w:before="69" w:after="0" w:line="240"/>
        <w:ind w:right="129"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Quem tem medo do Teatro Feminista? A</w:t>
      </w:r>
      <w:r>
        <w:rPr>
          <w:rFonts w:ascii="Times New Roman" w:hAnsi="Times New Roman" w:cs="Times New Roman" w:eastAsia="Times New Roman"/>
          <w:b/>
          <w:color w:val="auto"/>
          <w:spacing w:val="-1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experiência</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 </w:t>
      </w:r>
      <w:r>
        <w:rPr>
          <w:rFonts w:ascii="Times New Roman" w:hAnsi="Times New Roman" w:cs="Times New Roman" w:eastAsia="Times New Roman"/>
          <w:b/>
          <w:i/>
          <w:color w:val="auto"/>
          <w:spacing w:val="0"/>
          <w:position w:val="0"/>
          <w:sz w:val="24"/>
          <w:shd w:fill="auto" w:val="clear"/>
        </w:rPr>
        <w:t xml:space="preserve">Vinegar Tom</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 pesquisa à sala de aula. Blumenau: Anais da I Jornada Latino-americana de Estudos Teatrais,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27"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NYE, Andrea. </w:t>
      </w:r>
      <w:r>
        <w:rPr>
          <w:rFonts w:ascii="Times New Roman" w:hAnsi="Times New Roman" w:cs="Times New Roman" w:eastAsia="Times New Roman"/>
          <w:b/>
          <w:color w:val="auto"/>
          <w:spacing w:val="0"/>
          <w:position w:val="0"/>
          <w:sz w:val="24"/>
          <w:shd w:fill="auto" w:val="clear"/>
        </w:rPr>
        <w:t xml:space="preserve">Teoria feminista e as filosofias do homem</w:t>
      </w:r>
      <w:r>
        <w:rPr>
          <w:rFonts w:ascii="Times New Roman" w:hAnsi="Times New Roman" w:cs="Times New Roman" w:eastAsia="Times New Roman"/>
          <w:color w:val="auto"/>
          <w:spacing w:val="0"/>
          <w:position w:val="0"/>
          <w:sz w:val="24"/>
          <w:shd w:fill="auto" w:val="clear"/>
        </w:rPr>
        <w:t xml:space="preserve">. Trad. Nathanael C. Caixeiro. Rio de Janeiro: Rosa dos Tempos, 1995.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07"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PAVIS, Patrice. </w:t>
      </w:r>
      <w:r>
        <w:rPr>
          <w:rFonts w:ascii="Times New Roman" w:hAnsi="Times New Roman" w:cs="Times New Roman" w:eastAsia="Times New Roman"/>
          <w:b/>
          <w:color w:val="auto"/>
          <w:spacing w:val="0"/>
          <w:position w:val="0"/>
          <w:sz w:val="24"/>
          <w:shd w:fill="auto" w:val="clear"/>
        </w:rPr>
        <w:t xml:space="preserve">Dicionário de Teatro. </w:t>
      </w:r>
      <w:r>
        <w:rPr>
          <w:rFonts w:ascii="Times New Roman" w:hAnsi="Times New Roman" w:cs="Times New Roman" w:eastAsia="Times New Roman"/>
          <w:color w:val="auto"/>
          <w:spacing w:val="0"/>
          <w:position w:val="0"/>
          <w:sz w:val="24"/>
          <w:shd w:fill="auto" w:val="clear"/>
        </w:rPr>
        <w:t xml:space="preserve">SP. Perspectiva: 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548"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REINELT, Janelle. </w:t>
      </w:r>
      <w:r>
        <w:rPr>
          <w:rFonts w:ascii="Times New Roman" w:hAnsi="Times New Roman" w:cs="Times New Roman" w:eastAsia="Times New Roman"/>
          <w:i/>
          <w:color w:val="auto"/>
          <w:spacing w:val="0"/>
          <w:position w:val="0"/>
          <w:sz w:val="24"/>
          <w:shd w:fill="auto" w:val="clear"/>
        </w:rPr>
        <w:t xml:space="preserve">Beyond Brecht: Britain's New Feminist Drama</w:t>
      </w:r>
      <w:r>
        <w:rPr>
          <w:rFonts w:ascii="Times New Roman" w:hAnsi="Times New Roman" w:cs="Times New Roman" w:eastAsia="Times New Roman"/>
          <w:color w:val="auto"/>
          <w:spacing w:val="0"/>
          <w:position w:val="0"/>
          <w:sz w:val="24"/>
          <w:shd w:fill="auto" w:val="clear"/>
        </w:rPr>
        <w:t xml:space="preserve">. In: CASE, Sua-Ellen (org.). </w:t>
      </w:r>
      <w:r>
        <w:rPr>
          <w:rFonts w:ascii="Times New Roman" w:hAnsi="Times New Roman" w:cs="Times New Roman" w:eastAsia="Times New Roman"/>
          <w:b/>
          <w:color w:val="auto"/>
          <w:spacing w:val="0"/>
          <w:position w:val="0"/>
          <w:sz w:val="24"/>
          <w:shd w:fill="auto" w:val="clear"/>
        </w:rPr>
        <w:t xml:space="preserve">Performing feminisms: feminist critical theory and theatre</w:t>
      </w:r>
      <w:r>
        <w:rPr>
          <w:rFonts w:ascii="Times New Roman" w:hAnsi="Times New Roman" w:cs="Times New Roman" w:eastAsia="Times New Roman"/>
          <w:color w:val="auto"/>
          <w:spacing w:val="0"/>
          <w:position w:val="0"/>
          <w:sz w:val="24"/>
          <w:shd w:fill="auto" w:val="clear"/>
        </w:rPr>
        <w:t xml:space="preserve">. Baltimore: John Hopkins Univ. Press, 1990.</w:t>
      </w:r>
    </w:p>
    <w:p>
      <w:pPr>
        <w:spacing w:before="11" w:after="0" w:line="240"/>
        <w:ind w:right="0" w:left="0" w:firstLine="0"/>
        <w:jc w:val="left"/>
        <w:rPr>
          <w:rFonts w:ascii="Times New Roman" w:hAnsi="Times New Roman" w:cs="Times New Roman" w:eastAsia="Times New Roman"/>
          <w:color w:val="auto"/>
          <w:spacing w:val="0"/>
          <w:position w:val="0"/>
          <w:sz w:val="17"/>
          <w:shd w:fill="auto" w:val="clear"/>
        </w:rPr>
      </w:pPr>
    </w:p>
    <w:p>
      <w:pPr>
        <w:tabs>
          <w:tab w:val="left" w:pos="1918" w:leader="none"/>
        </w:tabs>
        <w:spacing w:before="69" w:after="0" w:line="240"/>
        <w:ind w:right="383"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After Brecht: </w:t>
      </w:r>
      <w:r>
        <w:rPr>
          <w:rFonts w:ascii="Times New Roman" w:hAnsi="Times New Roman" w:cs="Times New Roman" w:eastAsia="Times New Roman"/>
          <w:color w:val="auto"/>
          <w:spacing w:val="0"/>
          <w:position w:val="0"/>
          <w:sz w:val="24"/>
          <w:shd w:fill="auto" w:val="clear"/>
        </w:rPr>
        <w:t xml:space="preserve">British Epic Theatre. Michigan/USA: The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University</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of Michigan Press, 1996.</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07"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ROSENFELD, Anatol. </w:t>
      </w:r>
      <w:r>
        <w:rPr>
          <w:rFonts w:ascii="Times New Roman" w:hAnsi="Times New Roman" w:cs="Times New Roman" w:eastAsia="Times New Roman"/>
          <w:b/>
          <w:color w:val="auto"/>
          <w:spacing w:val="0"/>
          <w:position w:val="0"/>
          <w:sz w:val="24"/>
          <w:shd w:fill="auto" w:val="clear"/>
        </w:rPr>
        <w:t xml:space="preserve">O Teatro Épico</w:t>
      </w:r>
      <w:r>
        <w:rPr>
          <w:rFonts w:ascii="Times New Roman" w:hAnsi="Times New Roman" w:cs="Times New Roman" w:eastAsia="Times New Roman"/>
          <w:color w:val="auto"/>
          <w:spacing w:val="0"/>
          <w:position w:val="0"/>
          <w:sz w:val="24"/>
          <w:shd w:fill="auto" w:val="clear"/>
        </w:rPr>
        <w:t xml:space="preserve">. São Paulo: Perspectiva, 2006.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74"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VICENZO, Elza Cunha de. </w:t>
      </w:r>
      <w:r>
        <w:rPr>
          <w:rFonts w:ascii="Times New Roman" w:hAnsi="Times New Roman" w:cs="Times New Roman" w:eastAsia="Times New Roman"/>
          <w:b/>
          <w:color w:val="auto"/>
          <w:spacing w:val="0"/>
          <w:position w:val="0"/>
          <w:sz w:val="24"/>
          <w:shd w:fill="auto" w:val="clear"/>
        </w:rPr>
        <w:t xml:space="preserve">Um teatro da mulher: </w:t>
      </w:r>
      <w:r>
        <w:rPr>
          <w:rFonts w:ascii="Times New Roman" w:hAnsi="Times New Roman" w:cs="Times New Roman" w:eastAsia="Times New Roman"/>
          <w:color w:val="auto"/>
          <w:spacing w:val="0"/>
          <w:position w:val="0"/>
          <w:sz w:val="24"/>
          <w:shd w:fill="auto" w:val="clear"/>
        </w:rPr>
        <w:t xml:space="preserve">dramaturgia feminina no palco brasileiro contemporâneo. São Paulo: Perspectiva: Editora da Universidade de São Paulo, 1992.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580" w:left="11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WILLET, John. </w:t>
      </w:r>
      <w:r>
        <w:rPr>
          <w:rFonts w:ascii="Times New Roman" w:hAnsi="Times New Roman" w:cs="Times New Roman" w:eastAsia="Times New Roman"/>
          <w:b/>
          <w:color w:val="auto"/>
          <w:spacing w:val="0"/>
          <w:position w:val="0"/>
          <w:sz w:val="24"/>
          <w:shd w:fill="auto" w:val="clear"/>
        </w:rPr>
        <w:t xml:space="preserve">O teatro de Brecht visto de oito aspectos</w:t>
      </w:r>
      <w:r>
        <w:rPr>
          <w:rFonts w:ascii="Times New Roman" w:hAnsi="Times New Roman" w:cs="Times New Roman" w:eastAsia="Times New Roman"/>
          <w:color w:val="auto"/>
          <w:spacing w:val="0"/>
          <w:position w:val="0"/>
          <w:sz w:val="24"/>
          <w:shd w:fill="auto" w:val="clear"/>
        </w:rPr>
        <w:t xml:space="preserve">. Trad. Álvaro Cabral. Rio de Janeiro: ZAHAR EDITORES, 1967.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Discutido as relações de Gênero em Rio Grande - Mulheres e Movimento Operário na República Velha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Sabrina Meirelles Macedo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Universidade Federal do Rio Grande (FURG)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 Prof. Dr. Daniel Porciúncula Prado</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presente artigo surgiu de leituras e discussões realizadas durante minha formação acadêmica, que foram se intensificando e tomando corpo, à medida que despertava curiosidade e surgiam indagações, vindo a ser tema de minha monografia no curso de pós-graduação (Especialização) em História do Rio Grande do Sul, pela Universidade Federal de Rio Grande, RS.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foco principal desta pesquisa foi discutir as relações de gênero travadas dentro do movimento operário, mas especificamente na cidade de Rio Grande durante a República Velha, em um momento histórico em que a sociedade rio-grandense era regida pela ideologia positivista, adotando no estado um caráter autoritário e conservador, onde os papéis dos indivíduos estavam previamente estabelecidos. A cidade de Rio Grande desempenhou um importante papel no processo de industrialização do Rio Grande do Sul na República Velha, vivenciando uma industrialização precoce nas décadas de oitenta e noventa do século XIX.</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Embora haja uma gama de trabalhos sobre o movimento operário gaúcho na República Velha muito pouco ainda se tem abordado sobre a participação feminina. Sendo a mão-de-obra feminina largamente usada nas indústrias brasileiras e da mesma forma nas indústrias gaúchas, surge a questão: se as mulheres representavam uma parcela significativa do operariado industrial, principalmente nos setores têxtil e alimentício, qual o papel que ocupavam no movimento operário de então? Inicialmente as mulheres nos são apresentadas como sujeitos passivos, sem expressividade política, apenas submetidas a liderança do elemento masculino.Mas a medida que buscamos suas pistas podemos perceber que as operárias não atuaram apenas na produção industrial, mas que participaram também, mesmo que em menor grau,do movimento operário gaúcho.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documentos de uma forma em geral silenciam quando a militância das operárias rio-grandinas, refletindo assim a mentalidade da época, moldada pelo discurso burguês, onde a mulher era delegada ao espaço privado, à sombra e sob a tutela do homem.</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pesquisa traz a tona ainda uma contradição entre os discursos socialista e anarquista, as correntes ideológicas mais influentes do movimento operário gaúcho no período analisado, demonstrando que embora o discurso conservador emanasse das classes dominantes acabava por perpassar e se fazer presente nos demais grupos sociais.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presente artigo tem por objetivo discutir as relações de gênero travadas dentro no movimento operário nos primórdios da República Velha, mais especificamente na cidade de Rio Grande, no Rio Grande do Sul, nas primeiras décadas da República. Visa abordar qual o papel ocupado pelas mulheres em uma sociedade conservadora, norteada por rígidos padrões de conduta, que embora emanassem das classes dominantes ecoavam nos demais grupos sociais. Busca compreender as relações vividas por homens e mulheres na sociedade industrial, tentando revelar quais os lugares ocupados pelas trabalhadoras rio-grandinas, bem como perceber como eram encaradas por seus companheiros de trabalho e militância e pela sociedade em geral.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se foi realizada a partir de uma revisão bibliográfica, em trabalhos que abordaram a questão do movimento operário brasileiro,e mais especificamente o movimento operário no Rio Grande do Sul, sendo feito um levantamento de dados e fontes a respeito do tema. Além disso foi realizada uma breve discussão teórica a respeito de gênero e historiografia, bem como sobre o ideário da mulher no período abordado.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 então foram utilizadas fontes escritas, mais precisamente jornais, operários ou não, estatutos de sindicatos e programas de órgãos representativos da classe operária e partidos políticos.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História, Mulheres e Gênero</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tabs>
          <w:tab w:val="left" w:pos="6120" w:leader="none"/>
        </w:tabs>
        <w:spacing w:before="0" w:after="0" w:line="360"/>
        <w:ind w:right="-703" w:left="0" w:firstLine="0"/>
        <w:jc w:val="both"/>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Pode-se dizer que a historiografia durante muito tempo foi predominantemente masculina. As mulheres pouco apareciam na História, e quando o faziam geralmente estavam vinculadas aos homens, e subordinadas em seu espaço privado. De acordo com a historiadora Michelle Perrot o relato histórico por muitas vezes deixou as mulheres fora de suas páginas, onde a História se configurou enquanto: “O ‘ofício do historiador’ é um oficio de homens que escrevem no masculino. Os campos que abordam são os da ação e do poder masculinos, mesmo quando anexam novos territórios”.</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(PERROT, 1988). </w:t>
      </w:r>
    </w:p>
    <w:p>
      <w:pPr>
        <w:tabs>
          <w:tab w:val="left" w:pos="6120" w:leader="none"/>
        </w:tabs>
        <w:spacing w:before="0" w:after="0" w:line="360"/>
        <w:ind w:right="-70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Campos nos quais as mulheres na maioria das vezes foram proibidas de transitar, ou até mesmo apagadas as marcas e memórias daquelas que ousaram quebrar seus papéis socialmente construídos e pré-estabelecidos, já no seu nascimento, como o político e o econômico. Segundo Perrot o positivismo foi um dos grandes responsáveis pelo desaparecimento das mulheres da historiografia, pois privilegiava os grandes vultos, em sua imensa maioria, homens. Predominavam as fontes administrativas, militares e diplomáticas, onde as mulheres pouco ou sequer apareciam. Sendo econômica, ignora a mulher improdutiva; social, privilegia as classes e negligencia os sexos. Cultural ela fala do Homem, universal, assexuado. (PERROT, 1988).  Enfim, há na historiografia tradicional um grande vazio quando se busca encontrar as mulheres, não apenas o sujeito, mas sim o agente histórico, autônomo e dono de suas ações. Silêncio este imposto às mulheres há séculos, e nas palavras de Perrot, é um “mandamento reiterado pelas religiões, pelos sistemas políticos e pelos manuais de comportamento.” Escrevendo sobre tal silêncio a historiadora se refere assim á História:</w:t>
      </w:r>
    </w:p>
    <w:p>
      <w:pPr>
        <w:tabs>
          <w:tab w:val="left" w:pos="6120" w:leader="none"/>
        </w:tabs>
        <w:spacing w:before="0" w:after="0" w:line="360"/>
        <w:ind w:right="-703" w:left="2160" w:firstLine="0"/>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360"/>
        <w:ind w:right="-703" w:left="21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Subsistem, no entanto, muitas zonas mudas, e no que se refere ao passado, um oceano de silêncio, ligado à partilha desigual dos traços, da memória, e ainda mais, da História, este relato que, por muito tempo, “esqueceu” as mulheres, como se, por serem destinadas à obscuridade da reprodução, inenarrável, elas estivessem fora do tempo, ou ao menos, fora do acontecimento. (PERROT, 2005, p.9).   </w:t>
      </w:r>
    </w:p>
    <w:p>
      <w:pPr>
        <w:tabs>
          <w:tab w:val="left" w:pos="6120" w:leader="none"/>
        </w:tabs>
        <w:spacing w:before="0" w:after="0" w:line="360"/>
        <w:ind w:right="-703" w:left="2160" w:firstLine="180"/>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360"/>
        <w:ind w:right="-703"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No entanto, este quadro está se transformando. Segundo Peter Burke, “o universo dos historiadores se expandiu a uma velocidade vertiginosa.” (BURKE, 1992) Já há muitos estudos que buscam resgatar os “excluídos da história”, nas palavras de Perrot, entre eles, as mulheres. SegundoRachel Soihet, nas últimas décadas do século XX, à História vem sendo incorporada novas temáticas e grupos sociais até então deixados de fora do  relato histórico, contribuindo assim para o desenvolvimento de estudos sobre as mulheres. (SOIHET, 1997). Ao se pluralizarem os objetos da pesquisa histórica as mulheres foram alçadas à condição de objeto e sujeito da história. “Mulheres” e não “mulher”, pois elas são muitas e diversas: a burguesa, a negra, a pobre, a mãe, a prostituta, a operária. Diversas em sua condição social, etnia, crenças religiosas, diferentes trajetórias. Por isto, o mais correto é abordarmos a “história das mulheres”, e não da “mulher”, como se fosse uma categoria universal. </w:t>
      </w:r>
    </w:p>
    <w:p>
      <w:pPr>
        <w:tabs>
          <w:tab w:val="left" w:pos="6120" w:leader="none"/>
        </w:tabs>
        <w:spacing w:before="0" w:after="0" w:line="360"/>
        <w:ind w:right="-702"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antes desta inovação alguns historiadores desenvolveram alguns estudos sobre as mulheres. Como por exemplo, Jules Michelet, que no século XIX enfocava o estudo das mulheres, embora a identificando com o privado, com a natureza, em harmonia com o pensamento dominante de sua época. </w:t>
      </w:r>
    </w:p>
    <w:p>
      <w:pPr>
        <w:tabs>
          <w:tab w:val="left" w:pos="6120" w:leader="none"/>
        </w:tabs>
        <w:spacing w:before="0" w:after="0" w:line="360"/>
        <w:ind w:right="-702"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Soihet Michelet via nas relações dos sexos um dos motores da História. (SOIHET, 1997). As mudanças na academia quanto ao surgimento de novas abordagens sociológicas e historiográficas foram acompanhadas de transformações sociais. A onda do movimento feminista que tomou vulto a partir dos anos 60 nos Estados Unidos contribuiu para o surgimento da história das mulheres, que passou a demandar informações dos acadêmicos sobre as questões que estavam sendo discutidas. Concomitantemente, os docentes mobilizaram-se, criando cursos nas universidades dedicados ao estudo das mulheres. Devido a essa pressão a partir de 1973 as universidades francesas criaram cursos, colóquios e grupos de reflexão sobre a temática feminina. Multiplicaram-se pesquisas e a história das mulheres tornou-se um campo relativamente reconhecido em nível institucional. (SOIHET, 1997).        </w:t>
      </w:r>
    </w:p>
    <w:p>
      <w:pPr>
        <w:tabs>
          <w:tab w:val="left" w:pos="6120" w:leader="none"/>
        </w:tabs>
        <w:spacing w:before="0" w:after="0" w:line="360"/>
        <w:ind w:right="-703"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dos anos 70 tais estudos se propagam a outras partes da Europa e do mundo, inclusive chegando ao Brasil, acompanhados também dos movimentos feministas, na chamada segunda onda. Mas foi no final dos anos oitenta e decorrer dos anos noventa que estes movimentos ganharam força, com novas práticas de atuação e inserção social. Outros movimentos populares, também renovaram as práticas sindicais, e o diálogo entre organizações sindicais e tais movimentos levou à importantes inovações nas práticas de resistência dos trabalhadores, resultando, ainda que com certa resistência, as discussões de gênero para suas pautas.</w:t>
      </w:r>
    </w:p>
    <w:p>
      <w:pPr>
        <w:tabs>
          <w:tab w:val="left" w:pos="6120" w:leader="none"/>
        </w:tabs>
        <w:spacing w:before="0" w:after="0" w:line="360"/>
        <w:ind w:right="-703"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Esses movimentos iniciaram assim profundas mudanças nas relações de gênero, pois passaram a questionar os papéis estabelecidos pela sociedade quanto àquilo que era próprio para mulheres e homens. Também passaram a reivindicar igualdade de tratamento e espaço social para as mulheres. Estes movimentos, assim como outros movimentos populares, também renovaram as práticas sindicais, e o diálogo estabelecido entre organizações sindicais e tais movimentos levou à importantes inovações nas práticas de resistência dos trabalhadores, resultando,  ainda que com certa resistência, na inserção das discussões de gênero para suas pautas.</w:t>
      </w:r>
    </w:p>
    <w:p>
      <w:pPr>
        <w:tabs>
          <w:tab w:val="left" w:pos="6120" w:leader="none"/>
        </w:tabs>
        <w:spacing w:before="0" w:after="0" w:line="360"/>
        <w:ind w:right="-702"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Soihet o surgimento da história das mulheres não só acompanhou os movimentos feministas, como envolveu a expansão dos limites da história. Firmou-se assim o antagonismo homem versus mulher favorecendo uma importante mobilização política. A construção de uma identidade coletiva a partir da categoria “mulher” passou a ser questionada a partir da percepção de diferenças políticas e sociais no meio do movimento feminista, visto serem diferentes “mulheres” e não uma figura universal. Desta forma a “diferença” passou a ser introduzida como um problema a ser analisado.</w:t>
      </w:r>
    </w:p>
    <w:p>
      <w:pPr>
        <w:tabs>
          <w:tab w:val="left" w:pos="6120" w:leader="none"/>
        </w:tabs>
        <w:spacing w:before="0" w:after="0" w:line="360"/>
        <w:ind w:right="-702"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enfoque na diferença acabou derrubando antigos pressupostos norteadores das ciências humanas, demonstrando que o sujeito da história não era uma figura universal, desta maneira alargando o campo de visão da História. (SOIHET, 1997).   </w:t>
      </w:r>
    </w:p>
    <w:p>
      <w:pPr>
        <w:tabs>
          <w:tab w:val="left" w:pos="6120" w:leader="none"/>
        </w:tabs>
        <w:spacing w:before="0" w:after="0" w:line="360"/>
        <w:ind w:right="-703"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 termo gênero desde a década de 1970 tem sido usado para teorizar a questão da diferença sexual. Segundo Soihet, a palavra indica uma rejeição ao determinismo biológico implícito no uso de termos como “sexo” ou “diferença sexual”. O gênero se torna assim uma maneira de indicar as construções sociais, ou seja, a criação social de papéis próprios aos homens e às mulheres. Sublinha ainda uma relação condicional entre homens e mulheres, onde nenhum dos dois pode ser compreendido se analisados em separado. Abarca ainda a necessidade de articulação entre gênero e demais categorias, como raça e classe social. (SOIHET,1997). No Brasil o termo gênero começou a se usado por estudiosas (os) no final dos anos oitenta. Os estudos das feministas tinham por objetivo inicial resgatar as mulheres na História, não apenas como coadjuvantes, mas como protagonistas do processo histórico. </w:t>
      </w:r>
    </w:p>
    <w:p>
      <w:pPr>
        <w:tabs>
          <w:tab w:val="left" w:pos="6120" w:leader="none"/>
        </w:tabs>
        <w:spacing w:before="0" w:after="0" w:line="360"/>
        <w:ind w:right="-702"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assim, gênero neste trabalho é usado como categoria de análise, e entendido como uma construção social de papéis diferenciados, para homens e mulheres, partindo da idéia de que a desigualdade entre homens e mulheres é socialmente construída. (PETERSEN, 2001). A partir de padrões impostos pela sociedade, são estabelecidos gestos e práticas próprias para cada gênero, ou seja, o que é próprio para os homens e para as mulheres, variando com o período e com o contexto social. E o sujeito histórico de que este trabalho tem por objetivo tratar são as mulheres trabalhadoras, principalmente as operárias, nos anos inicias da República Velha, mais precisamente na cidade gaúcha de Rio Grande. </w:t>
      </w:r>
    </w:p>
    <w:p>
      <w:pPr>
        <w:tabs>
          <w:tab w:val="left" w:pos="6120" w:leader="none"/>
        </w:tabs>
        <w:spacing w:before="0" w:after="0" w:line="360"/>
        <w:ind w:right="-702" w:left="0" w:firstLine="709"/>
        <w:jc w:val="both"/>
        <w:rPr>
          <w:rFonts w:ascii="Times New Roman" w:hAnsi="Times New Roman" w:cs="Times New Roman" w:eastAsia="Times New Roman"/>
          <w:b/>
          <w:color w:val="auto"/>
          <w:spacing w:val="0"/>
          <w:position w:val="0"/>
          <w:sz w:val="24"/>
          <w:shd w:fill="auto" w:val="clear"/>
        </w:rPr>
      </w:pPr>
    </w:p>
    <w:p>
      <w:pPr>
        <w:tabs>
          <w:tab w:val="left" w:pos="6120" w:leader="none"/>
        </w:tabs>
        <w:spacing w:before="0" w:after="0" w:line="360"/>
        <w:ind w:right="-702"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ideário feminino na República Velha</w:t>
      </w:r>
    </w:p>
    <w:p>
      <w:pPr>
        <w:tabs>
          <w:tab w:val="left" w:pos="6120" w:leader="none"/>
        </w:tabs>
        <w:spacing w:before="0" w:after="0" w:line="360"/>
        <w:ind w:right="-702"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República Velha no Rio Grande do Sul foi fortemente marcada pelo ideário positivista comteano, que assumiu no estado um caráter peculiar. A doutrina positivista não foi simplesmente transposta pelos ideólogos do sistema republicano no Rio Grande do Sul, mas como ocorre na maioria das trocas de saberes e viveres, a doutrina positivista de Auguto Comte sofreu influências do meio no qual se inseriu, apresentando adaptações e especificidades próprias da sociedade e dos indivíduos pelos quais foi empregada. No Rio Grande do Sul o ideário positivista assumiu um caráter mais acentuadamente autoritário e personalista, calcado na figura de Júlio de Castilhos, dirigente do Partido Republicano Rio-Grandense (PRR), e mais tarde na de seu sucessor Borges de Medeiros, que se manteve no poder até a década de 1930, exercendo uma forte influência nos mais variados setores da sociedade.</w:t>
      </w:r>
    </w:p>
    <w:p>
      <w:pPr>
        <w:tabs>
          <w:tab w:val="left" w:pos="6120" w:leader="none"/>
        </w:tabs>
        <w:spacing w:before="0" w:after="0" w:line="360"/>
        <w:ind w:right="-702"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Clarisse Ismério a partir do ideário positivista foi construída uma imagem feminina particular, onde a mulher foi delegada ao lar, ao privado, objetivando-se o bom funcionamento e ordenamento da sociedade, visto que a família é uma pequena parcela desta. O discurso positivista referente à mulher é impregnado de conservadorismo e arquétipos de pureza e santidade, onde o papel definido para a mulher é o de mantenedora da moral, </w:t>
      </w:r>
      <w:r>
        <w:rPr>
          <w:rFonts w:ascii="Times New Roman" w:hAnsi="Times New Roman" w:cs="Times New Roman" w:eastAsia="Times New Roman"/>
          <w:i/>
          <w:color w:val="auto"/>
          <w:spacing w:val="0"/>
          <w:position w:val="0"/>
          <w:sz w:val="24"/>
          <w:shd w:fill="auto" w:val="clear"/>
        </w:rPr>
        <w:t xml:space="preserve">rainha do lar </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i/>
          <w:color w:val="auto"/>
          <w:spacing w:val="0"/>
          <w:position w:val="0"/>
          <w:sz w:val="24"/>
          <w:shd w:fill="auto" w:val="clear"/>
        </w:rPr>
        <w:t xml:space="preserve">anjo tutelar </w:t>
      </w:r>
      <w:r>
        <w:rPr>
          <w:rFonts w:ascii="Times New Roman" w:hAnsi="Times New Roman" w:cs="Times New Roman" w:eastAsia="Times New Roman"/>
          <w:color w:val="auto"/>
          <w:spacing w:val="0"/>
          <w:position w:val="0"/>
          <w:sz w:val="24"/>
          <w:shd w:fill="auto" w:val="clear"/>
        </w:rPr>
        <w:t xml:space="preserve">de sua família. (ISMÉRIO, 1995). Modelo este baseado na mentalidade patriarcal que via a mulher como inferior ao homem, física e mentalmente, e por isso suscetível à perigos e danos, necessitando assim da constante vigília e tutela da figura masculina, fosse essa o pai, os irmãos,o padre, o marido,o Estado.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o positivismo tenha contribuído para legitimar e consolidar uma condição de submissão e dominação femininas, não foi pioneiro na construção desta mentalidade. Antes sofreu a influência de idéias e modos de vida há muito arraigados nas sociedades humanas ao longo da História. O filósofo iluminista Jean-Jacques Rosseau, de onde Comte bebeu muitas das idéias e representações, salientava em sua obra </w:t>
      </w:r>
      <w:r>
        <w:rPr>
          <w:rFonts w:ascii="Times New Roman" w:hAnsi="Times New Roman" w:cs="Times New Roman" w:eastAsia="Times New Roman"/>
          <w:i/>
          <w:color w:val="auto"/>
          <w:spacing w:val="0"/>
          <w:position w:val="0"/>
          <w:sz w:val="24"/>
          <w:shd w:fill="auto" w:val="clear"/>
        </w:rPr>
        <w:t xml:space="preserve">Emílio</w:t>
      </w:r>
      <w:r>
        <w:rPr>
          <w:rFonts w:ascii="Times New Roman" w:hAnsi="Times New Roman" w:cs="Times New Roman" w:eastAsia="Times New Roman"/>
          <w:color w:val="auto"/>
          <w:spacing w:val="0"/>
          <w:position w:val="0"/>
          <w:sz w:val="24"/>
          <w:shd w:fill="auto" w:val="clear"/>
        </w:rPr>
        <w:t xml:space="preserve"> ou </w:t>
      </w:r>
      <w:r>
        <w:rPr>
          <w:rFonts w:ascii="Times New Roman" w:hAnsi="Times New Roman" w:cs="Times New Roman" w:eastAsia="Times New Roman"/>
          <w:i/>
          <w:color w:val="auto"/>
          <w:spacing w:val="0"/>
          <w:position w:val="0"/>
          <w:sz w:val="24"/>
          <w:shd w:fill="auto" w:val="clear"/>
        </w:rPr>
        <w:t xml:space="preserve">Da Educação, </w:t>
      </w:r>
      <w:r>
        <w:rPr>
          <w:rFonts w:ascii="Times New Roman" w:hAnsi="Times New Roman" w:cs="Times New Roman" w:eastAsia="Times New Roman"/>
          <w:color w:val="auto"/>
          <w:spacing w:val="0"/>
          <w:position w:val="0"/>
          <w:sz w:val="24"/>
          <w:shd w:fill="auto" w:val="clear"/>
        </w:rPr>
        <w:t xml:space="preserve">a inferioridade feminina em relação ao sexo masculino, onde a descrição dos personagens evidenciam a construção de papéis distintos aos sexos. Ao homem, apto por natureza, cabe os negócios, a política, a liderança da família e da sociedade; à mulher, de natureza frágil, emotiva, delicada, cabem os afazeres domésticos, as prendas do lar, preparando-se desde pequena para desempenhar seu papel: esposa e mãe dedicadas. Para o filósofo a mulher só deveria cultivar a razão, se essa faculdade pudesse lhe garantir o cumprimento de seus deveres considerados como “naturais”, ou seja, obedecer e ser fiel ao marido e cuidar dos filhos e da casa. Segundo esse autor, a mulher que ousasse se dedicar à vida intelectual deveria permanecer solteira. Ela iria contra a sua natureza, contra os seus deveres de esposa.</w:t>
      </w:r>
    </w:p>
    <w:p>
      <w:pPr>
        <w:tabs>
          <w:tab w:val="left" w:pos="7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mulher era considerada inapta para envolver-se em assuntos considerados de homem, como a política e a economia, pois eram atributos de sua personalidade e natureza um acentuado aspecto emotivo, de grande impulsividade. Ao homem a razão, à mulher, o coração. Este ideário era expresso também no direito civil da época, como destaca Ismério, ao apresentar um trecho do </w:t>
      </w:r>
      <w:r>
        <w:rPr>
          <w:rFonts w:ascii="Times New Roman" w:hAnsi="Times New Roman" w:cs="Times New Roman" w:eastAsia="Times New Roman"/>
          <w:i/>
          <w:color w:val="auto"/>
          <w:spacing w:val="0"/>
          <w:position w:val="0"/>
          <w:sz w:val="24"/>
          <w:shd w:fill="auto" w:val="clear"/>
        </w:rPr>
        <w:t xml:space="preserve">Código de Direito Civil Comentado, </w:t>
      </w:r>
      <w:r>
        <w:rPr>
          <w:rFonts w:ascii="Times New Roman" w:hAnsi="Times New Roman" w:cs="Times New Roman" w:eastAsia="Times New Roman"/>
          <w:color w:val="auto"/>
          <w:spacing w:val="0"/>
          <w:position w:val="0"/>
          <w:sz w:val="24"/>
          <w:shd w:fill="auto" w:val="clear"/>
        </w:rPr>
        <w:t xml:space="preserve">de Clóvis Bevilaqua, publicado no jornal A Federação, órgão da imprensa oficial do PRR, de 1917: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em tudo aquilo que exigir mais larga e mais intensa energia intelectual, moral e física, o homem será mais apto do que a mulher, mas em tudo que exigir dedicação, persistência, desenvolvimento emo-cional delicado, o homem não pode ser equiparado à sua companheira. (ISMÈRIO, 1995,p. 28).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2"/>
          <w:shd w:fill="auto" w:val="clear"/>
        </w:rPr>
      </w:pP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2"/>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deste aspecto podemos perceber também no direito criminal do período a preocupação em disciplinar e impor modelos morais e de conduta às mulheres. Maria Amélia G. da Silva destaca que o Código Penal de 1890 estabelecia diferenças entre homens e mulheres. Este estabelecia uma diferença hierárquica entre mulheres honestas e não honestas, com uma significativa redução de pena em crimes de estupro. Se a vítima fosse virgem,ou não, mas honesta, a pena era de prisão de um a seis anos; caso fosse uma prostituta, a pena caia para seis meses de detenção. A justificativa era que a prostituta não teria honra a zelar, constituindo-se em crime contra a liberdade individual e não contra a honra. (SILVA, 1996).  Honestidade e honra entendidas a partir de conceitos e modelos estabelecidos pelo discurso positivista e burguês.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Verifica-se assim o amplo alcance desta mentalidade conservadora e excludente, deste discurso que atingia a vários setores da sociedade. Embora emanasse principalmente das classes dominantes, não se destinava e não se limitava apenas às mulheres burguesas, mas visavam a todas as mulheres da sociedade, até mesmo se fazendo presente nos grupos contestatórios do sistema vigente, e povoando e ditando as relações de gênero mesmo entre as classes populares. Conforme Ismério,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Frágil, sentimental e pura, estes eram os atributos da rainha do lar e do anjo tutelar. Representavam a imagem da perfeição feminina e foram amplamente reverenciados e difundidos pelos positivistas. Esses modelos exemplares tinham que ser seguidos por todas as mulheres, independente de sua condição social (...). (ISMÉRIO, 1995, p. 31).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2"/>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ano de 1917 foi marcado no Brasil por agitações e greves operárias e pela influência dos anarquistas, grupo o qual dava as mulheres feminina amplo espaço. Entre as temáticas debatidas no Congresso referentes às questões sociais estava o direito das mulheres ao voto, o que só foi assegurado plenamente no país em 1934. Quanto a esta questão o jornal rio-grandino </w:t>
      </w:r>
      <w:r>
        <w:rPr>
          <w:rFonts w:ascii="Times New Roman" w:hAnsi="Times New Roman" w:cs="Times New Roman" w:eastAsia="Times New Roman"/>
          <w:i/>
          <w:color w:val="auto"/>
          <w:spacing w:val="0"/>
          <w:position w:val="0"/>
          <w:sz w:val="24"/>
          <w:shd w:fill="auto" w:val="clear"/>
        </w:rPr>
        <w:t xml:space="preserve">Echo do Sul</w:t>
      </w:r>
      <w:r>
        <w:rPr>
          <w:rFonts w:ascii="Times New Roman" w:hAnsi="Times New Roman" w:cs="Times New Roman" w:eastAsia="Times New Roman"/>
          <w:color w:val="auto"/>
          <w:spacing w:val="0"/>
          <w:position w:val="0"/>
          <w:sz w:val="24"/>
          <w:shd w:fill="auto" w:val="clear"/>
        </w:rPr>
        <w:t xml:space="preserve">, trazia em 3 de julho de 1917, na primeira página, um artigo de autoria de poetisa paulistana, Graciema Nobre de Campos, onde esta se manifestava a respeito do projeto que instituía o voto feminino. Graciema criticava tal projeto, considerando-o uma “cousa engraçada, numa terra em que, ha pouco tempo, as senhoras só sahiam acompanhadas de uma penca de filhos ou de irmãos...”.  Alegava Graciema que a brasileira não estava ainda preparada para exercer tal direito, visto que faltavam as mulheres independência, educação e orientação política. A articulista alfineta: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que razão se ha de occupar de um assumpto que não pode interessa-la senão mediocremente – uma vez que a mulher no Brasil não possui direitos? O que poderá ganhar com a concessão do voto, se a própria Câmara, que lh’ o conceder, acaba de approvar o primeiro Código Civil que lhe nega tudo? Basta que se analise esta “grande” lei para se conhecer o valor dos “direitos femininos” no nosso paiz.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240"/>
        <w:ind w:right="-703" w:left="0" w:firstLine="720"/>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 poetisa era um tanto contraditório tal projeto, pois ao mesmo tempo em que defendia o direito feminino ao voto, era pensado e elaborado somente por homens, que seguiriam assim ditando as regras da sociedade. Graciema defendia que o voto em nada alteraria a situação das mulheres, sem que antes se estabelecesse a igualdade de diretos em outros setores, como na educação e no mundo do trabalho. Percebe-se na leitura do artigo, que para Graciema, o voto feminino neste momento servia apenas para aumentar o número de eleitores, a fim de que os homens manipulassem as mulheres na hora das eleições, visto que a maioria das mulheres não estava ainda politicamente consciente e preparada para decidir. No entanto, não era contrária a concessão do direito do voto às mulheres, desde que.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 quando a mulher conquistar a liberdade, quando conseguir desfazer-se das mil tolices sociaes que a escravizam, quando souber encarar a vida com a desenvoltura de uma independente, quando tiver mais ampliado sua actividade e illustração, – então concedam-lhe o direito de voto que ella saberá </w:t>
      </w:r>
      <w:r>
        <w:rPr>
          <w:rFonts w:ascii="Times New Roman" w:hAnsi="Times New Roman" w:cs="Times New Roman" w:eastAsia="Times New Roman"/>
          <w:color w:val="auto"/>
          <w:spacing w:val="0"/>
          <w:position w:val="0"/>
          <w:sz w:val="24"/>
          <w:shd w:fill="auto" w:val="clear"/>
        </w:rPr>
        <w:t xml:space="preserve"> pratica- lo conscienciosamente.</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é apenas um exemplo de que nem todas as pessoas concordavam e se moldavam aos padrões sociais, chamados pela autora de “tolices”.Embora vivessem em uma sociedade não tão conservadora como a rio-grandense, ainda sim Graciema estava inserida em uma sociedade regida por padrões e normas distintas entre os sexos, onde a mulher pertencia ao espaço privado, cuidando dos seus.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fim de atingir impor o modelo da mulher ideal e alcançar a todas as mulheres da sociedade, independente como vimos de sua condição social, os positivistas buscavam intervir em todos os setores das relações humanas, principalmente no que tange à educação, em seu sentido mais amplo. A educação era vista pelos positivistas como o melhor meio de impor seus modelos femininos, e assim, de forma indireta, direcionar as relações e a estrutura familiar. Sua instrução era necessária a fim de que desempenhasse seu papel de </w:t>
      </w:r>
      <w:r>
        <w:rPr>
          <w:rFonts w:ascii="Times New Roman" w:hAnsi="Times New Roman" w:cs="Times New Roman" w:eastAsia="Times New Roman"/>
          <w:i/>
          <w:color w:val="auto"/>
          <w:spacing w:val="0"/>
          <w:position w:val="0"/>
          <w:sz w:val="24"/>
          <w:shd w:fill="auto" w:val="clear"/>
        </w:rPr>
        <w:t xml:space="preserve">rainha do lar</w:t>
      </w:r>
      <w:r>
        <w:rPr>
          <w:rFonts w:ascii="Times New Roman" w:hAnsi="Times New Roman" w:cs="Times New Roman" w:eastAsia="Times New Roman"/>
          <w:color w:val="auto"/>
          <w:spacing w:val="0"/>
          <w:position w:val="0"/>
          <w:sz w:val="24"/>
          <w:shd w:fill="auto" w:val="clear"/>
        </w:rPr>
        <w:t xml:space="preserve">, a educadora de seus filhos e regeneradora do homem. E tal intervenção na educação das mulheres se fazia sentir principalmente no casamento, visto pelo ideário positivista como a solução para disciplinar as mulheres, que eram consideradas por natureza lascivas e inclinadas a imoralidades, necessitando assim serem cerceadas e controladas. Da tutela do pai, a mulher passaria a do marido. O casamento era considerado pelos positivistas o alicerce da organização social.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das lides domésticas outra tarefa delegada à mulher era a educação de seus filhos, que deveriam ser baseadas no princípio da moral e do civismo, onde a História assumia um destacado papel, como a “mestra da vida”, que com seus vultos e grandes nomes (por acaso, masculinos) serviam como exemplos de vida e conduta às gerações do porvir.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corrente que corroborou com a idealização da imagem feminina, e particularmente com a defesa do casamento como regulador da sociedade foi o discurso médico-sanitarista do século XIX. Esse encarava o casamento como uma forma higiênica de relaciona-se sexualmente, assegurando assim uma sociedade saudável, livre de doenças venéreas, como a gonorréia e a sífilis, incuráveis e que traziam danos a estrutura moral e social. Assegurando a saúde do corpo significa a construção de uma família saudável, e, por conseguinte, de uma sociedade também saudável. (ISMÉRIO, 1995). Conforme Elizabeth Lannes Bernardes, o discurso médico vigente visava atingir primeiramente a família, onde redefiniu papéis e as relações entre seus membros, sendo o papel da mulher redefinido em função da maternidade, reguladora do comportamento feminino. (BERNARDES, s/d).  O discurso médico fundamentava o papel da mulher difundido pelos positivistas, segundo Margareth Rago,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A mulher deveria se restringir ao seu “espaço natural”, o lar, evitando toda sorte de contato e atividade que pudesse atraí-la para o mundo público. A medicina fundamentava essas concepções em bases científicas, mostrando que o crânio feminino, assim como toda sua constituição biológica, fixava o destino da mulher: ser mãe e viver no lar, abnegadamente, cuidando da família. (RAGO, 1997, p. 592).  </w:t>
      </w:r>
      <w:r>
        <w:rPr>
          <w:rFonts w:ascii="Times New Roman" w:hAnsi="Times New Roman" w:cs="Times New Roman" w:eastAsia="Times New Roman"/>
          <w:color w:val="auto"/>
          <w:spacing w:val="0"/>
          <w:position w:val="0"/>
          <w:sz w:val="24"/>
          <w:shd w:fill="auto" w:val="clear"/>
        </w:rPr>
        <w:t xml:space="preserve"> </w:t>
      </w:r>
    </w:p>
    <w:p>
      <w:pPr>
        <w:tabs>
          <w:tab w:val="left" w:pos="6120" w:leader="none"/>
        </w:tabs>
        <w:spacing w:before="0" w:after="0" w:line="360"/>
        <w:ind w:right="-703" w:left="0" w:firstLine="0"/>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outro projeto político-ideológico que ia ao encontro do ideário positivista era a formação de uma identidade nacional, a necessidade de incutir nos cidadãos sentimentos de patriotismo, de nacionalismo, em uma República em formação e conformação. A mulher, como a primeira educadora de uma criança, era peça chave nesse processo de formação cívica. Segundo Margareth Rago, nos anos 20 e 30 do século XX vários grupos sociais, como os positivistas, os liberais, os médicos, a Igreja, até mesmo muitos operários anarquistas, socialistas e mais tarde, os comunistas, incorporaram o discurso de valorização da maternidade, associado ao ideal de formação da identidade nacional. “A figura da ´mãe cívica´ passa a ser exaltada como exemplo daquela que preparava física, intelectual e moralmente o futuro cidadão da pátria, contribuindo de forma decisiva para o engrandecimento da nação.” (RAGO, 1997).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Percebemos assim que vários setores da sociedade estavam atrelados a fim de impor e consolidar modelos sociais para todos os membros da sociedade, disciplinando os corpos e as mentes, podendo assim as classes dominantes exercer de maneira mais eficaz seu poder.</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 tais visões de mundo e de organização social perpassavam por todos os grupos sociais, atingindo as esferas públicas e privadas, mesmo que de forma mascarada e metamorfoseado, até mesmo em grupos contrários ao sistema vigentes, como é o caso dos operários, que veremos mais adiante.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Ismério conclui o papel desempenhado pelo Positivismo na construção da imagem feminina, particularmente no Rio Grande do Sul </w:t>
      </w:r>
    </w:p>
    <w:p>
      <w:pPr>
        <w:tabs>
          <w:tab w:val="left" w:pos="6120" w:leader="none"/>
        </w:tabs>
        <w:spacing w:before="0" w:after="0" w:line="240"/>
        <w:ind w:right="-703" w:left="23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Positivismo ao mesmo tempo que elegeu a mulher sua grande guardiã, reforçou a mentalidade baseada na moral conservadora e tinha como objetivo tirar a mulher do campo profissional e científico, enclausurando-a em sua própria casa, sob a alegação de que era irracional e não tinha controle de seus impulsos. Somente presa ao lar e tutelada pelo homem, a mulher poderia exercer uma influência positiva. (ISMÉRIO, 1995, p. 34). </w:t>
      </w:r>
    </w:p>
    <w:p>
      <w:pPr>
        <w:tabs>
          <w:tab w:val="left" w:pos="6120" w:leader="none"/>
        </w:tabs>
        <w:spacing w:before="0" w:after="0" w:line="360"/>
        <w:ind w:right="-703"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tal ideário tenha tido bastante êxito em seu propósito, pois ainda hoje percebemos muito dessa mentalidade e padrões entre os sexos, muitas foram as mulheres que ousaram ir de encontro a tais padrões, e seja por necessidade ou por uma consciência contestatória de sua posição, passaram a ocupar espaços predominantemente masculinos, como as fábricas, as ruas, os órgãos de representação operária. </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Mulheres em espaços “masculinos” - a fábrica e os sindicatos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cidade de Rio Grande desempenhou um importante papel no processo de industrialização do Rio Grande do Sul na República Velha.  Foi sede da primeira grande indústria do Rio Grande do Sul, a Rheingantz, instalada em 1873, mantendo uma produção industrial têxtil bastante ativa.  Segundo Heloísa Jochims Reichel, a tecelagem foi o principal ramo da indústria rio-grandense durante a República Velha. (REICHEL, 1993). A cidade vivenciou uma industrialização precoce nas décadas de oitenta e noventa do século XIX, contando já em 1902 com 51 fábricas, 105 oficinas, entre refinarias e curtumes (LONER, 2001) Juntamente com Pelotas, Rio Grande formava um pólo industrial de respeitáveis proporções, que rivalizava com Porto Alegre. A maior parte da mão-de-obra empregada nas indústrias têxtil e alimentícia, principais setores da indústria gaúcha, era feminina,o que revela a importante contribuição destas trabalhadoras para a economia do Rio Grande do Sul durante a República Velha. Conforme aponta Benito Bisso Schmidt, em 1920 em Pelotas e Rio Grande as mulheres compunham um terço da mão-de-obra industrial. (SCHMIDT, s/d).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processo de urbanização empreendido pela implantação da República e resultante também do acelerado processo industrial trouxe consigo transformações sociais, culturais, políticas e econômicas, em muitos aspectos e para a camada menos favorecida da população, de caráter negativo.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Tais transformações possibilitaram o surgimento de novas categorias sociais - o empresariado e o proletariado - e que passam a tecer relações, ora de enfrentamento, ora de conciliação e acordos, em busca de seus distintos interesses. Rio Grande presenciou concomitantemente ao processo de industrialização, assim como no Brasil, a formação de um operariado urbano, bastante significativo em número e representatividade de classe, acompanhando o que ocorria no Brasil. Segundo Schmidt, o jornal </w:t>
      </w:r>
      <w:r>
        <w:rPr>
          <w:rFonts w:ascii="Times New Roman" w:hAnsi="Times New Roman" w:cs="Times New Roman" w:eastAsia="Times New Roman"/>
          <w:i/>
          <w:color w:val="auto"/>
          <w:spacing w:val="0"/>
          <w:position w:val="0"/>
          <w:sz w:val="24"/>
          <w:shd w:fill="auto" w:val="clear"/>
        </w:rPr>
        <w:t xml:space="preserve">Echo Operário</w:t>
      </w:r>
      <w:r>
        <w:rPr>
          <w:rFonts w:ascii="Times New Roman" w:hAnsi="Times New Roman" w:cs="Times New Roman" w:eastAsia="Times New Roman"/>
          <w:color w:val="auto"/>
          <w:spacing w:val="0"/>
          <w:position w:val="0"/>
          <w:sz w:val="24"/>
          <w:shd w:fill="auto" w:val="clear"/>
        </w:rPr>
        <w:t xml:space="preserve"> estimava em 1897 que houvesse entre 8 a 10 mil operários (as) na cidade.  Ainda o mesmo jornal referindo-se a uma paralisação neste mesmo ano, informava que 105 empregados da fábrica Ítalo-Brasileira haviam aderido ao movimento.  Segundo Schmidt, a fábrica Rheingantz contava no final do século XIX com cerca de 900 trabalhadores (as). (SCHMIDT, 1999). Embora os dados sejam incompletos é possível perceber o número expressivo de trabalhadores na cidade. O já comentado processo de transformações por qual passava a sociedade brasileira foi da mesma forma vivenciada por Rio Grande.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Devido as péssimas condições enfrentadas por estes operárias (as) no trabalho e em suas moradias, cedo os trabalhadores e trabalhadoras passaram a se mobilizar, organizando-se em sociedades com o fim de ajuda mútua, e mais tarde, criando sindicatos e associações de caráter reivindicatório, que buscavam mobilizar e organizar os trabalhadores , devido às condições de trabalho e a inexistência de garantias legais. Neste contexto a cidade de Rio Grande teve um forte movimento operário, sendo um dos principais núcleos do movimento operário do estado, recebendo a alcunha de “cidade vermelha”, pela forte presença de operários (as) e suas manifestações por melhores condições de trabalho e vida (LONER, 2004).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mulheres foram presenças marcantes nas indústrias na República Velha, principalmente nas têxteis, onde chegavam a ser maioria, embora o discurso do período condenasse o trabalho feminino fora do lar. Segundo Isabel Aparecida Bilhão, o surgimento e a expansão de novas fábricas, principalmente têxteis e alimentícias, onde se concentrava maior mão-de-obra feminina, proporcionou às mulheres uma maior notoriedade nos espaços públicos e nos locais de trabalho, lugares ditos de homens.  De acordo com Luiz Henrique Torres, a presença feminina no operariado rio-grandino é um fator relevante, por se tratar de uma época em que o espaço da mulher é a casa, e não a rua. Segundo o historiador “o espaço aberto ás mulheres nas atividades industriais antecipou em quase um século o quadro atual em que as mulheres dividem o mercado de trabalho com os homens.” (TORRES, 2009)  . </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analisarmos as atas e relatórios da Sociedade União Operária podemos perceber um grande número de operárias e outras trabalhadoras que eram associadas á entidade, e algumas delas até mesmo atuavam no teatro, ou escreviam nos jornais, embora ainda encontrassem resistência por parte de alguns companheiros. Ao observar os jornais durante a República Velha pode-se perceber a atuação destas trabalhadoras também na militância e nos movimentos paredistas e de reivindicação. Percebe-se assim que as mulheres não estavam apenas nas fábricas e em outras atividades de trabalho, mas também atuantes dentro do movimento operário.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nesses espaços de lutas e reivindicações as mulheres são figuras pouco documentadas, mas isto não significa que não tenham participado ativamente na militância operária na cidade de Rio Grande. Segundo Silvia Regina Petersen </w:t>
      </w:r>
      <w:r>
        <w:rPr>
          <w:rFonts w:ascii="Times New Roman" w:hAnsi="Times New Roman" w:cs="Times New Roman" w:eastAsia="Times New Roman"/>
          <w:color w:val="auto"/>
          <w:spacing w:val="0"/>
          <w:position w:val="0"/>
          <w:sz w:val="22"/>
          <w:shd w:fill="auto" w:val="clear"/>
        </w:rPr>
        <w:t xml:space="preserve">Silvia Petersen  </w:t>
      </w:r>
      <w:r>
        <w:rPr>
          <w:rFonts w:ascii="Times New Roman" w:hAnsi="Times New Roman" w:cs="Times New Roman" w:eastAsia="Times New Roman"/>
          <w:color w:val="auto"/>
          <w:spacing w:val="0"/>
          <w:position w:val="0"/>
          <w:sz w:val="24"/>
          <w:shd w:fill="auto" w:val="clear"/>
        </w:rPr>
        <w:t xml:space="preserve">“o texto feminino no corpus documental” do operariado sul-riograndense é “infinitamente escasso.” A autora aponta a escassez do elemento feminino na documentação sobre o movimento operário, onde predomina a ação masculina. (Petersen, 2001). Em parte, tal silêncio reflete a mentalidade da sociedade sul rio-grandense na República Velha, alicerçada na filosofia positivista, que construiu uma imagem feminina reservando á mulher o espaço privado, o lar. A autora aponta ainda que embora os socialistas defendessem a emancipação feminina e a igualdade de direitos entre homens e mulheres, na prática assumia a postura patriarcal de tutelar a mulher, falando por ela, e permitido pouco ou nenhum espaço ao elemento feminino nos seus espaços de luta e reivindicação.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das noticias mais remotas que a imprensa não-operária traz da participação de mulheres em greves em Rio Grande data de 1890, quando tecelões e tecelãs da fábrica Rheigantz reivindicaram a demissão de um inspetor, acuado de maus tratos aos operários(as), em um movimento paredista que durou mais de uma semana e paralisou aproximadamente 400 operários,entre homens, mulheres e crianças.  </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dos exemplos desta postura pode ser analisado na atuação de Agostina Guizzardi., que atuou em Rio Grande, ativa sócia da Sociedade União Operária, entidade fundada na cidade em 1894, que reunia em seu seio as mais variadas correntes ideológicas do movimento operário. A Sociedade desenvolveu um importante papel em organizar, dirigir, educar e orientar os operários (as) rio-grandinos até sua dissolução completa em 1964. </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Agostina Guizzardi foi uma intelectual militante e anarquista que atuou nos primeiros anos do século XX. Pouco se sabe sobre ela. Agostina lecionava, proferia discursos, escrevia artigos, peças teatrais e poesias, e, segundo Loner, editou o jornal </w:t>
      </w:r>
      <w:r>
        <w:rPr>
          <w:rFonts w:ascii="Times New Roman" w:hAnsi="Times New Roman" w:cs="Times New Roman" w:eastAsia="Times New Roman"/>
          <w:i/>
          <w:color w:val="auto"/>
          <w:spacing w:val="0"/>
          <w:position w:val="0"/>
          <w:sz w:val="24"/>
          <w:shd w:fill="auto" w:val="clear"/>
        </w:rPr>
        <w:t xml:space="preserve">O Proletário</w:t>
      </w:r>
      <w:r>
        <w:rPr>
          <w:rFonts w:ascii="Times New Roman" w:hAnsi="Times New Roman" w:cs="Times New Roman" w:eastAsia="Times New Roman"/>
          <w:color w:val="auto"/>
          <w:spacing w:val="0"/>
          <w:position w:val="0"/>
          <w:sz w:val="24"/>
          <w:shd w:fill="auto" w:val="clear"/>
        </w:rPr>
        <w:t xml:space="preserve"> de 1906. Era sócia da Sociedade União Operária e não excitava em criticar seus dirigentes quando não concordava com suas idéias e ações. Em uma ocasião em que fora comemorada uma solenidade em homenagem a um marinheiro português que estava na cidade, em janeiro de 1906, Agostina escreveu, sob o título </w:t>
      </w:r>
      <w:r>
        <w:rPr>
          <w:rFonts w:ascii="Times New Roman" w:hAnsi="Times New Roman" w:cs="Times New Roman" w:eastAsia="Times New Roman"/>
          <w:i/>
          <w:color w:val="auto"/>
          <w:spacing w:val="0"/>
          <w:position w:val="0"/>
          <w:sz w:val="24"/>
          <w:shd w:fill="auto" w:val="clear"/>
        </w:rPr>
        <w:t xml:space="preserve">Na União Operária, </w:t>
      </w:r>
      <w:r>
        <w:rPr>
          <w:rFonts w:ascii="Times New Roman" w:hAnsi="Times New Roman" w:cs="Times New Roman" w:eastAsia="Times New Roman"/>
          <w:color w:val="auto"/>
          <w:spacing w:val="0"/>
          <w:position w:val="0"/>
          <w:sz w:val="24"/>
          <w:shd w:fill="auto" w:val="clear"/>
        </w:rPr>
        <w:t xml:space="preserve">uma crítica aos discursos proferidos por seus colegas na ocasião, pois segundo ela os dirigentes da entidade foram incoerentes, dando uma conotação patriótica ao evento, o que afrontaria a idéia de internacionalismo da luta operária. (SILVA, 1996) </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 idéias de Agostina eram veicula das através do teatro operário. Escreveu a peça </w:t>
      </w:r>
      <w:r>
        <w:rPr>
          <w:rFonts w:ascii="Times New Roman" w:hAnsi="Times New Roman" w:cs="Times New Roman" w:eastAsia="Times New Roman"/>
          <w:i/>
          <w:color w:val="auto"/>
          <w:spacing w:val="0"/>
          <w:position w:val="0"/>
          <w:sz w:val="24"/>
          <w:shd w:fill="auto" w:val="clear"/>
        </w:rPr>
        <w:t xml:space="preserve">A Honra Proletária</w:t>
      </w:r>
      <w:r>
        <w:rPr>
          <w:rFonts w:ascii="Times New Roman" w:hAnsi="Times New Roman" w:cs="Times New Roman" w:eastAsia="Times New Roman"/>
          <w:color w:val="auto"/>
          <w:spacing w:val="0"/>
          <w:position w:val="0"/>
          <w:sz w:val="24"/>
          <w:shd w:fill="auto" w:val="clear"/>
        </w:rPr>
        <w:t xml:space="preserve"> encenada no palco da União Operária na véspera do Natal de 1905, e em 1906 publicou </w:t>
      </w:r>
      <w:r>
        <w:rPr>
          <w:rFonts w:ascii="Times New Roman" w:hAnsi="Times New Roman" w:cs="Times New Roman" w:eastAsia="Times New Roman"/>
          <w:i/>
          <w:color w:val="auto"/>
          <w:spacing w:val="0"/>
          <w:position w:val="0"/>
          <w:sz w:val="24"/>
          <w:shd w:fill="auto" w:val="clear"/>
        </w:rPr>
        <w:t xml:space="preserve">Amor e Ouro</w:t>
      </w:r>
      <w:r>
        <w:rPr>
          <w:rFonts w:ascii="Times New Roman" w:hAnsi="Times New Roman" w:cs="Times New Roman" w:eastAsia="Times New Roman"/>
          <w:color w:val="auto"/>
          <w:spacing w:val="0"/>
          <w:position w:val="0"/>
          <w:sz w:val="24"/>
          <w:shd w:fill="auto" w:val="clear"/>
        </w:rPr>
        <w:t xml:space="preserve">, que teria sido encenado pela primeira vez em 1903 no Teatro Politheama Riograndense. No seu elenco encontrava-se o já citado intelectual, Antônio Guedes Coutinho. Embora peças que tenham como panos de fundo, amores impossíveis, moçoilas apaixonadas, o teor era de cunho social. A luta de classes era retratada a partir dos conflitos cotidianos vividos pelos operários. </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Silva, apesar da posição crítica e independente que adotava e das conseqüentes pressões que provavelmente sentia em um meio marcado pelo preconceito de seus pares do sexo masculino, a militante gozava de prestígio no movimento operário em Rio Grande.  O jornal </w:t>
      </w:r>
      <w:r>
        <w:rPr>
          <w:rFonts w:ascii="Times New Roman" w:hAnsi="Times New Roman" w:cs="Times New Roman" w:eastAsia="Times New Roman"/>
          <w:i/>
          <w:color w:val="auto"/>
          <w:spacing w:val="0"/>
          <w:position w:val="0"/>
          <w:sz w:val="24"/>
          <w:shd w:fill="auto" w:val="clear"/>
        </w:rPr>
        <w:t xml:space="preserve">O Proletário </w:t>
      </w:r>
      <w:r>
        <w:rPr>
          <w:rFonts w:ascii="Times New Roman" w:hAnsi="Times New Roman" w:cs="Times New Roman" w:eastAsia="Times New Roman"/>
          <w:color w:val="auto"/>
          <w:spacing w:val="0"/>
          <w:position w:val="0"/>
          <w:sz w:val="24"/>
          <w:shd w:fill="auto" w:val="clear"/>
        </w:rPr>
        <w:t xml:space="preserve">noticiou a homenagem recebida por Agostina na União Operária após a encenação de um drama de sua autoria. No entanto, Agostina tinha consciência de sua situação limitante, em um espaço ainda pouco aberto ao trânsito livre e a voz ativa feminina:</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Sabemos perfeitamente que falamos no deserto, mas mesmo assim gritaremos cada vez mais, na esperança que no meio da aridez da consciência, ligada à mais imperdoável apatia, existe ainda algum oásis, verdejantes de dignidade no pleno sentido da palavra. Ás vezes, tanto se grita, até que alguém se acorda (O Proletário, Rio Grande, 28/01/1906). </w:t>
      </w:r>
    </w:p>
    <w:p>
      <w:pPr>
        <w:spacing w:before="0" w:after="0" w:line="240"/>
        <w:ind w:right="0" w:left="1622" w:firstLine="357"/>
        <w:jc w:val="both"/>
        <w:rPr>
          <w:rFonts w:ascii="Times New Roman" w:hAnsi="Times New Roman" w:cs="Times New Roman" w:eastAsia="Times New Roman"/>
          <w:color w:val="auto"/>
          <w:spacing w:val="0"/>
          <w:position w:val="0"/>
          <w:sz w:val="22"/>
          <w:shd w:fill="auto" w:val="clear"/>
        </w:rPr>
      </w:pPr>
    </w:p>
    <w:p>
      <w:pPr>
        <w:tabs>
          <w:tab w:val="left" w:pos="1980" w:leader="none"/>
        </w:tabs>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sua escrita sugere que Agostina não era uma exceção dentro do movimento operário, mas que outras mulheres também ousavam se posicionar, demonstrando, assim, que muitas eram as que não se conformavam com o papel socialmente estabelecido para elas, de vítimas do sistema, criaturas indefesas que precisavam que seus companheiros homens falassem por elas.</w:t>
      </w:r>
    </w:p>
    <w:p>
      <w:pPr>
        <w:tabs>
          <w:tab w:val="left" w:pos="1980" w:leader="none"/>
        </w:tabs>
        <w:spacing w:before="0" w:after="0" w:line="360"/>
        <w:ind w:right="0" w:left="0" w:firstLine="72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Elas “gritavam”, falavam por si e militavam, atuando de maneira significante no movimento operário, embora as fontes documentais, e a própria historiografia por muito tempo, não lhes conferiram o lugar que merecem. No entanto, a partir dos silêncios também se reconstrói a História.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outra evidência de que as trabalhadoras estavam organizadas e atuantes no movimento operário em Rio Grande é a fundação em março de1919 de um Sindicato das Tecedeiras e Classes Correlativas. Seu estatuto estabelecia a luta pela emancipação completa da mulher, a defesa dos interesses morais e econômicos das operárias, bem como a promoção da educação e instrução formal, entre outras coisas.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Conclusões</w:t>
      </w:r>
    </w:p>
    <w:p>
      <w:pPr>
        <w:tabs>
          <w:tab w:val="left" w:pos="6120" w:leader="none"/>
        </w:tabs>
        <w:spacing w:before="0" w:after="0" w:line="360"/>
        <w:ind w:right="-703" w:left="0" w:firstLine="720"/>
        <w:jc w:val="both"/>
        <w:rPr>
          <w:rFonts w:ascii="Times New Roman" w:hAnsi="Times New Roman" w:cs="Times New Roman" w:eastAsia="Times New Roman"/>
          <w:b/>
          <w:color w:val="auto"/>
          <w:spacing w:val="0"/>
          <w:position w:val="0"/>
          <w:sz w:val="24"/>
          <w:shd w:fill="auto" w:val="clear"/>
        </w:rPr>
      </w:pP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nos permitiu vislumbrar uma participação feminina no movimento operário na cidade de Rio Grande bastante significativa, ainda que aparentemente pequena. Considerando os padrões e valores difundidos na sociedade do período e que também repercutiam no meio operário qualquer atuação das trabalhadoras em prol de sua emancipação e direitos é de grande relevância.</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do discurso dos líderes operários condenar a condição de submissão e exploração que o sistema capitalista impunha as mulheres, bem como criticar o modelo feminino pregado pela burguesia, em suas práticas cotidianas de trabalho e luta repetiam o modelo patriarcal, enxergando e desenhando as mulheres como sujeitos  que precisavam ser defendidas para que não se perdessem em um mundo corrompido. Sua emancipação era almejada, mas sob a tutela e vigilância do homem, apto por natureza para liderar.</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Foram muitas as mulheres que ousaram quebrar os padrões sociais e atuaram com dignidade e independência nos lugares entendidos como masculinos,seja nas fábricas, militando nas ruas, greves e associações operárias. Não se deixaram intimidar nem se calaram, mas através da ação,do discurso, da escrita, defenderam suas idéias e atuaram em prol da transformação social.</w:t>
      </w:r>
    </w:p>
    <w:p>
      <w:pPr>
        <w:tabs>
          <w:tab w:val="left" w:pos="6120" w:leader="none"/>
        </w:tabs>
        <w:spacing w:before="0" w:after="0" w:line="360"/>
        <w:ind w:right="-70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seja fragmentado e de pouco volume a documentação referente a participação feminina no movimento operário, quando comparado ao elemento masculino, ainda assim é possível encontrar muitas mulheres trabalhadoras e operárias atuando nos órgãos de organização e mobilização do  movimento operário de Rio Grande na República Velha, como sindicatos, escolas operárias e jornais.</w:t>
      </w:r>
    </w:p>
    <w:p>
      <w:pPr>
        <w:tabs>
          <w:tab w:val="left" w:pos="6120" w:leader="none"/>
        </w:tabs>
        <w:spacing w:before="0" w:after="0" w:line="360"/>
        <w:ind w:right="-703"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tabs>
          <w:tab w:val="left" w:pos="6120" w:leader="none"/>
        </w:tabs>
        <w:spacing w:before="0" w:after="0" w:line="360"/>
        <w:ind w:right="-703" w:left="0" w:firstLine="72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BERNARDES, Elisa Lannes. A </w:t>
      </w:r>
      <w:r>
        <w:rPr>
          <w:rFonts w:ascii="Times New Roman" w:hAnsi="Times New Roman" w:cs="Times New Roman" w:eastAsia="Times New Roman"/>
          <w:b/>
          <w:color w:val="auto"/>
          <w:spacing w:val="0"/>
          <w:position w:val="0"/>
          <w:sz w:val="24"/>
          <w:shd w:fill="auto" w:val="clear"/>
        </w:rPr>
        <w:t xml:space="preserve">Imprensa e a Educação Feminina em Uberlândia</w:t>
      </w:r>
      <w:r>
        <w:rPr>
          <w:rFonts w:ascii="Times New Roman" w:hAnsi="Times New Roman" w:cs="Times New Roman" w:eastAsia="Times New Roman"/>
          <w:color w:val="auto"/>
          <w:spacing w:val="0"/>
          <w:position w:val="0"/>
          <w:sz w:val="24"/>
          <w:shd w:fill="auto" w:val="clear"/>
        </w:rPr>
        <w:t xml:space="preserve">. S/d. Extraído de </w:t>
      </w:r>
      <w:hyperlink xmlns:r="http://schemas.openxmlformats.org/officeDocument/2006/relationships" r:id="docRId135">
        <w:r>
          <w:rPr>
            <w:rFonts w:ascii="Times New Roman" w:hAnsi="Times New Roman" w:cs="Times New Roman" w:eastAsia="Times New Roman"/>
            <w:color w:val="0000FF"/>
            <w:spacing w:val="0"/>
            <w:position w:val="0"/>
            <w:sz w:val="24"/>
            <w:u w:val="single"/>
            <w:shd w:fill="auto" w:val="clear"/>
          </w:rPr>
          <w:t xml:space="preserve">www.fae.ufmg.br/portalmineiro/porta</w:t>
        </w:r>
      </w:hyperlink>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BURKE, Peter. </w:t>
      </w:r>
      <w:r>
        <w:rPr>
          <w:rFonts w:ascii="Times New Roman" w:hAnsi="Times New Roman" w:cs="Times New Roman" w:eastAsia="Times New Roman"/>
          <w:b/>
          <w:color w:val="auto"/>
          <w:spacing w:val="0"/>
          <w:position w:val="0"/>
          <w:sz w:val="24"/>
          <w:shd w:fill="auto" w:val="clear"/>
        </w:rPr>
        <w:t xml:space="preserve">A escrita da História</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novas perspectivas. </w:t>
      </w:r>
      <w:r>
        <w:rPr>
          <w:rFonts w:ascii="Times New Roman" w:hAnsi="Times New Roman" w:cs="Times New Roman" w:eastAsia="Times New Roman"/>
          <w:color w:val="auto"/>
          <w:spacing w:val="0"/>
          <w:position w:val="0"/>
          <w:sz w:val="24"/>
          <w:shd w:fill="auto" w:val="clear"/>
        </w:rPr>
        <w:t xml:space="preserve">Trad. Magda Lopes. São Paulo: Ed. da UNESP, 1992. </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ISMÈRIO, Clarisse. </w:t>
      </w:r>
      <w:r>
        <w:rPr>
          <w:rFonts w:ascii="Times New Roman" w:hAnsi="Times New Roman" w:cs="Times New Roman" w:eastAsia="Times New Roman"/>
          <w:b/>
          <w:color w:val="auto"/>
          <w:spacing w:val="0"/>
          <w:position w:val="0"/>
          <w:sz w:val="24"/>
          <w:shd w:fill="auto" w:val="clear"/>
        </w:rPr>
        <w:t xml:space="preserve">Mulher: a moral e o imaginário: 1889-1930</w:t>
      </w:r>
      <w:r>
        <w:rPr>
          <w:rFonts w:ascii="Times New Roman" w:hAnsi="Times New Roman" w:cs="Times New Roman" w:eastAsia="Times New Roman"/>
          <w:color w:val="auto"/>
          <w:spacing w:val="0"/>
          <w:position w:val="0"/>
          <w:sz w:val="24"/>
          <w:shd w:fill="auto" w:val="clear"/>
        </w:rPr>
        <w:t xml:space="preserve">.  – Porto Alegre: EDIPUCRS, 1995. </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LONER, Beatriz Ana. </w:t>
      </w:r>
      <w:r>
        <w:rPr>
          <w:rFonts w:ascii="Times New Roman" w:hAnsi="Times New Roman" w:cs="Times New Roman" w:eastAsia="Times New Roman"/>
          <w:b/>
          <w:color w:val="auto"/>
          <w:spacing w:val="0"/>
          <w:position w:val="0"/>
          <w:sz w:val="24"/>
          <w:shd w:fill="auto" w:val="clear"/>
        </w:rPr>
        <w:t xml:space="preserve">Construção de classe operária: operários de Pelotas e Rio Grande (1888-1930)</w:t>
      </w:r>
      <w:r>
        <w:rPr>
          <w:rFonts w:ascii="Times New Roman" w:hAnsi="Times New Roman" w:cs="Times New Roman" w:eastAsia="Times New Roman"/>
          <w:color w:val="auto"/>
          <w:spacing w:val="0"/>
          <w:position w:val="0"/>
          <w:sz w:val="24"/>
          <w:shd w:fill="auto" w:val="clear"/>
        </w:rPr>
        <w:t xml:space="preserve">. Pelotas: Editora da UFPEL, 2001.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w:t>
      </w:r>
      <w:r>
        <w:rPr>
          <w:rFonts w:ascii="Times New Roman" w:hAnsi="Times New Roman" w:cs="Times New Roman" w:eastAsia="Times New Roman"/>
          <w:b/>
          <w:color w:val="auto"/>
          <w:spacing w:val="0"/>
          <w:position w:val="0"/>
          <w:sz w:val="24"/>
          <w:shd w:fill="auto" w:val="clear"/>
        </w:rPr>
        <w:t xml:space="preserve">O movimento operário na cidade de Rio Grande na República Velha</w:t>
      </w:r>
      <w:r>
        <w:rPr>
          <w:rFonts w:ascii="Times New Roman" w:hAnsi="Times New Roman" w:cs="Times New Roman" w:eastAsia="Times New Roman"/>
          <w:color w:val="auto"/>
          <w:spacing w:val="0"/>
          <w:position w:val="0"/>
          <w:sz w:val="24"/>
          <w:shd w:fill="auto" w:val="clear"/>
        </w:rPr>
        <w:t xml:space="preserve">. In:.NEVES, Francisco Alves das. (org.).   O mundo do trabalho na cidade de Rio Grande. Rio Grande: Ed. FURG, 2004.</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PERROT, Michelle.</w:t>
      </w:r>
      <w:r>
        <w:rPr>
          <w:rFonts w:ascii="Times New Roman" w:hAnsi="Times New Roman" w:cs="Times New Roman" w:eastAsia="Times New Roman"/>
          <w:b/>
          <w:color w:val="auto"/>
          <w:spacing w:val="0"/>
          <w:position w:val="0"/>
          <w:sz w:val="24"/>
          <w:shd w:fill="auto" w:val="clear"/>
        </w:rPr>
        <w:t xml:space="preserve"> Os excluídos da História: operários, mulheres e prisioneiros</w:t>
      </w:r>
      <w:r>
        <w:rPr>
          <w:rFonts w:ascii="Times New Roman" w:hAnsi="Times New Roman" w:cs="Times New Roman" w:eastAsia="Times New Roman"/>
          <w:color w:val="auto"/>
          <w:spacing w:val="0"/>
          <w:position w:val="0"/>
          <w:sz w:val="24"/>
          <w:shd w:fill="auto" w:val="clear"/>
        </w:rPr>
        <w:t xml:space="preserve">. Trad. Denise Bottmann. – Rio de Janeiro: Paz e Terra,1988.</w:t>
      </w:r>
    </w:p>
    <w:p>
      <w:pPr>
        <w:spacing w:before="0" w:after="0" w:line="240"/>
        <w:ind w:right="0" w:left="0" w:firstLine="72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2"/>
          <w:shd w:fill="auto" w:val="clear"/>
        </w:rPr>
        <w:t xml:space="preserve">______. </w:t>
      </w:r>
      <w:r>
        <w:rPr>
          <w:rFonts w:ascii="Times New Roman" w:hAnsi="Times New Roman" w:cs="Times New Roman" w:eastAsia="Times New Roman"/>
          <w:b/>
          <w:color w:val="auto"/>
          <w:spacing w:val="0"/>
          <w:position w:val="0"/>
          <w:sz w:val="24"/>
          <w:shd w:fill="auto" w:val="clear"/>
        </w:rPr>
        <w:t xml:space="preserve">As mulheres ou os silêncios da história</w:t>
      </w:r>
      <w:r>
        <w:rPr>
          <w:rFonts w:ascii="Helvetica" w:hAnsi="Helvetica" w:cs="Helvetica" w:eastAsia="Helvetica"/>
          <w:color w:val="000000"/>
          <w:spacing w:val="0"/>
          <w:position w:val="0"/>
          <w:sz w:val="17"/>
          <w:shd w:fill="auto" w:val="clear"/>
        </w:rPr>
        <w:t xml:space="preserve">. T</w:t>
      </w:r>
      <w:r>
        <w:rPr>
          <w:rFonts w:ascii="Times New Roman" w:hAnsi="Times New Roman" w:cs="Times New Roman" w:eastAsia="Times New Roman"/>
          <w:color w:val="auto"/>
          <w:spacing w:val="0"/>
          <w:position w:val="0"/>
          <w:sz w:val="24"/>
          <w:shd w:fill="auto" w:val="clear"/>
        </w:rPr>
        <w:t xml:space="preserve">radução Viviane Ribeiro. Bauru, São Paulo: EDUSC, 2005. </w:t>
      </w:r>
    </w:p>
    <w:p>
      <w:pPr>
        <w:tabs>
          <w:tab w:val="left" w:pos="6120" w:leader="none"/>
        </w:tabs>
        <w:spacing w:before="0" w:after="0" w:line="360"/>
        <w:ind w:right="-703" w:left="0" w:firstLine="72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PETERSEN, Silvia Regina Ferraz. </w:t>
      </w:r>
      <w:r>
        <w:rPr>
          <w:rFonts w:ascii="Times New Roman" w:hAnsi="Times New Roman" w:cs="Times New Roman" w:eastAsia="Times New Roman"/>
          <w:b/>
          <w:color w:val="auto"/>
          <w:spacing w:val="0"/>
          <w:position w:val="0"/>
          <w:sz w:val="24"/>
          <w:shd w:fill="auto" w:val="clear"/>
        </w:rPr>
        <w:t xml:space="preserve">“Que a União Operária seja nossa pátria.” História das lutas dos operários para construir suas organizações. </w:t>
      </w:r>
      <w:r>
        <w:rPr>
          <w:rFonts w:ascii="Times New Roman" w:hAnsi="Times New Roman" w:cs="Times New Roman" w:eastAsia="Times New Roman"/>
          <w:color w:val="auto"/>
          <w:spacing w:val="0"/>
          <w:position w:val="0"/>
          <w:sz w:val="24"/>
          <w:shd w:fill="auto" w:val="clear"/>
        </w:rPr>
        <w:t xml:space="preserve">Santa Maria:editoraufsm; Porto Alegre: Ed. Universidade/ UFRGS, 2001.</w:t>
      </w:r>
    </w:p>
    <w:p>
      <w:pPr>
        <w:spacing w:before="0" w:after="0" w:line="240"/>
        <w:ind w:right="0" w:left="0" w:firstLine="708"/>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RAGO, Margareth</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b/>
          <w:color w:val="auto"/>
          <w:spacing w:val="0"/>
          <w:position w:val="0"/>
          <w:sz w:val="24"/>
          <w:shd w:fill="auto" w:val="clear"/>
        </w:rPr>
        <w:t xml:space="preserve"> Trabalho feminino e sexualidade. </w:t>
      </w:r>
      <w:r>
        <w:rPr>
          <w:rFonts w:ascii="Times New Roman" w:hAnsi="Times New Roman" w:cs="Times New Roman" w:eastAsia="Times New Roman"/>
          <w:color w:val="auto"/>
          <w:spacing w:val="0"/>
          <w:position w:val="0"/>
          <w:sz w:val="24"/>
          <w:shd w:fill="auto" w:val="clear"/>
        </w:rPr>
        <w:t xml:space="preserve">In: PRIORE, Mary Del (Org.). História das Mulheres no Brasil. São Paulo: Contexto, 1997. </w:t>
      </w:r>
    </w:p>
    <w:p>
      <w:pPr>
        <w:spacing w:before="0" w:after="0" w:line="240"/>
        <w:ind w:right="0" w:left="0" w:firstLine="708"/>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REICHEL, Heloía Jochims. </w:t>
      </w:r>
      <w:r>
        <w:rPr>
          <w:rFonts w:ascii="Times New Roman" w:hAnsi="Times New Roman" w:cs="Times New Roman" w:eastAsia="Times New Roman"/>
          <w:b/>
          <w:color w:val="auto"/>
          <w:spacing w:val="0"/>
          <w:position w:val="0"/>
          <w:sz w:val="24"/>
          <w:shd w:fill="auto" w:val="clear"/>
        </w:rPr>
        <w:t xml:space="preserve">A industrialização no Rio Grande do Sul na República Velha</w:t>
      </w:r>
      <w:r>
        <w:rPr>
          <w:rFonts w:ascii="Times New Roman" w:hAnsi="Times New Roman" w:cs="Times New Roman" w:eastAsia="Times New Roman"/>
          <w:color w:val="auto"/>
          <w:spacing w:val="0"/>
          <w:position w:val="0"/>
          <w:sz w:val="24"/>
          <w:shd w:fill="auto" w:val="clear"/>
        </w:rPr>
        <w:t xml:space="preserve">. In: DACANAL, Gonzaga (Org.). RS:Economia e Política. Porto Alegre: Mercado Aberto, 1993. </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SCHMIDT, Benito Bisso. SCHMIDT, Benito Bisso. </w:t>
      </w:r>
      <w:r>
        <w:rPr>
          <w:rFonts w:ascii="Times New Roman" w:hAnsi="Times New Roman" w:cs="Times New Roman" w:eastAsia="Times New Roman"/>
          <w:b/>
          <w:color w:val="auto"/>
          <w:spacing w:val="0"/>
          <w:position w:val="0"/>
          <w:sz w:val="24"/>
          <w:shd w:fill="auto" w:val="clear"/>
        </w:rPr>
        <w:t xml:space="preserve">A Diretora dos Espíritos da Classe: A “Sociedade União Operária” (1893-1911).</w:t>
      </w:r>
      <w:r>
        <w:rPr>
          <w:rFonts w:ascii="Times New Roman" w:hAnsi="Times New Roman" w:cs="Times New Roman" w:eastAsia="Times New Roman"/>
          <w:color w:val="auto"/>
          <w:spacing w:val="0"/>
          <w:position w:val="0"/>
          <w:sz w:val="24"/>
          <w:shd w:fill="auto" w:val="clear"/>
        </w:rPr>
        <w:t xml:space="preserve"> In: Cadernos AEL, v.6, n.10/11, 1999.</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w:t>
      </w:r>
      <w:r>
        <w:rPr>
          <w:rFonts w:ascii="Times New Roman" w:hAnsi="Times New Roman" w:cs="Times New Roman" w:eastAsia="Times New Roman"/>
          <w:b/>
          <w:color w:val="auto"/>
          <w:spacing w:val="0"/>
          <w:position w:val="0"/>
          <w:sz w:val="24"/>
          <w:shd w:fill="auto" w:val="clear"/>
        </w:rPr>
        <w:t xml:space="preserve">“Companheiras!” As mulheres e o movimento operário brasileiro (1889- 1930)</w:t>
      </w:r>
      <w:r>
        <w:rPr>
          <w:rFonts w:ascii="Times New Roman" w:hAnsi="Times New Roman" w:cs="Times New Roman" w:eastAsia="Times New Roman"/>
          <w:color w:val="auto"/>
          <w:spacing w:val="0"/>
          <w:position w:val="0"/>
          <w:sz w:val="24"/>
          <w:shd w:fill="auto" w:val="clear"/>
        </w:rPr>
        <w:t xml:space="preserve">. S/d. </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SOIHET, Rachel</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História </w:t>
      </w:r>
      <w:r>
        <w:rPr>
          <w:rFonts w:ascii="Times New Roman" w:hAnsi="Times New Roman" w:cs="Times New Roman" w:eastAsia="Times New Roman"/>
          <w:b/>
          <w:color w:val="auto"/>
          <w:spacing w:val="0"/>
          <w:position w:val="0"/>
          <w:sz w:val="24"/>
          <w:shd w:fill="auto" w:val="clear"/>
        </w:rPr>
        <w:t xml:space="preserve">das Mulheres</w:t>
      </w:r>
      <w:r>
        <w:rPr>
          <w:rFonts w:ascii="Times New Roman" w:hAnsi="Times New Roman" w:cs="Times New Roman" w:eastAsia="Times New Roman"/>
          <w:color w:val="auto"/>
          <w:spacing w:val="0"/>
          <w:position w:val="0"/>
          <w:sz w:val="24"/>
          <w:shd w:fill="auto" w:val="clear"/>
        </w:rPr>
        <w:t xml:space="preserve">. In: FLAMARION, Ciro. (Org.) Domínios da História: ensaios da teoria e da metodologia.  Rio de Janeiro: Campus, 1997.</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Maria Amélia Gonçalves da.  </w:t>
      </w:r>
      <w:r>
        <w:rPr>
          <w:rFonts w:ascii="Times New Roman" w:hAnsi="Times New Roman" w:cs="Times New Roman" w:eastAsia="Times New Roman"/>
          <w:b/>
          <w:color w:val="auto"/>
          <w:spacing w:val="0"/>
          <w:position w:val="0"/>
          <w:sz w:val="24"/>
          <w:shd w:fill="auto" w:val="clear"/>
        </w:rPr>
        <w:t xml:space="preserve">“Rompendo o silêncio: A participação feminina no Movimento Operário de Rio Grande-Pelotas (1890-1920). </w:t>
      </w:r>
      <w:r>
        <w:rPr>
          <w:rFonts w:ascii="Times New Roman" w:hAnsi="Times New Roman" w:cs="Times New Roman" w:eastAsia="Times New Roman"/>
          <w:color w:val="auto"/>
          <w:spacing w:val="0"/>
          <w:position w:val="0"/>
          <w:sz w:val="24"/>
          <w:shd w:fill="auto" w:val="clear"/>
        </w:rPr>
        <w:t xml:space="preserve">Dissertação de mestrado, Porto Alegre:PUCRS, 1996. </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TORRES, Luiz Henrique</w:t>
      </w:r>
      <w:r>
        <w:rPr>
          <w:rFonts w:ascii="Times New Roman" w:hAnsi="Times New Roman" w:cs="Times New Roman" w:eastAsia="Times New Roman"/>
          <w:b/>
          <w:color w:val="auto"/>
          <w:spacing w:val="0"/>
          <w:position w:val="0"/>
          <w:sz w:val="24"/>
          <w:shd w:fill="auto" w:val="clear"/>
        </w:rPr>
        <w:t xml:space="preserve">. Rio Grande, 1918: a gripe Espanhola e o colapso do cotidiano</w:t>
      </w:r>
      <w:r>
        <w:rPr>
          <w:rFonts w:ascii="Times New Roman" w:hAnsi="Times New Roman" w:cs="Times New Roman" w:eastAsia="Times New Roman"/>
          <w:color w:val="auto"/>
          <w:spacing w:val="0"/>
          <w:position w:val="0"/>
          <w:sz w:val="24"/>
          <w:shd w:fill="auto" w:val="clear"/>
        </w:rPr>
        <w:t xml:space="preserve">. Rio Grande: FURG, 2008.  </w:t>
      </w:r>
    </w:p>
    <w:p>
      <w:pPr>
        <w:tabs>
          <w:tab w:val="left" w:pos="6120" w:leader="none"/>
        </w:tabs>
        <w:spacing w:before="0" w:after="0" w:line="360"/>
        <w:ind w:right="-703" w:left="0" w:firstLine="72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54" w:after="0" w:line="360"/>
        <w:ind w:right="1418" w:left="2877" w:hanging="1446"/>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UNIVERSIDADE FEDERAL DE SANTA CATARINA CENTRO SÓCIO-ECONÔMICO</w:t>
      </w:r>
    </w:p>
    <w:p>
      <w:pPr>
        <w:spacing w:before="8" w:after="0" w:line="240"/>
        <w:ind w:right="171" w:left="98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PROGRAMA DE PÓS GRADUAÇAO EM SERVIÇO SOCIAL</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8"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357"/>
        <w:ind w:right="171" w:left="2727" w:hanging="1834"/>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Relações de Gênero no Brasil e em Santa Catarina: reflexos de uma construção histórica.</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31"/>
          <w:shd w:fill="auto" w:val="clear"/>
        </w:rPr>
      </w:pPr>
    </w:p>
    <w:p>
      <w:pPr>
        <w:spacing w:before="0" w:after="0" w:line="274"/>
        <w:ind w:right="208" w:left="3923"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Professora/Orientadora: Teresa Kleba Lisboa. Mestranda: Marisa. S. Albrecht.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418" w:left="2569"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FLORIANÓPOLIS (SC) - Setembro/2010.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54" w:after="0" w:line="360"/>
        <w:ind w:right="311" w:left="3894" w:hanging="3568"/>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Relações de Gênero no Brasil e em Santa Catarina: reflexos de uma construção histórica.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116"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Resumo</w:t>
      </w:r>
      <w:r>
        <w:rPr>
          <w:rFonts w:ascii="Times New Roman" w:hAnsi="Times New Roman" w:cs="Times New Roman" w:eastAsia="Times New Roman"/>
          <w:color w:val="auto"/>
          <w:spacing w:val="0"/>
          <w:position w:val="0"/>
          <w:sz w:val="24"/>
          <w:shd w:fill="auto" w:val="clear"/>
        </w:rPr>
        <w:t xml:space="preserve">: Este artigo é resultado de uma pesquisa bibliográfica, e através dele vamos abordar e discutir a categoria gênero e suas implicações, de forma específica, refletindo sobre as desigualdades existentes entre homens e mulheres, principalmente na esfera produtiva, apresentando dados do Instituto Brasileiro de Geografia e Estatística- IBGE referentes à temática. E ainda vamos elencar de forma breve a categoria gênero, relacionando-a com equidade e igualdade, e refletindo sobre políticas de equidade de gênero.</w:t>
      </w:r>
    </w:p>
    <w:p>
      <w:pPr>
        <w:spacing w:before="4" w:after="0" w:line="240"/>
        <w:ind w:right="0"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Palavras-chave: Gênero, desigualdades de gênero, construção social, equidade.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0" w:after="0" w:line="360"/>
        <w:ind w:right="116"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 </w:t>
      </w:r>
      <w:r>
        <w:rPr>
          <w:rFonts w:ascii="Times New Roman" w:hAnsi="Times New Roman" w:cs="Times New Roman" w:eastAsia="Times New Roman"/>
          <w:color w:val="auto"/>
          <w:spacing w:val="0"/>
          <w:position w:val="0"/>
          <w:sz w:val="24"/>
          <w:shd w:fill="auto" w:val="clear"/>
        </w:rPr>
        <w:t xml:space="preserve">As múltiplas desigualdades de gênero evidenciadas na cena contemporânea, principalmente na esfera produtiva atingem um número expressivo de mulheres, e são reflexos decorrentes de uma construção social que determina espaços e papeis sociais que homens e mulheres devem assumir. E é nesse sentido que queremos discorrer sobre a categoria gênero e sobre as desigualdades existentes entre homens e mulheres no cenário nacional e catarinense.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240"/>
        <w:ind w:right="0" w:left="119"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Discussões sobre a categoria Gênero no Brasil:</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9"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é muito comum presenciarmos em nosso cotidiano falas que justifiquem certas ações, e estas </w:t>
      </w:r>
      <w:r>
        <w:rPr>
          <w:rFonts w:ascii="Times New Roman" w:hAnsi="Times New Roman" w:cs="Times New Roman" w:eastAsia="Times New Roman"/>
          <w:color w:val="auto"/>
          <w:spacing w:val="-3"/>
          <w:position w:val="0"/>
          <w:sz w:val="24"/>
          <w:shd w:fill="auto" w:val="clear"/>
        </w:rPr>
        <w:t xml:space="preserve">falas </w:t>
      </w:r>
      <w:r>
        <w:rPr>
          <w:rFonts w:ascii="Times New Roman" w:hAnsi="Times New Roman" w:cs="Times New Roman" w:eastAsia="Times New Roman"/>
          <w:color w:val="auto"/>
          <w:spacing w:val="0"/>
          <w:position w:val="0"/>
          <w:sz w:val="24"/>
          <w:shd w:fill="auto" w:val="clear"/>
        </w:rPr>
        <w:t xml:space="preserve">são constituídas de significados e tendem a difundir  consensos, e a expressar valores, os quais são reproduzidos. Ainda costumamos ouvir frases como: “brincar de carrinho é coisa de menino”, “brincar de bonecas é coisa de menina”, ou então, </w:t>
      </w:r>
      <w:r>
        <w:rPr>
          <w:rFonts w:ascii="Times New Roman" w:hAnsi="Times New Roman" w:cs="Times New Roman" w:eastAsia="Times New Roman"/>
          <w:color w:val="auto"/>
          <w:spacing w:val="-3"/>
          <w:position w:val="0"/>
          <w:sz w:val="24"/>
          <w:shd w:fill="auto" w:val="clear"/>
        </w:rPr>
        <w:t xml:space="preserve">“as </w:t>
      </w:r>
      <w:r>
        <w:rPr>
          <w:rFonts w:ascii="Times New Roman" w:hAnsi="Times New Roman" w:cs="Times New Roman" w:eastAsia="Times New Roman"/>
          <w:color w:val="auto"/>
          <w:spacing w:val="0"/>
          <w:position w:val="0"/>
          <w:sz w:val="24"/>
          <w:shd w:fill="auto" w:val="clear"/>
        </w:rPr>
        <w:t xml:space="preserve">mulheres </w:t>
      </w:r>
      <w:r>
        <w:rPr>
          <w:rFonts w:ascii="Times New Roman" w:hAnsi="Times New Roman" w:cs="Times New Roman" w:eastAsia="Times New Roman"/>
          <w:color w:val="auto"/>
          <w:spacing w:val="2"/>
          <w:position w:val="0"/>
          <w:sz w:val="24"/>
          <w:shd w:fill="auto" w:val="clear"/>
        </w:rPr>
        <w:t xml:space="preserve">tem </w:t>
      </w:r>
      <w:r>
        <w:rPr>
          <w:rFonts w:ascii="Times New Roman" w:hAnsi="Times New Roman" w:cs="Times New Roman" w:eastAsia="Times New Roman"/>
          <w:color w:val="auto"/>
          <w:spacing w:val="0"/>
          <w:position w:val="0"/>
          <w:sz w:val="24"/>
          <w:shd w:fill="auto" w:val="clear"/>
        </w:rPr>
        <w:t xml:space="preserve">a obrigação de cuidar da casa, dos filhos e do marido”, e </w:t>
      </w:r>
      <w:r>
        <w:rPr>
          <w:rFonts w:ascii="Times New Roman" w:hAnsi="Times New Roman" w:cs="Times New Roman" w:eastAsia="Times New Roman"/>
          <w:color w:val="auto"/>
          <w:spacing w:val="-3"/>
          <w:position w:val="0"/>
          <w:sz w:val="24"/>
          <w:shd w:fill="auto" w:val="clear"/>
        </w:rPr>
        <w:t xml:space="preserve">“o </w:t>
      </w:r>
      <w:r>
        <w:rPr>
          <w:rFonts w:ascii="Times New Roman" w:hAnsi="Times New Roman" w:cs="Times New Roman" w:eastAsia="Times New Roman"/>
          <w:color w:val="auto"/>
          <w:spacing w:val="0"/>
          <w:position w:val="0"/>
          <w:sz w:val="24"/>
          <w:shd w:fill="auto" w:val="clear"/>
        </w:rPr>
        <w:t xml:space="preserve">homem </w:t>
      </w:r>
      <w:r>
        <w:rPr>
          <w:rFonts w:ascii="Times New Roman" w:hAnsi="Times New Roman" w:cs="Times New Roman" w:eastAsia="Times New Roman"/>
          <w:color w:val="auto"/>
          <w:spacing w:val="2"/>
          <w:position w:val="0"/>
          <w:sz w:val="24"/>
          <w:shd w:fill="auto" w:val="clear"/>
        </w:rPr>
        <w:t xml:space="preserve">tem </w:t>
      </w:r>
      <w:r>
        <w:rPr>
          <w:rFonts w:ascii="Times New Roman" w:hAnsi="Times New Roman" w:cs="Times New Roman" w:eastAsia="Times New Roman"/>
          <w:color w:val="auto"/>
          <w:spacing w:val="0"/>
          <w:position w:val="0"/>
          <w:sz w:val="24"/>
          <w:shd w:fill="auto" w:val="clear"/>
        </w:rPr>
        <w:t xml:space="preserve">o dever de trabalhar fora para sustentar a sua família”. </w:t>
      </w:r>
      <w:r>
        <w:rPr>
          <w:rFonts w:ascii="Times New Roman" w:hAnsi="Times New Roman" w:cs="Times New Roman" w:eastAsia="Times New Roman"/>
          <w:color w:val="auto"/>
          <w:spacing w:val="5"/>
          <w:position w:val="0"/>
          <w:sz w:val="24"/>
          <w:shd w:fill="auto" w:val="clear"/>
        </w:rPr>
        <w:t xml:space="preserve">Em </w:t>
      </w:r>
      <w:r>
        <w:rPr>
          <w:rFonts w:ascii="Times New Roman" w:hAnsi="Times New Roman" w:cs="Times New Roman" w:eastAsia="Times New Roman"/>
          <w:color w:val="auto"/>
          <w:spacing w:val="0"/>
          <w:position w:val="0"/>
          <w:sz w:val="24"/>
          <w:shd w:fill="auto" w:val="clear"/>
        </w:rPr>
        <w:t xml:space="preserve">pleno século XXI essas afirmações continuam legitimando atitudes e formando sujeitos repletos de significados. </w:t>
      </w:r>
      <w:r>
        <w:rPr>
          <w:rFonts w:ascii="Times New Roman" w:hAnsi="Times New Roman" w:cs="Times New Roman" w:eastAsia="Times New Roman"/>
          <w:color w:val="auto"/>
          <w:spacing w:val="-3"/>
          <w:position w:val="0"/>
          <w:sz w:val="24"/>
          <w:shd w:fill="auto" w:val="clear"/>
        </w:rPr>
        <w:t xml:space="preserve">Ao </w:t>
      </w:r>
      <w:r>
        <w:rPr>
          <w:rFonts w:ascii="Times New Roman" w:hAnsi="Times New Roman" w:cs="Times New Roman" w:eastAsia="Times New Roman"/>
          <w:color w:val="auto"/>
          <w:spacing w:val="0"/>
          <w:position w:val="0"/>
          <w:sz w:val="24"/>
          <w:shd w:fill="auto" w:val="clear"/>
        </w:rPr>
        <w:t xml:space="preserve">proferirem tais frases as pessoas estão justificando ações, e até </w:t>
      </w:r>
      <w:r>
        <w:rPr>
          <w:rFonts w:ascii="Times New Roman" w:hAnsi="Times New Roman" w:cs="Times New Roman" w:eastAsia="Times New Roman"/>
          <w:color w:val="auto"/>
          <w:spacing w:val="-3"/>
          <w:position w:val="0"/>
          <w:sz w:val="24"/>
          <w:shd w:fill="auto" w:val="clear"/>
        </w:rPr>
        <w:t xml:space="preserve">mesmo </w:t>
      </w:r>
      <w:r>
        <w:rPr>
          <w:rFonts w:ascii="Times New Roman" w:hAnsi="Times New Roman" w:cs="Times New Roman" w:eastAsia="Times New Roman"/>
          <w:color w:val="auto"/>
          <w:spacing w:val="0"/>
          <w:position w:val="0"/>
          <w:sz w:val="24"/>
          <w:shd w:fill="auto" w:val="clear"/>
        </w:rPr>
        <w:t xml:space="preserve">atos discriminatórios, e tais justificativas podem ser repensadas, desconstruídas se discutirmos a categoria gênero e suas</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implicações.</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4" w:after="0" w:line="350"/>
        <w:ind w:right="108" w:left="119" w:firstLine="71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Mas ao recorrermos a um dicionário da língua portuguesa a palavra gênero</w:t>
      </w:r>
      <w:r>
        <w:rPr>
          <w:rFonts w:ascii="Times New Roman" w:hAnsi="Times New Roman" w:cs="Times New Roman" w:eastAsia="Times New Roman"/>
          <w:color w:val="auto"/>
          <w:spacing w:val="0"/>
          <w:position w:val="11"/>
          <w:sz w:val="16"/>
          <w:shd w:fill="auto" w:val="clear"/>
        </w:rPr>
        <w:t xml:space="preserve">1</w:t>
      </w:r>
      <w:r>
        <w:rPr>
          <w:rFonts w:ascii="Times New Roman" w:hAnsi="Times New Roman" w:cs="Times New Roman" w:eastAsia="Times New Roman"/>
          <w:color w:val="auto"/>
          <w:spacing w:val="0"/>
          <w:position w:val="11"/>
          <w:sz w:val="24"/>
          <w:shd w:fill="auto" w:val="clear"/>
        </w:rPr>
        <w:t xml:space="preserve">, é concebida como um substantivo masculino que designa uma classe que se divide em outras, que são chamadas de espécies. Se recorrermos ao dicionário inglês </w:t>
      </w:r>
      <w:r>
        <w:rPr>
          <w:rFonts w:ascii="Times New Roman" w:hAnsi="Times New Roman" w:cs="Times New Roman" w:eastAsia="Times New Roman"/>
          <w:i/>
          <w:color w:val="auto"/>
          <w:spacing w:val="0"/>
          <w:position w:val="11"/>
          <w:sz w:val="24"/>
          <w:shd w:fill="auto" w:val="clear"/>
        </w:rPr>
        <w:t xml:space="preserve">gender</w:t>
      </w:r>
      <w:r>
        <w:rPr>
          <w:rFonts w:ascii="Times New Roman" w:hAnsi="Times New Roman" w:cs="Times New Roman" w:eastAsia="Times New Roman"/>
          <w:i/>
          <w:color w:val="auto"/>
          <w:spacing w:val="0"/>
          <w:position w:val="11"/>
          <w:sz w:val="16"/>
          <w:shd w:fill="auto" w:val="clear"/>
        </w:rPr>
        <w:t xml:space="preserve">2 </w:t>
      </w:r>
      <w:r>
        <w:rPr>
          <w:rFonts w:ascii="Times New Roman" w:hAnsi="Times New Roman" w:cs="Times New Roman" w:eastAsia="Times New Roman"/>
          <w:color w:val="auto"/>
          <w:spacing w:val="0"/>
          <w:position w:val="11"/>
          <w:sz w:val="24"/>
          <w:shd w:fill="auto" w:val="clear"/>
        </w:rPr>
        <w:t xml:space="preserve">é um substantivo que designa exatamente a condição física e/ou social do masculino e do feminino. Aliás, a mesma dificuldade ocorre com a língua francesa, daí a utilização da expressão </w:t>
      </w:r>
      <w:r>
        <w:rPr>
          <w:rFonts w:ascii="Times New Roman" w:hAnsi="Times New Roman" w:cs="Times New Roman" w:eastAsia="Times New Roman"/>
          <w:i/>
          <w:color w:val="auto"/>
          <w:spacing w:val="0"/>
          <w:position w:val="11"/>
          <w:sz w:val="24"/>
          <w:shd w:fill="auto" w:val="clear"/>
        </w:rPr>
        <w:t xml:space="preserve">rapports sociaux </w:t>
      </w:r>
      <w:r>
        <w:rPr>
          <w:rFonts w:ascii="Times New Roman" w:hAnsi="Times New Roman" w:cs="Times New Roman" w:eastAsia="Times New Roman"/>
          <w:color w:val="auto"/>
          <w:spacing w:val="0"/>
          <w:position w:val="11"/>
          <w:sz w:val="24"/>
          <w:shd w:fill="auto" w:val="clear"/>
        </w:rPr>
        <w:t xml:space="preserve">de </w:t>
      </w:r>
      <w:r>
        <w:rPr>
          <w:rFonts w:ascii="Times New Roman" w:hAnsi="Times New Roman" w:cs="Times New Roman" w:eastAsia="Times New Roman"/>
          <w:i/>
          <w:color w:val="auto"/>
          <w:spacing w:val="0"/>
          <w:position w:val="11"/>
          <w:sz w:val="24"/>
          <w:shd w:fill="auto" w:val="clear"/>
        </w:rPr>
        <w:t xml:space="preserve">sexe, </w:t>
      </w:r>
      <w:r>
        <w:rPr>
          <w:rFonts w:ascii="Times New Roman" w:hAnsi="Times New Roman" w:cs="Times New Roman" w:eastAsia="Times New Roman"/>
          <w:color w:val="auto"/>
          <w:spacing w:val="0"/>
          <w:position w:val="11"/>
          <w:sz w:val="24"/>
          <w:shd w:fill="auto" w:val="clear"/>
        </w:rPr>
        <w:t xml:space="preserve">que significa</w:t>
      </w:r>
      <w:r>
        <w:rPr>
          <w:rFonts w:ascii="Times New Roman" w:hAnsi="Times New Roman" w:cs="Times New Roman" w:eastAsia="Times New Roman"/>
          <w:color w:val="auto"/>
          <w:spacing w:val="0"/>
          <w:position w:val="11"/>
          <w:sz w:val="16"/>
          <w:shd w:fill="auto" w:val="clear"/>
        </w:rPr>
        <w:t xml:space="preserve">3 </w:t>
      </w:r>
      <w:r>
        <w:rPr>
          <w:rFonts w:ascii="Times New Roman" w:hAnsi="Times New Roman" w:cs="Times New Roman" w:eastAsia="Times New Roman"/>
          <w:color w:val="auto"/>
          <w:spacing w:val="0"/>
          <w:position w:val="11"/>
          <w:sz w:val="24"/>
          <w:shd w:fill="auto" w:val="clear"/>
        </w:rPr>
        <w:t xml:space="preserve">relações de gênero. Existe, portanto, uma dificuldade semântica que pode confundir o leitor e limitá-lo na compreensão de tal categoria, talvez por isso gênero seja considerada uma categoria acadêmica.</w:t>
      </w:r>
    </w:p>
    <w:p>
      <w:pPr>
        <w:spacing w:before="14" w:after="0" w:line="360"/>
        <w:ind w:right="111"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 colocar que o termo gênero enquanto categoria analítica surgiu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segunda metade do século XX, e começou a ser discutida no Brasil mais precisamente a partir da década de 90, trazendo mudanças e novas perspectivas para o </w:t>
      </w:r>
      <w:r>
        <w:rPr>
          <w:rFonts w:ascii="Times New Roman" w:hAnsi="Times New Roman" w:cs="Times New Roman" w:eastAsia="Times New Roman"/>
          <w:color w:val="auto"/>
          <w:spacing w:val="-3"/>
          <w:position w:val="0"/>
          <w:sz w:val="24"/>
          <w:shd w:fill="auto" w:val="clear"/>
        </w:rPr>
        <w:t xml:space="preserve">campo </w:t>
      </w:r>
      <w:r>
        <w:rPr>
          <w:rFonts w:ascii="Times New Roman" w:hAnsi="Times New Roman" w:cs="Times New Roman" w:eastAsia="Times New Roman"/>
          <w:color w:val="auto"/>
          <w:spacing w:val="0"/>
          <w:position w:val="0"/>
          <w:sz w:val="24"/>
          <w:shd w:fill="auto" w:val="clear"/>
        </w:rPr>
        <w:t xml:space="preserve">teórico. Uma precursora dessa discussão é Joan Scott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1995), seu texto: “Gênero: </w:t>
      </w:r>
      <w:r>
        <w:rPr>
          <w:rFonts w:ascii="Times New Roman" w:hAnsi="Times New Roman" w:cs="Times New Roman" w:eastAsia="Times New Roman"/>
          <w:color w:val="auto"/>
          <w:spacing w:val="-4"/>
          <w:position w:val="0"/>
          <w:sz w:val="24"/>
          <w:shd w:fill="auto" w:val="clear"/>
        </w:rPr>
        <w:t xml:space="preserve">uma </w:t>
      </w:r>
      <w:r>
        <w:rPr>
          <w:rFonts w:ascii="Times New Roman" w:hAnsi="Times New Roman" w:cs="Times New Roman" w:eastAsia="Times New Roman"/>
          <w:color w:val="auto"/>
          <w:spacing w:val="0"/>
          <w:position w:val="0"/>
          <w:sz w:val="24"/>
          <w:shd w:fill="auto" w:val="clear"/>
        </w:rPr>
        <w:t xml:space="preserve">categoria útil de análise histórica” representa um marco histórico, </w:t>
      </w:r>
      <w:r>
        <w:rPr>
          <w:rFonts w:ascii="Times New Roman" w:hAnsi="Times New Roman" w:cs="Times New Roman" w:eastAsia="Times New Roman"/>
          <w:color w:val="auto"/>
          <w:spacing w:val="-3"/>
          <w:position w:val="0"/>
          <w:sz w:val="24"/>
          <w:shd w:fill="auto" w:val="clear"/>
        </w:rPr>
        <w:t xml:space="preserve">pois </w:t>
      </w:r>
      <w:r>
        <w:rPr>
          <w:rFonts w:ascii="Times New Roman" w:hAnsi="Times New Roman" w:cs="Times New Roman" w:eastAsia="Times New Roman"/>
          <w:color w:val="auto"/>
          <w:spacing w:val="0"/>
          <w:position w:val="0"/>
          <w:sz w:val="24"/>
          <w:shd w:fill="auto" w:val="clear"/>
        </w:rPr>
        <w:t xml:space="preserve">ela é a primeira autora a publicizar a categoria gênero e ainda a instigar e motivar os espaços acadêmicos para </w:t>
      </w:r>
      <w:r>
        <w:rPr>
          <w:rFonts w:ascii="Times New Roman" w:hAnsi="Times New Roman" w:cs="Times New Roman" w:eastAsia="Times New Roman"/>
          <w:color w:val="auto"/>
          <w:spacing w:val="2"/>
          <w:position w:val="0"/>
          <w:sz w:val="24"/>
          <w:shd w:fill="auto" w:val="clear"/>
        </w:rPr>
        <w:t xml:space="preserve">tal </w:t>
      </w:r>
      <w:r>
        <w:rPr>
          <w:rFonts w:ascii="Times New Roman" w:hAnsi="Times New Roman" w:cs="Times New Roman" w:eastAsia="Times New Roman"/>
          <w:color w:val="auto"/>
          <w:spacing w:val="0"/>
          <w:position w:val="0"/>
          <w:sz w:val="24"/>
          <w:shd w:fill="auto" w:val="clear"/>
        </w:rPr>
        <w:t xml:space="preserve">discussão. Foi a partir dos estudos de Scott (1995), que gênero passou a ser considerada uma categoria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acadêmica.</w:t>
      </w:r>
    </w:p>
    <w:p>
      <w:pPr>
        <w:spacing w:before="4" w:after="0" w:line="240"/>
        <w:ind w:right="311" w:left="72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Lisboa (2005, p. 71)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19"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categoria gênero é uma categoria relacional que busca explicar a  construção de </w:t>
      </w:r>
      <w:r>
        <w:rPr>
          <w:rFonts w:ascii="Times New Roman" w:hAnsi="Times New Roman" w:cs="Times New Roman" w:eastAsia="Times New Roman"/>
          <w:color w:val="auto"/>
          <w:spacing w:val="-3"/>
          <w:position w:val="0"/>
          <w:sz w:val="20"/>
          <w:shd w:fill="auto" w:val="clear"/>
        </w:rPr>
        <w:t xml:space="preserve">um </w:t>
      </w:r>
      <w:r>
        <w:rPr>
          <w:rFonts w:ascii="Times New Roman" w:hAnsi="Times New Roman" w:cs="Times New Roman" w:eastAsia="Times New Roman"/>
          <w:color w:val="auto"/>
          <w:spacing w:val="0"/>
          <w:position w:val="0"/>
          <w:sz w:val="20"/>
          <w:shd w:fill="auto" w:val="clear"/>
        </w:rPr>
        <w:t xml:space="preserve">tipo de diferença entre </w:t>
      </w:r>
      <w:r>
        <w:rPr>
          <w:rFonts w:ascii="Times New Roman" w:hAnsi="Times New Roman" w:cs="Times New Roman" w:eastAsia="Times New Roman"/>
          <w:color w:val="auto"/>
          <w:spacing w:val="-3"/>
          <w:position w:val="0"/>
          <w:sz w:val="20"/>
          <w:shd w:fill="auto" w:val="clear"/>
        </w:rPr>
        <w:t xml:space="preserve">os </w:t>
      </w:r>
      <w:r>
        <w:rPr>
          <w:rFonts w:ascii="Times New Roman" w:hAnsi="Times New Roman" w:cs="Times New Roman" w:eastAsia="Times New Roman"/>
          <w:color w:val="auto"/>
          <w:spacing w:val="0"/>
          <w:position w:val="0"/>
          <w:sz w:val="20"/>
          <w:shd w:fill="auto" w:val="clear"/>
        </w:rPr>
        <w:t xml:space="preserve">seres humanos que não pode ser reduzida a mulher. Gênero é mais que uma categoria, é uma teoria ampla que abrange hipóteses, interpretações, outras categorias e conhecimentos relativos ao conjunto de fenômenos históricos construídos em torno </w:t>
      </w:r>
      <w:r>
        <w:rPr>
          <w:rFonts w:ascii="Times New Roman" w:hAnsi="Times New Roman" w:cs="Times New Roman" w:eastAsia="Times New Roman"/>
          <w:color w:val="auto"/>
          <w:spacing w:val="-3"/>
          <w:position w:val="0"/>
          <w:sz w:val="20"/>
          <w:shd w:fill="auto" w:val="clear"/>
        </w:rPr>
        <w:t xml:space="preserve">do</w:t>
      </w:r>
      <w:r>
        <w:rPr>
          <w:rFonts w:ascii="Times New Roman" w:hAnsi="Times New Roman" w:cs="Times New Roman" w:eastAsia="Times New Roman"/>
          <w:color w:val="auto"/>
          <w:spacing w:val="-2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sexo.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4" w:left="119" w:firstLine="7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Gênero é entendido como uma categoria ampla, permeada por relações, por interpretações que não devem ser restritas apenas ao universo feminino, pois evolvem homens e mulheres e as relações que estes estabelecem, na vida em sociedade.</w:t>
      </w:r>
    </w:p>
    <w:p>
      <w:pPr>
        <w:spacing w:before="4" w:after="0" w:line="360"/>
        <w:ind w:right="113"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aborda de forma histórica a importância da categoria gênero, </w:t>
      </w:r>
      <w:r>
        <w:rPr>
          <w:rFonts w:ascii="Times New Roman" w:hAnsi="Times New Roman" w:cs="Times New Roman" w:eastAsia="Times New Roman"/>
          <w:color w:val="auto"/>
          <w:spacing w:val="-3"/>
          <w:position w:val="0"/>
          <w:sz w:val="24"/>
          <w:shd w:fill="auto" w:val="clear"/>
        </w:rPr>
        <w:t xml:space="preserve">pois </w:t>
      </w:r>
      <w:r>
        <w:rPr>
          <w:rFonts w:ascii="Times New Roman" w:hAnsi="Times New Roman" w:cs="Times New Roman" w:eastAsia="Times New Roman"/>
          <w:color w:val="auto"/>
          <w:spacing w:val="0"/>
          <w:position w:val="0"/>
          <w:sz w:val="24"/>
          <w:shd w:fill="auto" w:val="clear"/>
        </w:rPr>
        <w:t xml:space="preserve">até  então, os estudos feministas estavam somente relacionado ao estudo das mulheres, e se limitavam a discutir apenas questões femininas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Através de seus  estudos  emergem novas possibilidades para discussão da categoria gênero, Scott nos </w:t>
      </w:r>
      <w:r>
        <w:rPr>
          <w:rFonts w:ascii="Times New Roman" w:hAnsi="Times New Roman" w:cs="Times New Roman" w:eastAsia="Times New Roman"/>
          <w:color w:val="auto"/>
          <w:spacing w:val="-3"/>
          <w:position w:val="0"/>
          <w:sz w:val="24"/>
          <w:shd w:fill="auto" w:val="clear"/>
        </w:rPr>
        <w:t xml:space="preserve">faz </w:t>
      </w:r>
      <w:r>
        <w:rPr>
          <w:rFonts w:ascii="Times New Roman" w:hAnsi="Times New Roman" w:cs="Times New Roman" w:eastAsia="Times New Roman"/>
          <w:color w:val="auto"/>
          <w:spacing w:val="0"/>
          <w:position w:val="0"/>
          <w:sz w:val="24"/>
          <w:shd w:fill="auto" w:val="clear"/>
        </w:rPr>
        <w:t xml:space="preserve">repensar tudo o que  </w:t>
      </w:r>
      <w:r>
        <w:rPr>
          <w:rFonts w:ascii="Times New Roman" w:hAnsi="Times New Roman" w:cs="Times New Roman" w:eastAsia="Times New Roman"/>
          <w:color w:val="auto"/>
          <w:spacing w:val="-5"/>
          <w:position w:val="0"/>
          <w:sz w:val="24"/>
          <w:shd w:fill="auto" w:val="clear"/>
        </w:rPr>
        <w:t xml:space="preserve">já   </w:t>
      </w:r>
      <w:r>
        <w:rPr>
          <w:rFonts w:ascii="Times New Roman" w:hAnsi="Times New Roman" w:cs="Times New Roman" w:eastAsia="Times New Roman"/>
          <w:color w:val="auto"/>
          <w:spacing w:val="0"/>
          <w:position w:val="0"/>
          <w:sz w:val="24"/>
          <w:shd w:fill="auto" w:val="clear"/>
        </w:rPr>
        <w:t xml:space="preserve">tinha  sido   dito   e  escrito  sobre  as  mulheres,  e  sobre  as  relações    </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sociais</w:t>
      </w:r>
    </w:p>
    <w:p>
      <w:pPr>
        <w:spacing w:before="0"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8"/>
          <w:shd w:fill="auto" w:val="clear"/>
        </w:rPr>
      </w:pPr>
    </w:p>
    <w:p>
      <w:pPr>
        <w:spacing w:before="84" w:after="0" w:line="240"/>
        <w:ind w:right="311" w:left="119" w:firstLine="0"/>
        <w:jc w:val="left"/>
        <w:rPr>
          <w:rFonts w:ascii="Times New Roman" w:hAnsi="Times New Roman" w:cs="Times New Roman" w:eastAsia="Times New Roman"/>
          <w:i/>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1 </w:t>
      </w:r>
      <w:r>
        <w:rPr>
          <w:rFonts w:ascii="Times New Roman" w:hAnsi="Times New Roman" w:cs="Times New Roman" w:eastAsia="Times New Roman"/>
          <w:color w:val="auto"/>
          <w:spacing w:val="0"/>
          <w:position w:val="9"/>
          <w:sz w:val="20"/>
          <w:shd w:fill="auto" w:val="clear"/>
        </w:rPr>
        <w:t xml:space="preserve">Gênero. S.M. 1. Classe cuja extensão se divide em outras classes, às quais, em relação à primeira, são chamadas espécies. </w:t>
      </w:r>
      <w:r>
        <w:rPr>
          <w:rFonts w:ascii="Times New Roman" w:hAnsi="Times New Roman" w:cs="Times New Roman" w:eastAsia="Times New Roman"/>
          <w:i/>
          <w:color w:val="auto"/>
          <w:spacing w:val="0"/>
          <w:position w:val="9"/>
          <w:sz w:val="20"/>
          <w:shd w:fill="auto" w:val="clear"/>
        </w:rPr>
        <w:t xml:space="preserve">Novo Dicionário Aurélio</w:t>
      </w:r>
    </w:p>
    <w:p>
      <w:pPr>
        <w:spacing w:before="3" w:after="0" w:line="240"/>
        <w:ind w:right="311" w:left="119" w:firstLine="0"/>
        <w:jc w:val="left"/>
        <w:rPr>
          <w:rFonts w:ascii="Times New Roman" w:hAnsi="Times New Roman" w:cs="Times New Roman" w:eastAsia="Times New Roman"/>
          <w:i/>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2 </w:t>
      </w:r>
      <w:r>
        <w:rPr>
          <w:rFonts w:ascii="Times New Roman" w:hAnsi="Times New Roman" w:cs="Times New Roman" w:eastAsia="Times New Roman"/>
          <w:color w:val="auto"/>
          <w:spacing w:val="0"/>
          <w:position w:val="9"/>
          <w:sz w:val="20"/>
          <w:shd w:fill="auto" w:val="clear"/>
        </w:rPr>
        <w:t xml:space="preserve">gender. n specialized or fml the physical and/or social condition of being male o female.</w:t>
      </w:r>
      <w:r>
        <w:rPr>
          <w:rFonts w:ascii="Times New Roman" w:hAnsi="Times New Roman" w:cs="Times New Roman" w:eastAsia="Times New Roman"/>
          <w:i/>
          <w:color w:val="auto"/>
          <w:spacing w:val="0"/>
          <w:position w:val="9"/>
          <w:sz w:val="20"/>
          <w:shd w:fill="auto" w:val="clear"/>
        </w:rPr>
        <w:t xml:space="preserve">Cambridge International Dictionnary of English.</w:t>
      </w:r>
    </w:p>
    <w:p>
      <w:pPr>
        <w:spacing w:before="0" w:after="0" w:line="240"/>
        <w:ind w:right="311"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9"/>
          <w:sz w:val="13"/>
          <w:shd w:fill="auto" w:val="clear"/>
        </w:rPr>
        <w:t xml:space="preserve">3 </w:t>
      </w:r>
      <w:hyperlink xmlns:r="http://schemas.openxmlformats.org/officeDocument/2006/relationships" r:id="docRId136">
        <w:r>
          <w:rPr>
            <w:rFonts w:ascii="Times New Roman" w:hAnsi="Times New Roman" w:cs="Times New Roman" w:eastAsia="Times New Roman"/>
            <w:color w:val="0000FF"/>
            <w:spacing w:val="0"/>
            <w:position w:val="9"/>
            <w:sz w:val="20"/>
            <w:u w:val="single"/>
            <w:shd w:fill="auto" w:val="clear"/>
          </w:rPr>
          <w:t xml:space="preserve">http://translate.google.com.br</w:t>
        </w:r>
      </w:hyperlink>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0" w:after="0" w:line="360"/>
        <w:ind w:right="311" w:left="119"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estabelecidas entre homens e mulheres na história da humanidade. E é neste sentido histórico que Joan Scott se propõe a analisar a categoria gênero.</w:t>
      </w:r>
    </w:p>
    <w:p>
      <w:pPr>
        <w:spacing w:before="8" w:after="0" w:line="360"/>
        <w:ind w:right="115" w:left="119" w:firstLine="7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evidente para a autora que gênero é uma categoria ampla, que vai muito além do determinismo biológico, pois envolvem relações sociais e subjetivas, relações entre homens e mulheres. Joan Scott rejeita as teorias do patriarcado, e afirma que: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4" w:after="0" w:line="240"/>
        <w:ind w:right="114"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Uma teoria que se baseia na variável única da diferença física é problemática para os/as historiadores/as: ela pressupõe um significado permanente ou inerente para o corpo humano [...] e, em conseqüência, a - historicidade do próprio gênero”.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2"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também se opõe as teorias marxistas apresentadas pelas feministas principalmente devido ao fato de que nesta perspectiva, o gênero é considerado </w:t>
      </w:r>
      <w:r>
        <w:rPr>
          <w:rFonts w:ascii="Times New Roman" w:hAnsi="Times New Roman" w:cs="Times New Roman" w:eastAsia="Times New Roman"/>
          <w:color w:val="auto"/>
          <w:spacing w:val="-3"/>
          <w:position w:val="0"/>
          <w:sz w:val="24"/>
          <w:shd w:fill="auto" w:val="clear"/>
        </w:rPr>
        <w:t xml:space="preserve">como  </w:t>
      </w:r>
      <w:r>
        <w:rPr>
          <w:rFonts w:ascii="Times New Roman" w:hAnsi="Times New Roman" w:cs="Times New Roman" w:eastAsia="Times New Roman"/>
          <w:color w:val="auto"/>
          <w:spacing w:val="0"/>
          <w:position w:val="0"/>
          <w:sz w:val="24"/>
          <w:shd w:fill="auto" w:val="clear"/>
        </w:rPr>
        <w:t xml:space="preserve">um “produto acessório” nas transformações das estruturas econômicas. E aponta ainda que as teorias psicanalíticas abordam os processos, pelos quais, a identidade do sujeito é criada, centralizando suas análises nas primeiras etapas da </w:t>
      </w:r>
      <w:r>
        <w:rPr>
          <w:rFonts w:ascii="Times New Roman" w:hAnsi="Times New Roman" w:cs="Times New Roman" w:eastAsia="Times New Roman"/>
          <w:color w:val="auto"/>
          <w:spacing w:val="-3"/>
          <w:position w:val="0"/>
          <w:sz w:val="24"/>
          <w:shd w:fill="auto" w:val="clear"/>
        </w:rPr>
        <w:t xml:space="preserve">vida </w:t>
      </w:r>
      <w:r>
        <w:rPr>
          <w:rFonts w:ascii="Times New Roman" w:hAnsi="Times New Roman" w:cs="Times New Roman" w:eastAsia="Times New Roman"/>
          <w:color w:val="auto"/>
          <w:spacing w:val="0"/>
          <w:position w:val="0"/>
          <w:sz w:val="24"/>
          <w:shd w:fill="auto" w:val="clear"/>
        </w:rPr>
        <w:t xml:space="preserve">da criança. Para  a referida historiadora estas teorias, apesar de se concentrarem nos sujeitos, tendem a universalizar as categorias homem-mulher, descontextualizando a construção da subjetividade e reforçando o caráter de oposição binária do gênero. Scott remete-se a Sally Alexander, que ao </w:t>
      </w:r>
      <w:r>
        <w:rPr>
          <w:rFonts w:ascii="Times New Roman" w:hAnsi="Times New Roman" w:cs="Times New Roman" w:eastAsia="Times New Roman"/>
          <w:color w:val="auto"/>
          <w:spacing w:val="-3"/>
          <w:position w:val="0"/>
          <w:sz w:val="24"/>
          <w:shd w:fill="auto" w:val="clear"/>
        </w:rPr>
        <w:t xml:space="preserve">fazer </w:t>
      </w:r>
      <w:r>
        <w:rPr>
          <w:rFonts w:ascii="Times New Roman" w:hAnsi="Times New Roman" w:cs="Times New Roman" w:eastAsia="Times New Roman"/>
          <w:color w:val="auto"/>
          <w:spacing w:val="0"/>
          <w:position w:val="0"/>
          <w:sz w:val="24"/>
          <w:shd w:fill="auto" w:val="clear"/>
        </w:rPr>
        <w:t xml:space="preserve">sua leitura de Lacan, concluiu que: </w:t>
      </w:r>
      <w:r>
        <w:rPr>
          <w:rFonts w:ascii="Times New Roman" w:hAnsi="Times New Roman" w:cs="Times New Roman" w:eastAsia="Times New Roman"/>
          <w:color w:val="auto"/>
          <w:spacing w:val="-3"/>
          <w:position w:val="0"/>
          <w:sz w:val="24"/>
          <w:shd w:fill="auto" w:val="clear"/>
        </w:rPr>
        <w:t xml:space="preserve">“o </w:t>
      </w:r>
      <w:r>
        <w:rPr>
          <w:rFonts w:ascii="Times New Roman" w:hAnsi="Times New Roman" w:cs="Times New Roman" w:eastAsia="Times New Roman"/>
          <w:color w:val="auto"/>
          <w:spacing w:val="0"/>
          <w:position w:val="0"/>
          <w:sz w:val="24"/>
          <w:shd w:fill="auto" w:val="clear"/>
        </w:rPr>
        <w:t xml:space="preserve">antagonismo entre os sexos é um aspecto inevitável da aquisição da identidade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sexual...”.</w:t>
      </w:r>
    </w:p>
    <w:p>
      <w:pPr>
        <w:spacing w:before="4" w:after="0" w:line="360"/>
        <w:ind w:right="109" w:left="119" w:firstLine="76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Segundo Scott (1995), estas teorias citadas não oferecem respostas suficientes para o debate acerca da categoria gênero, mas ressalta que no pós-estruturalismo, representado principalmente pelos estudos de Michael Foucault, encontramos significados mais harmônicos com a compreensão do processo histórico de construção das relações de gênero. Joan Scott rejeita cada uma dessas teorias que buscam explicações gerais para o gênero e, pautando-se no paradigma pós-moderno, propõe a busca constante pela historicização e pela desconstrução dos termos que procuram denominar a diferença sexual. Mas destaca que a partir destas três teorias distintas, ou seja, o patriarcado, o marxismo e a psicanálise, foram desencadeadas novas formas de contextualizarmos a categoria gênero na contemporaneidade</w:t>
      </w:r>
      <w:r>
        <w:rPr>
          <w:rFonts w:ascii="Times New Roman" w:hAnsi="Times New Roman" w:cs="Times New Roman" w:eastAsia="Times New Roman"/>
          <w:color w:val="auto"/>
          <w:spacing w:val="0"/>
          <w:position w:val="0"/>
          <w:sz w:val="28"/>
          <w:shd w:fill="auto" w:val="clear"/>
        </w:rPr>
        <w:t xml:space="preserve">.</w:t>
      </w:r>
    </w:p>
    <w:p>
      <w:pPr>
        <w:spacing w:before="12" w:after="0" w:line="360"/>
        <w:ind w:right="119"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Fica evidente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notável artigo de Scott que não </w:t>
      </w:r>
      <w:r>
        <w:rPr>
          <w:rFonts w:ascii="Times New Roman" w:hAnsi="Times New Roman" w:cs="Times New Roman" w:eastAsia="Times New Roman"/>
          <w:color w:val="auto"/>
          <w:spacing w:val="-3"/>
          <w:position w:val="0"/>
          <w:sz w:val="24"/>
          <w:shd w:fill="auto" w:val="clear"/>
        </w:rPr>
        <w:t xml:space="preserve">há </w:t>
      </w:r>
      <w:r>
        <w:rPr>
          <w:rFonts w:ascii="Times New Roman" w:hAnsi="Times New Roman" w:cs="Times New Roman" w:eastAsia="Times New Roman"/>
          <w:color w:val="auto"/>
          <w:spacing w:val="0"/>
          <w:position w:val="0"/>
          <w:sz w:val="24"/>
          <w:shd w:fill="auto" w:val="clear"/>
        </w:rPr>
        <w:t xml:space="preserve">um único poder nas relações sociais, e que as relações de gênero passam a “ser constituídas dentro de campos de força sociais”. </w:t>
      </w:r>
    </w:p>
    <w:p>
      <w:pPr>
        <w:spacing w:before="12" w:after="0" w:line="360"/>
        <w:ind w:right="119" w:left="119" w:firstLine="710"/>
        <w:jc w:val="both"/>
        <w:rPr>
          <w:rFonts w:ascii="Times New Roman" w:hAnsi="Times New Roman" w:cs="Times New Roman" w:eastAsia="Times New Roman"/>
          <w:color w:val="auto"/>
          <w:spacing w:val="0"/>
          <w:position w:val="0"/>
          <w:sz w:val="24"/>
          <w:shd w:fill="auto" w:val="clear"/>
        </w:rPr>
      </w:pPr>
    </w:p>
    <w:p>
      <w:pPr>
        <w:spacing w:before="12" w:after="0" w:line="360"/>
        <w:ind w:right="119" w:left="119" w:firstLine="710"/>
        <w:jc w:val="both"/>
        <w:rPr>
          <w:rFonts w:ascii="Times New Roman" w:hAnsi="Times New Roman" w:cs="Times New Roman" w:eastAsia="Times New Roman"/>
          <w:color w:val="auto"/>
          <w:spacing w:val="0"/>
          <w:position w:val="0"/>
          <w:sz w:val="24"/>
          <w:shd w:fill="auto" w:val="clear"/>
        </w:rPr>
      </w:pPr>
    </w:p>
    <w:p>
      <w:pPr>
        <w:spacing w:before="12" w:after="0" w:line="360"/>
        <w:ind w:right="119" w:left="119" w:firstLine="710"/>
        <w:jc w:val="both"/>
        <w:rPr>
          <w:rFonts w:ascii="Times New Roman" w:hAnsi="Times New Roman" w:cs="Times New Roman" w:eastAsia="Times New Roman"/>
          <w:color w:val="auto"/>
          <w:spacing w:val="0"/>
          <w:position w:val="0"/>
          <w:sz w:val="24"/>
          <w:shd w:fill="auto" w:val="clear"/>
        </w:rPr>
      </w:pPr>
    </w:p>
    <w:p>
      <w:pPr>
        <w:spacing w:before="12" w:after="0" w:line="360"/>
        <w:ind w:right="119"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definição de gênero para Scott (1995, p.86) “tem duas partes  e diversos  subconjuntos,  que  estão  inter-relacionados,  </w:t>
      </w:r>
      <w:r>
        <w:rPr>
          <w:rFonts w:ascii="Times New Roman" w:hAnsi="Times New Roman" w:cs="Times New Roman" w:eastAsia="Times New Roman"/>
          <w:color w:val="auto"/>
          <w:spacing w:val="-3"/>
          <w:position w:val="0"/>
          <w:sz w:val="24"/>
          <w:shd w:fill="auto" w:val="clear"/>
        </w:rPr>
        <w:t xml:space="preserve">mas  </w:t>
      </w:r>
      <w:r>
        <w:rPr>
          <w:rFonts w:ascii="Times New Roman" w:hAnsi="Times New Roman" w:cs="Times New Roman" w:eastAsia="Times New Roman"/>
          <w:color w:val="auto"/>
          <w:spacing w:val="0"/>
          <w:position w:val="0"/>
          <w:sz w:val="24"/>
          <w:shd w:fill="auto" w:val="clear"/>
        </w:rPr>
        <w:t xml:space="preserve">devem  ser  </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analiticamente diferenciados”. O núcleo central da sua concepção é que o gênero seria parte integrante das relações sociais entre os sexos, e uma forma primária de oferecer significado às relações de poder entre os indivíduos, homens e mulheres.</w:t>
      </w:r>
    </w:p>
    <w:p>
      <w:pPr>
        <w:spacing w:before="4" w:after="0" w:line="360"/>
        <w:ind w:right="119"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Faria e Nobre (1997, p. 19): o conceito de gênero procura explicar as relações existentes entre mulheres e homens, e tal conceito surgiu após muitos anos de luta por parte das feministas. A autora ainda coloca que a ideia da existência de uma construção social do ser mulher já estava presente há muitos anos</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mas mesmo assim: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0" w:after="0" w:line="240"/>
        <w:ind w:right="113"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permaneciam dificuldades teóricas sobre a origem da opressão das mulheres, sobre como inserir a visão de opressão no conjunto das relações sociais, sobre relação entre essa opressão, como por exemplo, a relação entre a opressão das mulheres no capitalismo. Não existia uma explicação que articulasse </w:t>
      </w:r>
      <w:r>
        <w:rPr>
          <w:rFonts w:ascii="Times New Roman" w:hAnsi="Times New Roman" w:cs="Times New Roman" w:eastAsia="Times New Roman"/>
          <w:color w:val="auto"/>
          <w:spacing w:val="-3"/>
          <w:position w:val="0"/>
          <w:sz w:val="20"/>
          <w:shd w:fill="auto" w:val="clear"/>
        </w:rPr>
        <w:t xml:space="preserve">os </w:t>
      </w:r>
      <w:r>
        <w:rPr>
          <w:rFonts w:ascii="Times New Roman" w:hAnsi="Times New Roman" w:cs="Times New Roman" w:eastAsia="Times New Roman"/>
          <w:color w:val="auto"/>
          <w:spacing w:val="0"/>
          <w:position w:val="0"/>
          <w:sz w:val="20"/>
          <w:shd w:fill="auto" w:val="clear"/>
        </w:rPr>
        <w:t xml:space="preserve">vários planos em que se </w:t>
      </w:r>
      <w:r>
        <w:rPr>
          <w:rFonts w:ascii="Times New Roman" w:hAnsi="Times New Roman" w:cs="Times New Roman" w:eastAsia="Times New Roman"/>
          <w:color w:val="auto"/>
          <w:spacing w:val="-3"/>
          <w:position w:val="0"/>
          <w:sz w:val="20"/>
          <w:shd w:fill="auto" w:val="clear"/>
        </w:rPr>
        <w:t xml:space="preserve">dá </w:t>
      </w:r>
      <w:r>
        <w:rPr>
          <w:rFonts w:ascii="Times New Roman" w:hAnsi="Times New Roman" w:cs="Times New Roman" w:eastAsia="Times New Roman"/>
          <w:color w:val="auto"/>
          <w:spacing w:val="0"/>
          <w:position w:val="0"/>
          <w:sz w:val="20"/>
          <w:shd w:fill="auto" w:val="clear"/>
        </w:rPr>
        <w:t xml:space="preserve">a opressão sobre as mulheres (trabalho, família, sexualidade, poder, identidade) e, principalmente, uma explicação que apontasse </w:t>
      </w:r>
      <w:r>
        <w:rPr>
          <w:rFonts w:ascii="Times New Roman" w:hAnsi="Times New Roman" w:cs="Times New Roman" w:eastAsia="Times New Roman"/>
          <w:color w:val="auto"/>
          <w:spacing w:val="-3"/>
          <w:position w:val="0"/>
          <w:sz w:val="20"/>
          <w:shd w:fill="auto" w:val="clear"/>
        </w:rPr>
        <w:t xml:space="preserve">com </w:t>
      </w:r>
      <w:r>
        <w:rPr>
          <w:rFonts w:ascii="Times New Roman" w:hAnsi="Times New Roman" w:cs="Times New Roman" w:eastAsia="Times New Roman"/>
          <w:color w:val="auto"/>
          <w:spacing w:val="0"/>
          <w:position w:val="0"/>
          <w:sz w:val="20"/>
          <w:shd w:fill="auto" w:val="clear"/>
        </w:rPr>
        <w:t xml:space="preserve">mais clareza </w:t>
      </w:r>
      <w:r>
        <w:rPr>
          <w:rFonts w:ascii="Times New Roman" w:hAnsi="Times New Roman" w:cs="Times New Roman" w:eastAsia="Times New Roman"/>
          <w:color w:val="auto"/>
          <w:spacing w:val="-3"/>
          <w:position w:val="0"/>
          <w:sz w:val="20"/>
          <w:shd w:fill="auto" w:val="clear"/>
        </w:rPr>
        <w:t xml:space="preserve">os </w:t>
      </w:r>
      <w:r>
        <w:rPr>
          <w:rFonts w:ascii="Times New Roman" w:hAnsi="Times New Roman" w:cs="Times New Roman" w:eastAsia="Times New Roman"/>
          <w:color w:val="auto"/>
          <w:spacing w:val="0"/>
          <w:position w:val="0"/>
          <w:sz w:val="20"/>
          <w:shd w:fill="auto" w:val="clear"/>
        </w:rPr>
        <w:t xml:space="preserve">caminhos para a superação dessa opressão. Nesse sentido o conceito de gênero veio responder a vários desse impasses e permitir analisar tanto as relações de gênero quanto a construção </w:t>
      </w:r>
      <w:r>
        <w:rPr>
          <w:rFonts w:ascii="Times New Roman" w:hAnsi="Times New Roman" w:cs="Times New Roman" w:eastAsia="Times New Roman"/>
          <w:color w:val="auto"/>
          <w:spacing w:val="-3"/>
          <w:position w:val="0"/>
          <w:sz w:val="20"/>
          <w:shd w:fill="auto" w:val="clear"/>
        </w:rPr>
        <w:t xml:space="preserve">da </w:t>
      </w:r>
      <w:r>
        <w:rPr>
          <w:rFonts w:ascii="Times New Roman" w:hAnsi="Times New Roman" w:cs="Times New Roman" w:eastAsia="Times New Roman"/>
          <w:color w:val="auto"/>
          <w:spacing w:val="0"/>
          <w:position w:val="0"/>
          <w:sz w:val="20"/>
          <w:shd w:fill="auto" w:val="clear"/>
        </w:rPr>
        <w:t xml:space="preserve">identidade de gênero em cada pessoa. </w:t>
      </w:r>
      <w:r>
        <w:rPr>
          <w:rFonts w:ascii="Times New Roman" w:hAnsi="Times New Roman" w:cs="Times New Roman" w:eastAsia="Times New Roman"/>
          <w:color w:val="auto"/>
          <w:spacing w:val="-3"/>
          <w:position w:val="0"/>
          <w:sz w:val="20"/>
          <w:shd w:fill="auto" w:val="clear"/>
        </w:rPr>
        <w:t xml:space="preserve">(FARIA  </w:t>
      </w:r>
      <w:r>
        <w:rPr>
          <w:rFonts w:ascii="Times New Roman" w:hAnsi="Times New Roman" w:cs="Times New Roman" w:eastAsia="Times New Roman"/>
          <w:color w:val="auto"/>
          <w:spacing w:val="0"/>
          <w:position w:val="0"/>
          <w:sz w:val="20"/>
          <w:shd w:fill="auto" w:val="clear"/>
        </w:rPr>
        <w:t xml:space="preserve">e  NOBRE 1997, </w:t>
      </w:r>
      <w:r>
        <w:rPr>
          <w:rFonts w:ascii="Times New Roman" w:hAnsi="Times New Roman" w:cs="Times New Roman" w:eastAsia="Times New Roman"/>
          <w:color w:val="auto"/>
          <w:spacing w:val="-3"/>
          <w:position w:val="0"/>
          <w:sz w:val="20"/>
          <w:shd w:fill="auto" w:val="clear"/>
        </w:rPr>
        <w:t xml:space="preserve">p.</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20-21)</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2"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Faria e Nobre (1997, p. 10) enfatiza que usamos as expressões identidade de gênero e relações de gênero para evidenciarmos que as desigualdades de gênero entre homens e mulheres são construídas pela sociedade e não determinadas pela diferença biológica entre os sexos.</w:t>
      </w:r>
    </w:p>
    <w:p>
      <w:pPr>
        <w:spacing w:before="4" w:after="0" w:line="360"/>
        <w:ind w:right="121"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relações de gênero não são determinadas pelo sexo, ou por um fator biológico, são edificadas socialmente, e estão inscritas nas relações cotidianas do passado e do presente,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vida </w:t>
      </w:r>
      <w:r>
        <w:rPr>
          <w:rFonts w:ascii="Times New Roman" w:hAnsi="Times New Roman" w:cs="Times New Roman" w:eastAsia="Times New Roman"/>
          <w:color w:val="auto"/>
          <w:spacing w:val="2"/>
          <w:position w:val="0"/>
          <w:sz w:val="24"/>
          <w:shd w:fill="auto" w:val="clear"/>
        </w:rPr>
        <w:t xml:space="preserve">das </w:t>
      </w:r>
      <w:r>
        <w:rPr>
          <w:rFonts w:ascii="Times New Roman" w:hAnsi="Times New Roman" w:cs="Times New Roman" w:eastAsia="Times New Roman"/>
          <w:color w:val="auto"/>
          <w:spacing w:val="0"/>
          <w:position w:val="0"/>
          <w:sz w:val="24"/>
          <w:shd w:fill="auto" w:val="clear"/>
        </w:rPr>
        <w:t xml:space="preserve">mais diversas pessoas, e nos mais diferentes espaços, e são visíveis </w:t>
      </w:r>
      <w:r>
        <w:rPr>
          <w:rFonts w:ascii="Times New Roman" w:hAnsi="Times New Roman" w:cs="Times New Roman" w:eastAsia="Times New Roman"/>
          <w:color w:val="auto"/>
          <w:spacing w:val="2"/>
          <w:position w:val="0"/>
          <w:sz w:val="24"/>
          <w:shd w:fill="auto" w:val="clear"/>
        </w:rPr>
        <w:t xml:space="preserve">em </w:t>
      </w:r>
      <w:r>
        <w:rPr>
          <w:rFonts w:ascii="Times New Roman" w:hAnsi="Times New Roman" w:cs="Times New Roman" w:eastAsia="Times New Roman"/>
          <w:color w:val="auto"/>
          <w:spacing w:val="0"/>
          <w:position w:val="0"/>
          <w:sz w:val="24"/>
          <w:shd w:fill="auto" w:val="clear"/>
        </w:rPr>
        <w:t xml:space="preserve">diversas esferas da</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sociedade.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240"/>
        <w:ind w:right="0" w:left="119"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Relações de Gênero: permeadas por desigualdades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5"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situação da mulher na sociedade não é algo natural, ela é construída socialmente, diferentemente do fator biológico. A situação da mulher, ou até mesmo a situação do homem é construída através das relações sociais, o gênero é uma construção social que envolve homens e mulheres, sendo assim sexo e gênero não  possuem o mesmo significado. </w:t>
      </w:r>
    </w:p>
    <w:p>
      <w:pPr>
        <w:spacing w:before="0" w:after="0" w:line="360"/>
        <w:ind w:right="115"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115"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Aprende-se a ser homem, aprende-se a ser mulher e esta aprendizagem está vinculada a questões culturais, sociais, econômicas, subjetivas e   até mesmo está relacionada com os valores difundidos, pelas mais diversas instituições presentes na sociedade. Mas cabe ressaltar que os papeis sociais são construídos distintamente para homens e mulheres, são frutos da educação, da socialização da cultura, da divisão social do trabalho, de imagens pré-estabelecidas e difundidas na vida em sociedade e muitas vezes cristalizadas pela falta de questionamentos, e pela simples aceitação e reprodução dos consensos.</w:t>
      </w:r>
    </w:p>
    <w:p>
      <w:pPr>
        <w:spacing w:before="8" w:after="0" w:line="240"/>
        <w:ind w:right="311" w:left="83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Nessa mesma perspectiva Louro (1995, p. 103) enfatiza: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114"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que pensemos não somente que os sujeitos se fazem homem e mulher num processo continuado, dinâmico, e portanto não dado e acabado no momento do nascimento, mas sim construído através de práticas sociais masculinizantes e feminilizantes (em consonância com as diversas  concepções de cada sociedade). Como também nos leva a pensar que gênero  é mais uma identidade aprendida, é uma categoria imersa nas instituições sociais, o que implica admitir que a justiça, a escola, a igreja, etc, são “generificadas”, </w:t>
      </w:r>
      <w:r>
        <w:rPr>
          <w:rFonts w:ascii="Times New Roman" w:hAnsi="Times New Roman" w:cs="Times New Roman" w:eastAsia="Times New Roman"/>
          <w:color w:val="auto"/>
          <w:spacing w:val="-3"/>
          <w:position w:val="0"/>
          <w:sz w:val="20"/>
          <w:shd w:fill="auto" w:val="clear"/>
        </w:rPr>
        <w:t xml:space="preserve">ou </w:t>
      </w:r>
      <w:r>
        <w:rPr>
          <w:rFonts w:ascii="Times New Roman" w:hAnsi="Times New Roman" w:cs="Times New Roman" w:eastAsia="Times New Roman"/>
          <w:color w:val="auto"/>
          <w:spacing w:val="0"/>
          <w:position w:val="0"/>
          <w:sz w:val="20"/>
          <w:shd w:fill="auto" w:val="clear"/>
        </w:rPr>
        <w:t xml:space="preserve">seja, expressam as relações sociais </w:t>
      </w:r>
      <w:r>
        <w:rPr>
          <w:rFonts w:ascii="Times New Roman" w:hAnsi="Times New Roman" w:cs="Times New Roman" w:eastAsia="Times New Roman"/>
          <w:color w:val="auto"/>
          <w:spacing w:val="2"/>
          <w:position w:val="0"/>
          <w:sz w:val="20"/>
          <w:shd w:fill="auto" w:val="clear"/>
        </w:rPr>
        <w:t xml:space="preserve">de</w:t>
      </w:r>
      <w:r>
        <w:rPr>
          <w:rFonts w:ascii="Times New Roman" w:hAnsi="Times New Roman" w:cs="Times New Roman" w:eastAsia="Times New Roman"/>
          <w:color w:val="auto"/>
          <w:spacing w:val="-2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gênero.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3" w:left="119" w:firstLine="71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Diversas instituições participam da construção social dos sujeitos, e tanto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família quanto a escola possuem papel significativo na construção dos sujeitos, meninos e meninas, homens e mulheres. Para Faria e Nobre (1997, p. 13) a escola é um agente socializador dos seres humanos, tanto quanto a família, e isto significa que junto com o conhecimento, a escola também transmite valores, atitudes e preconceitos. E a referida autora afirma que a escola </w:t>
      </w:r>
      <w:r>
        <w:rPr>
          <w:rFonts w:ascii="Times New Roman" w:hAnsi="Times New Roman" w:cs="Times New Roman" w:eastAsia="Times New Roman"/>
          <w:color w:val="auto"/>
          <w:spacing w:val="2"/>
          <w:position w:val="0"/>
          <w:sz w:val="24"/>
          <w:shd w:fill="auto" w:val="clear"/>
        </w:rPr>
        <w:t xml:space="preserve">tem </w:t>
      </w:r>
      <w:r>
        <w:rPr>
          <w:rFonts w:ascii="Times New Roman" w:hAnsi="Times New Roman" w:cs="Times New Roman" w:eastAsia="Times New Roman"/>
          <w:color w:val="auto"/>
          <w:spacing w:val="0"/>
          <w:position w:val="0"/>
          <w:sz w:val="24"/>
          <w:shd w:fill="auto" w:val="clear"/>
        </w:rPr>
        <w:t xml:space="preserve">tradicionalmente reforçado as desigualdades entre mulheres e homens. E </w:t>
      </w:r>
      <w:r>
        <w:rPr>
          <w:rFonts w:ascii="Times New Roman" w:hAnsi="Times New Roman" w:cs="Times New Roman" w:eastAsia="Times New Roman"/>
          <w:color w:val="auto"/>
          <w:spacing w:val="-3"/>
          <w:position w:val="0"/>
          <w:sz w:val="24"/>
          <w:shd w:fill="auto" w:val="clear"/>
        </w:rPr>
        <w:t xml:space="preserve">isso </w:t>
      </w:r>
      <w:r>
        <w:rPr>
          <w:rFonts w:ascii="Times New Roman" w:hAnsi="Times New Roman" w:cs="Times New Roman" w:eastAsia="Times New Roman"/>
          <w:color w:val="auto"/>
          <w:spacing w:val="0"/>
          <w:position w:val="0"/>
          <w:sz w:val="24"/>
          <w:shd w:fill="auto" w:val="clear"/>
        </w:rPr>
        <w:t xml:space="preserve">se expressa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divisão das </w:t>
      </w:r>
      <w:r>
        <w:rPr>
          <w:rFonts w:ascii="Times New Roman" w:hAnsi="Times New Roman" w:cs="Times New Roman" w:eastAsia="Times New Roman"/>
          <w:color w:val="auto"/>
          <w:spacing w:val="-3"/>
          <w:position w:val="0"/>
          <w:sz w:val="24"/>
          <w:shd w:fill="auto" w:val="clear"/>
        </w:rPr>
        <w:t xml:space="preserve">filas, na </w:t>
      </w:r>
      <w:r>
        <w:rPr>
          <w:rFonts w:ascii="Times New Roman" w:hAnsi="Times New Roman" w:cs="Times New Roman" w:eastAsia="Times New Roman"/>
          <w:color w:val="auto"/>
          <w:spacing w:val="0"/>
          <w:position w:val="0"/>
          <w:sz w:val="24"/>
          <w:shd w:fill="auto" w:val="clear"/>
        </w:rPr>
        <w:t xml:space="preserve">divisão das tarefas, “(meninas como ajudantes da professora)”, bem como através de frases “(“ isso não é coisa de menina”, ou “esta parecendo </w:t>
      </w:r>
      <w:r>
        <w:rPr>
          <w:rFonts w:ascii="Times New Roman" w:hAnsi="Times New Roman" w:cs="Times New Roman" w:eastAsia="Times New Roman"/>
          <w:color w:val="auto"/>
          <w:spacing w:val="-4"/>
          <w:position w:val="0"/>
          <w:sz w:val="24"/>
          <w:shd w:fill="auto" w:val="clear"/>
        </w:rPr>
        <w:t xml:space="preserve">uma </w:t>
      </w:r>
      <w:r>
        <w:rPr>
          <w:rFonts w:ascii="Times New Roman" w:hAnsi="Times New Roman" w:cs="Times New Roman" w:eastAsia="Times New Roman"/>
          <w:color w:val="auto"/>
          <w:spacing w:val="0"/>
          <w:position w:val="0"/>
          <w:sz w:val="24"/>
          <w:shd w:fill="auto" w:val="clear"/>
        </w:rPr>
        <w:t xml:space="preserve">menina”, “comporte-se </w:t>
      </w:r>
      <w:r>
        <w:rPr>
          <w:rFonts w:ascii="Times New Roman" w:hAnsi="Times New Roman" w:cs="Times New Roman" w:eastAsia="Times New Roman"/>
          <w:color w:val="auto"/>
          <w:spacing w:val="-3"/>
          <w:position w:val="0"/>
          <w:sz w:val="24"/>
          <w:shd w:fill="auto" w:val="clear"/>
        </w:rPr>
        <w:t xml:space="preserve">como </w:t>
      </w:r>
      <w:r>
        <w:rPr>
          <w:rFonts w:ascii="Times New Roman" w:hAnsi="Times New Roman" w:cs="Times New Roman" w:eastAsia="Times New Roman"/>
          <w:color w:val="auto"/>
          <w:spacing w:val="0"/>
          <w:position w:val="0"/>
          <w:sz w:val="24"/>
          <w:shd w:fill="auto" w:val="clear"/>
        </w:rPr>
        <w:t xml:space="preserve">um menino”)”.</w:t>
      </w:r>
    </w:p>
    <w:p>
      <w:pPr>
        <w:spacing w:before="4" w:after="0" w:line="360"/>
        <w:ind w:right="111"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w:t>
      </w:r>
      <w:r>
        <w:rPr>
          <w:rFonts w:ascii="Times New Roman" w:hAnsi="Times New Roman" w:cs="Times New Roman" w:eastAsia="Times New Roman"/>
          <w:color w:val="auto"/>
          <w:spacing w:val="-3"/>
          <w:position w:val="0"/>
          <w:sz w:val="24"/>
          <w:shd w:fill="auto" w:val="clear"/>
        </w:rPr>
        <w:t xml:space="preserve">exemplo </w:t>
      </w:r>
      <w:r>
        <w:rPr>
          <w:rFonts w:ascii="Times New Roman" w:hAnsi="Times New Roman" w:cs="Times New Roman" w:eastAsia="Times New Roman"/>
          <w:color w:val="auto"/>
          <w:spacing w:val="0"/>
          <w:position w:val="0"/>
          <w:sz w:val="24"/>
          <w:shd w:fill="auto" w:val="clear"/>
        </w:rPr>
        <w:t xml:space="preserve">nítido, que reforça as desigualdades de gênero nas escolas pode ser visualizado através dos materiais didáticos. As ilustrações que aparecem em tais livros muitas vezes apresentam famílias compostas por pai, mãe e filhos, ou seja, o </w:t>
      </w:r>
      <w:r>
        <w:rPr>
          <w:rFonts w:ascii="Times New Roman" w:hAnsi="Times New Roman" w:cs="Times New Roman" w:eastAsia="Times New Roman"/>
          <w:color w:val="auto"/>
          <w:spacing w:val="-3"/>
          <w:position w:val="0"/>
          <w:sz w:val="24"/>
          <w:shd w:fill="auto" w:val="clear"/>
        </w:rPr>
        <w:t xml:space="preserve">modelo </w:t>
      </w:r>
      <w:r>
        <w:rPr>
          <w:rFonts w:ascii="Times New Roman" w:hAnsi="Times New Roman" w:cs="Times New Roman" w:eastAsia="Times New Roman"/>
          <w:color w:val="auto"/>
          <w:spacing w:val="0"/>
          <w:position w:val="0"/>
          <w:sz w:val="24"/>
          <w:shd w:fill="auto" w:val="clear"/>
        </w:rPr>
        <w:t xml:space="preserve">nuclear, a família é de cor branca, a mulher aparece </w:t>
      </w:r>
      <w:r>
        <w:rPr>
          <w:rFonts w:ascii="Times New Roman" w:hAnsi="Times New Roman" w:cs="Times New Roman" w:eastAsia="Times New Roman"/>
          <w:color w:val="auto"/>
          <w:spacing w:val="-3"/>
          <w:position w:val="0"/>
          <w:sz w:val="24"/>
          <w:shd w:fill="auto" w:val="clear"/>
        </w:rPr>
        <w:t xml:space="preserve">como </w:t>
      </w:r>
      <w:r>
        <w:rPr>
          <w:rFonts w:ascii="Times New Roman" w:hAnsi="Times New Roman" w:cs="Times New Roman" w:eastAsia="Times New Roman"/>
          <w:color w:val="auto"/>
          <w:spacing w:val="0"/>
          <w:position w:val="0"/>
          <w:sz w:val="24"/>
          <w:shd w:fill="auto" w:val="clear"/>
        </w:rPr>
        <w:t xml:space="preserve">dona de casa, esposa, e </w:t>
      </w:r>
      <w:r>
        <w:rPr>
          <w:rFonts w:ascii="Times New Roman" w:hAnsi="Times New Roman" w:cs="Times New Roman" w:eastAsia="Times New Roman"/>
          <w:color w:val="auto"/>
          <w:spacing w:val="-3"/>
          <w:position w:val="0"/>
          <w:sz w:val="24"/>
          <w:shd w:fill="auto" w:val="clear"/>
        </w:rPr>
        <w:t xml:space="preserve">mãe, </w:t>
      </w:r>
      <w:r>
        <w:rPr>
          <w:rFonts w:ascii="Times New Roman" w:hAnsi="Times New Roman" w:cs="Times New Roman" w:eastAsia="Times New Roman"/>
          <w:color w:val="auto"/>
          <w:spacing w:val="0"/>
          <w:position w:val="0"/>
          <w:sz w:val="24"/>
          <w:shd w:fill="auto" w:val="clear"/>
        </w:rPr>
        <w:t xml:space="preserve">o homem aparece como pai e como provedor da família, e as crianças aparecem brincando, meninos com carrinhos, e meninas com bonecas. Exemplos como estes nos fazem perceber quais são os valores, as imagens, que estão sendo apresentas para as crianças, e que possivelmente serão reproduzidos. E as reproduções dessas ideias consequentemente podem resultar em desigualdades de gênero, cristalizando assim consensos, até </w:t>
      </w:r>
      <w:r>
        <w:rPr>
          <w:rFonts w:ascii="Times New Roman" w:hAnsi="Times New Roman" w:cs="Times New Roman" w:eastAsia="Times New Roman"/>
          <w:color w:val="auto"/>
          <w:spacing w:val="-3"/>
          <w:position w:val="0"/>
          <w:sz w:val="24"/>
          <w:shd w:fill="auto" w:val="clear"/>
        </w:rPr>
        <w:t xml:space="preserve">mesmo </w:t>
      </w:r>
      <w:r>
        <w:rPr>
          <w:rFonts w:ascii="Times New Roman" w:hAnsi="Times New Roman" w:cs="Times New Roman" w:eastAsia="Times New Roman"/>
          <w:color w:val="auto"/>
          <w:spacing w:val="0"/>
          <w:position w:val="0"/>
          <w:sz w:val="24"/>
          <w:shd w:fill="auto" w:val="clear"/>
        </w:rPr>
        <w:t xml:space="preserve">a favor de </w:t>
      </w:r>
      <w:r>
        <w:rPr>
          <w:rFonts w:ascii="Times New Roman" w:hAnsi="Times New Roman" w:cs="Times New Roman" w:eastAsia="Times New Roman"/>
          <w:color w:val="auto"/>
          <w:spacing w:val="-4"/>
          <w:position w:val="0"/>
          <w:sz w:val="24"/>
          <w:shd w:fill="auto" w:val="clear"/>
        </w:rPr>
        <w:t xml:space="preserve">uma </w:t>
      </w:r>
      <w:r>
        <w:rPr>
          <w:rFonts w:ascii="Times New Roman" w:hAnsi="Times New Roman" w:cs="Times New Roman" w:eastAsia="Times New Roman"/>
          <w:color w:val="auto"/>
          <w:spacing w:val="0"/>
          <w:position w:val="0"/>
          <w:sz w:val="24"/>
          <w:shd w:fill="auto" w:val="clear"/>
        </w:rPr>
        <w:t xml:space="preserve">dominação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masculina.</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0" w:after="0" w:line="360"/>
        <w:ind w:right="115" w:left="119" w:firstLine="9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dominação masculina é abordada por Pierre Bourdieu em sua obra “A dominação Masculina” (1998), o escritor apresenta especificamente a dominação do masculino sobre o feminino, demonstra que o fato está presente no processo evolutivo histórico do ser humano. Para Bourdieu, a dominação do homem sobre a mulher é exercida por meio de uma violência simbólica, compartilhada inconscientemente entre dominador e dominado e,</w:t>
      </w:r>
    </w:p>
    <w:p>
      <w:pPr>
        <w:spacing w:before="8"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114"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O efeito da dominação simbólica (seja ela de etnia, de gênero, de cultura, de língua etc) se exerce não na lógica pura das </w:t>
      </w:r>
      <w:r>
        <w:rPr>
          <w:rFonts w:ascii="Times New Roman" w:hAnsi="Times New Roman" w:cs="Times New Roman" w:eastAsia="Times New Roman"/>
          <w:b/>
          <w:color w:val="auto"/>
          <w:spacing w:val="0"/>
          <w:position w:val="0"/>
          <w:sz w:val="20"/>
          <w:shd w:fill="auto" w:val="clear"/>
        </w:rPr>
        <w:t xml:space="preserve">consciências cognoscentes</w:t>
      </w:r>
      <w:r>
        <w:rPr>
          <w:rFonts w:ascii="Times New Roman" w:hAnsi="Times New Roman" w:cs="Times New Roman" w:eastAsia="Times New Roman"/>
          <w:color w:val="auto"/>
          <w:spacing w:val="0"/>
          <w:position w:val="0"/>
          <w:sz w:val="20"/>
          <w:shd w:fill="auto" w:val="clear"/>
        </w:rPr>
        <w:t xml:space="preserve">, mas através dos esquemas de percepção, de avaliação e de ação que são constitutivos dos “habitus” e que fundamentam, aquém das decisões da consciência e dos controles da vontade, uma relação de conhecimento profundamente obscura a ela mesma. Assim a lógica paradoxal da dominação masculina e da submissão feminina, que se pode dizer ser, ao mesmo tempo e sem contradição, espontânea e extorquida, só pode ser compreendida se nos mantivermos atentos aos efeitos duradouros que a ordem social exerce sobre as mulheres (e os homens), ou seja, às disposições espontaneamente harmonizadas com esta ordem que as impõem. [...] (BOURDIEU 2002, p. 49/50).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0" w:left="119" w:firstLine="85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dominação masculina se expressa através de palavras, de ações, nos mostram uma relação de dominação e opressão, a qual é vivenciada em práticas cotidianas, envolvendo conflitos e relações de poder. E para Scott (1995), o poder existente nas relações de gênero se expressa em termos de conflitos, entre o espaço </w:t>
      </w:r>
      <w:r>
        <w:rPr>
          <w:rFonts w:ascii="Times New Roman" w:hAnsi="Times New Roman" w:cs="Times New Roman" w:eastAsia="Times New Roman"/>
          <w:color w:val="auto"/>
          <w:spacing w:val="-3"/>
          <w:position w:val="0"/>
          <w:sz w:val="24"/>
          <w:shd w:fill="auto" w:val="clear"/>
        </w:rPr>
        <w:t xml:space="preserve">masculino </w:t>
      </w:r>
      <w:r>
        <w:rPr>
          <w:rFonts w:ascii="Times New Roman" w:hAnsi="Times New Roman" w:cs="Times New Roman" w:eastAsia="Times New Roman"/>
          <w:color w:val="auto"/>
          <w:spacing w:val="0"/>
          <w:position w:val="0"/>
          <w:sz w:val="24"/>
          <w:shd w:fill="auto" w:val="clear"/>
        </w:rPr>
        <w:t xml:space="preserve">e o espaço feminino, uma disputa por espaços, delimitando espaços específicos para  homens 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p>
    <w:p>
      <w:pPr>
        <w:spacing w:before="4" w:after="0" w:line="360"/>
        <w:ind w:right="116" w:left="119" w:firstLine="7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tais diferenças de gênero que chegam até mesmo a delimitar espaços específicos para homens e mulheres foram construídas socialmente e se expressam ao longo da história das mulheres, uma história marcada pela exclusão.</w:t>
      </w:r>
    </w:p>
    <w:p>
      <w:pPr>
        <w:spacing w:before="4" w:after="0" w:line="360"/>
        <w:ind w:right="114"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Desde a antiguidade, a mulher foi vista por diversas vezes como insignificante para a sociedade, pelo simples fato de ser mulher. Segundo Perrot (1994 </w:t>
      </w:r>
      <w:r>
        <w:rPr>
          <w:rFonts w:ascii="Times New Roman" w:hAnsi="Times New Roman" w:cs="Times New Roman" w:eastAsia="Times New Roman"/>
          <w:i/>
          <w:color w:val="auto"/>
          <w:spacing w:val="0"/>
          <w:position w:val="0"/>
          <w:sz w:val="24"/>
          <w:shd w:fill="auto" w:val="clear"/>
        </w:rPr>
        <w:t xml:space="preserve">apud </w:t>
      </w:r>
      <w:r>
        <w:rPr>
          <w:rFonts w:ascii="Times New Roman" w:hAnsi="Times New Roman" w:cs="Times New Roman" w:eastAsia="Times New Roman"/>
          <w:color w:val="auto"/>
          <w:spacing w:val="0"/>
          <w:position w:val="0"/>
          <w:sz w:val="24"/>
          <w:shd w:fill="auto" w:val="clear"/>
        </w:rPr>
        <w:t xml:space="preserve">Nogueira 2004, p.4)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antiguidade, os recenseamentos preteriam informações sobre as mulheres, com exceção das mulheres que ocupavam papel de herdeiras e somente a partir do século III d.C é que elas começam a ser recenseadas. Cabe colocar que nesse mesmo período tanto as mulheres como os escravos não eram considerados cidadãos, somente os </w:t>
      </w:r>
      <w:r>
        <w:rPr>
          <w:rFonts w:ascii="Times New Roman" w:hAnsi="Times New Roman" w:cs="Times New Roman" w:eastAsia="Times New Roman"/>
          <w:color w:val="auto"/>
          <w:spacing w:val="-3"/>
          <w:position w:val="0"/>
          <w:sz w:val="24"/>
          <w:shd w:fill="auto" w:val="clear"/>
        </w:rPr>
        <w:t xml:space="preserve">homens </w:t>
      </w:r>
      <w:r>
        <w:rPr>
          <w:rFonts w:ascii="Times New Roman" w:hAnsi="Times New Roman" w:cs="Times New Roman" w:eastAsia="Times New Roman"/>
          <w:color w:val="auto"/>
          <w:spacing w:val="0"/>
          <w:position w:val="0"/>
          <w:sz w:val="24"/>
          <w:shd w:fill="auto" w:val="clear"/>
        </w:rPr>
        <w:t xml:space="preserve">livres tinha este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status.</w:t>
      </w:r>
    </w:p>
    <w:p>
      <w:pPr>
        <w:spacing w:before="8" w:after="0" w:line="360"/>
        <w:ind w:right="122"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acrescenta que “somente no século XIX a mulher foi observada, descrita e documentada  com  uma  atenção  sem  precedentes,  quando  os  seus   contemporâneos</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0" w:after="0" w:line="360"/>
        <w:ind w:right="311" w:left="119"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debateram a convivência, a moralidade e até a legalidade das suas atividades assalariadas”.  E Scott (1994, p. 443 </w:t>
      </w:r>
      <w:r>
        <w:rPr>
          <w:rFonts w:ascii="Times New Roman" w:hAnsi="Times New Roman" w:cs="Times New Roman" w:eastAsia="Times New Roman"/>
          <w:i/>
          <w:color w:val="auto"/>
          <w:spacing w:val="0"/>
          <w:position w:val="0"/>
          <w:sz w:val="24"/>
          <w:shd w:fill="auto" w:val="clear"/>
        </w:rPr>
        <w:t xml:space="preserve">apud </w:t>
      </w:r>
      <w:r>
        <w:rPr>
          <w:rFonts w:ascii="Times New Roman" w:hAnsi="Times New Roman" w:cs="Times New Roman" w:eastAsia="Times New Roman"/>
          <w:color w:val="auto"/>
          <w:spacing w:val="0"/>
          <w:position w:val="0"/>
          <w:sz w:val="24"/>
          <w:shd w:fill="auto" w:val="clear"/>
        </w:rPr>
        <w:t xml:space="preserve">Nogueira, 2004, p.15) pontua que: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5" w:after="0" w:line="240"/>
        <w:ind w:right="116" w:left="238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 a mulher trabalhadora foi um produto da Revolução Industrial, não tanto porque a mecanização tenha criado para ela postos de trabalho onde antes não existiam (mesmo se esse foi seguramente o caso em algumas áreas), mas porque no decurso da mesma ela se tornou uma figura perturbadora e visível</w:t>
      </w:r>
      <w:r>
        <w:rPr>
          <w:rFonts w:ascii="Times New Roman" w:hAnsi="Times New Roman" w:cs="Times New Roman" w:eastAsia="Times New Roman"/>
          <w:color w:val="auto"/>
          <w:spacing w:val="0"/>
          <w:position w:val="0"/>
          <w:sz w:val="24"/>
          <w:shd w:fill="auto" w:val="clear"/>
        </w:rPr>
        <w:t xml:space="preserve">.</w:t>
      </w:r>
    </w:p>
    <w:p>
      <w:pPr>
        <w:spacing w:before="7" w:after="0" w:line="240"/>
        <w:ind w:right="0" w:left="0" w:firstLine="0"/>
        <w:jc w:val="left"/>
        <w:rPr>
          <w:rFonts w:ascii="Times New Roman" w:hAnsi="Times New Roman" w:cs="Times New Roman" w:eastAsia="Times New Roman"/>
          <w:color w:val="auto"/>
          <w:spacing w:val="0"/>
          <w:position w:val="0"/>
          <w:sz w:val="35"/>
          <w:shd w:fill="auto" w:val="clear"/>
        </w:rPr>
      </w:pPr>
    </w:p>
    <w:p>
      <w:pPr>
        <w:spacing w:before="1" w:after="0" w:line="360"/>
        <w:ind w:right="121" w:left="119" w:firstLine="85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decorrer dos séculos a história das mulheres continua a se desenvolver de forma desigual, a divisão sexual do trabalho, entre </w:t>
      </w:r>
      <w:r>
        <w:rPr>
          <w:rFonts w:ascii="Times New Roman" w:hAnsi="Times New Roman" w:cs="Times New Roman" w:eastAsia="Times New Roman"/>
          <w:color w:val="auto"/>
          <w:spacing w:val="-3"/>
          <w:position w:val="0"/>
          <w:sz w:val="24"/>
          <w:shd w:fill="auto" w:val="clear"/>
        </w:rPr>
        <w:t xml:space="preserve">homens </w:t>
      </w:r>
      <w:r>
        <w:rPr>
          <w:rFonts w:ascii="Times New Roman" w:hAnsi="Times New Roman" w:cs="Times New Roman" w:eastAsia="Times New Roman"/>
          <w:color w:val="auto"/>
          <w:spacing w:val="0"/>
          <w:position w:val="0"/>
          <w:sz w:val="24"/>
          <w:shd w:fill="auto" w:val="clear"/>
        </w:rPr>
        <w:t xml:space="preserve">e mulheres, é um  exemplo disso, privilegiando o homem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setor produtivo,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setor público, e a </w:t>
      </w:r>
      <w:r>
        <w:rPr>
          <w:rFonts w:ascii="Times New Roman" w:hAnsi="Times New Roman" w:cs="Times New Roman" w:eastAsia="Times New Roman"/>
          <w:color w:val="auto"/>
          <w:spacing w:val="-2"/>
          <w:position w:val="0"/>
          <w:sz w:val="24"/>
          <w:shd w:fill="auto" w:val="clear"/>
        </w:rPr>
        <w:t xml:space="preserve">mulher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setor privado, tendo como prioridade a maternidade e os afazeres domésticos, ou então os empregos secundários e </w:t>
      </w:r>
      <w:r>
        <w:rPr>
          <w:rFonts w:ascii="Times New Roman" w:hAnsi="Times New Roman" w:cs="Times New Roman" w:eastAsia="Times New Roman"/>
          <w:color w:val="auto"/>
          <w:spacing w:val="-3"/>
          <w:position w:val="0"/>
          <w:sz w:val="24"/>
          <w:shd w:fill="auto" w:val="clear"/>
        </w:rPr>
        <w:t xml:space="preserve">mal </w:t>
      </w:r>
      <w:r>
        <w:rPr>
          <w:rFonts w:ascii="Times New Roman" w:hAnsi="Times New Roman" w:cs="Times New Roman" w:eastAsia="Times New Roman"/>
          <w:color w:val="auto"/>
          <w:spacing w:val="0"/>
          <w:position w:val="0"/>
          <w:sz w:val="24"/>
          <w:shd w:fill="auto" w:val="clear"/>
        </w:rPr>
        <w:t xml:space="preserve">pagos. a força de trabalho da mulher, também é vista como uma força de trabalho secundária e nessa perspectiva discorre </w:t>
      </w:r>
      <w:r>
        <w:rPr>
          <w:rFonts w:ascii="Times New Roman" w:hAnsi="Times New Roman" w:cs="Times New Roman" w:eastAsia="Times New Roman"/>
          <w:color w:val="auto"/>
          <w:spacing w:val="-3"/>
          <w:position w:val="0"/>
          <w:sz w:val="24"/>
          <w:shd w:fill="auto" w:val="clear"/>
        </w:rPr>
        <w:t xml:space="preserve">Abramo  </w:t>
      </w:r>
      <w:r>
        <w:rPr>
          <w:rFonts w:ascii="Times New Roman" w:hAnsi="Times New Roman" w:cs="Times New Roman" w:eastAsia="Times New Roman"/>
          <w:color w:val="auto"/>
          <w:spacing w:val="0"/>
          <w:position w:val="0"/>
          <w:sz w:val="24"/>
          <w:shd w:fill="auto" w:val="clear"/>
        </w:rPr>
        <w:t xml:space="preserve">(2007,</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p.28):</w:t>
      </w:r>
    </w:p>
    <w:p>
      <w:pPr>
        <w:spacing w:before="3" w:after="0" w:line="240"/>
        <w:ind w:right="115" w:left="238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A ideia da </w:t>
      </w:r>
      <w:r>
        <w:rPr>
          <w:rFonts w:ascii="Times New Roman" w:hAnsi="Times New Roman" w:cs="Times New Roman" w:eastAsia="Times New Roman"/>
          <w:color w:val="auto"/>
          <w:spacing w:val="-2"/>
          <w:position w:val="0"/>
          <w:sz w:val="20"/>
          <w:shd w:fill="auto" w:val="clear"/>
        </w:rPr>
        <w:t xml:space="preserve">mulher </w:t>
      </w:r>
      <w:r>
        <w:rPr>
          <w:rFonts w:ascii="Times New Roman" w:hAnsi="Times New Roman" w:cs="Times New Roman" w:eastAsia="Times New Roman"/>
          <w:color w:val="auto"/>
          <w:spacing w:val="0"/>
          <w:position w:val="0"/>
          <w:sz w:val="20"/>
          <w:shd w:fill="auto" w:val="clear"/>
        </w:rPr>
        <w:t xml:space="preserve">como força de trabalho secundária se estrutura, em primeiro lugar, em torno de uma concepção de família nuclear na qual o homem é o principal/único provedor e a mulher, a principal/exclusiva responsável pela esfera privada (cuidar da casa e da</w:t>
      </w:r>
      <w:r>
        <w:rPr>
          <w:rFonts w:ascii="Times New Roman" w:hAnsi="Times New Roman" w:cs="Times New Roman" w:eastAsia="Times New Roman"/>
          <w:color w:val="auto"/>
          <w:spacing w:val="-1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família</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360"/>
        <w:ind w:right="117" w:left="119" w:firstLine="90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Faria e Nobre (1997, p.11) complemente colocando que além da maternidade e dos afazeres domésticos também é tarefa da mulher ser guardiã do afeto e da moral da família e esta deve sentir-se realizada ficando em casa. E a autora ainda complementa colocando que para mulher ainda é considerado mais adequado que ela seja meiga, atenciosa, maternal e frágil. E quanto ao homem espera-se que ele seja forte, tenha iniciativa, racionalidade, e seja o provedor da família.</w:t>
      </w:r>
    </w:p>
    <w:p>
      <w:pPr>
        <w:spacing w:before="4" w:after="0" w:line="360"/>
        <w:ind w:right="114"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Podemos verificar também através de dados publicados pelo IBGE referente a Pesquisa Nacional por Amostra de Domicílios/PNAD de 2001 e de 2005, o quanto o espaço doméstico continua sendo naturalizado como um espaço tipicamente feminino e esses dados confirmam e expressam as desigualdades de gênero no território brasileiro. Nesta perspectiva destacamos;</w:t>
      </w:r>
    </w:p>
    <w:p>
      <w:pPr>
        <w:spacing w:before="3" w:after="0" w:line="240"/>
        <w:ind w:right="115"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meninas, desde </w:t>
      </w:r>
      <w:r>
        <w:rPr>
          <w:rFonts w:ascii="Times New Roman" w:hAnsi="Times New Roman" w:cs="Times New Roman" w:eastAsia="Times New Roman"/>
          <w:color w:val="auto"/>
          <w:spacing w:val="-3"/>
          <w:position w:val="0"/>
          <w:sz w:val="20"/>
          <w:shd w:fill="auto" w:val="clear"/>
        </w:rPr>
        <w:t xml:space="preserve">cedo, </w:t>
      </w:r>
      <w:r>
        <w:rPr>
          <w:rFonts w:ascii="Times New Roman" w:hAnsi="Times New Roman" w:cs="Times New Roman" w:eastAsia="Times New Roman"/>
          <w:color w:val="auto"/>
          <w:spacing w:val="0"/>
          <w:position w:val="0"/>
          <w:sz w:val="20"/>
          <w:shd w:fill="auto" w:val="clear"/>
        </w:rPr>
        <w:t xml:space="preserve">são orientadas para o trabalho doméstico, cerca de 83% delas realizam tais tarefas, enquanto que, entre </w:t>
      </w:r>
      <w:r>
        <w:rPr>
          <w:rFonts w:ascii="Times New Roman" w:hAnsi="Times New Roman" w:cs="Times New Roman" w:eastAsia="Times New Roman"/>
          <w:color w:val="auto"/>
          <w:spacing w:val="-3"/>
          <w:position w:val="0"/>
          <w:sz w:val="20"/>
          <w:shd w:fill="auto" w:val="clear"/>
        </w:rPr>
        <w:t xml:space="preserve">os </w:t>
      </w:r>
      <w:r>
        <w:rPr>
          <w:rFonts w:ascii="Times New Roman" w:hAnsi="Times New Roman" w:cs="Times New Roman" w:eastAsia="Times New Roman"/>
          <w:color w:val="auto"/>
          <w:spacing w:val="0"/>
          <w:position w:val="0"/>
          <w:sz w:val="20"/>
          <w:shd w:fill="auto" w:val="clear"/>
        </w:rPr>
        <w:t xml:space="preserve">meninos, a proporção é de 47,4%. O tempo despendido diferencia-se significativamente: eles 8,2 e elas, 14,3 horas semanais. Observa-se, também, que a jornada de trabalho remunerado semanal média da população de 10 a 17 anos é de 27,8 horas semanais para </w:t>
      </w:r>
      <w:r>
        <w:rPr>
          <w:rFonts w:ascii="Times New Roman" w:hAnsi="Times New Roman" w:cs="Times New Roman" w:eastAsia="Times New Roman"/>
          <w:color w:val="auto"/>
          <w:spacing w:val="-3"/>
          <w:position w:val="0"/>
          <w:sz w:val="20"/>
          <w:shd w:fill="auto" w:val="clear"/>
        </w:rPr>
        <w:t xml:space="preserve">os </w:t>
      </w:r>
      <w:r>
        <w:rPr>
          <w:rFonts w:ascii="Times New Roman" w:hAnsi="Times New Roman" w:cs="Times New Roman" w:eastAsia="Times New Roman"/>
          <w:color w:val="auto"/>
          <w:spacing w:val="0"/>
          <w:position w:val="0"/>
          <w:sz w:val="20"/>
          <w:shd w:fill="auto" w:val="clear"/>
        </w:rPr>
        <w:t xml:space="preserve">meninos e 26,1 para as meninas. São valores próximos, de onde se conclui que, desde cedo se observa uma nítida divisão sexual das tarefas domésticas nos lares. (IBGE/PNAD,</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2001-2005).</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0" w:after="0" w:line="360"/>
        <w:ind w:right="112"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disso a mulher vem conquistando o seu espaço vem buscando caminhos para se profissionalizar e se inserir no mercado de trabalho, mas bem sabemos que ainda é homem, que possui mais facilidades para entrar e até mesmo permanecer no mercado de trabalho. E o espaço doméstico desde cedo é destinado e naturalizado como um espaço para as meninas, futuras mulheres.</w:t>
      </w:r>
    </w:p>
    <w:p>
      <w:pPr>
        <w:spacing w:before="4" w:after="0" w:line="360"/>
        <w:ind w:right="117"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segundo dados nacionais coletados </w:t>
      </w:r>
      <w:r>
        <w:rPr>
          <w:rFonts w:ascii="Times New Roman" w:hAnsi="Times New Roman" w:cs="Times New Roman" w:eastAsia="Times New Roman"/>
          <w:color w:val="auto"/>
          <w:spacing w:val="-3"/>
          <w:position w:val="0"/>
          <w:sz w:val="24"/>
          <w:shd w:fill="auto" w:val="clear"/>
        </w:rPr>
        <w:t xml:space="preserve">pelo </w:t>
      </w:r>
      <w:r>
        <w:rPr>
          <w:rFonts w:ascii="Times New Roman" w:hAnsi="Times New Roman" w:cs="Times New Roman" w:eastAsia="Times New Roman"/>
          <w:color w:val="auto"/>
          <w:spacing w:val="0"/>
          <w:position w:val="0"/>
          <w:sz w:val="24"/>
          <w:shd w:fill="auto" w:val="clear"/>
        </w:rPr>
        <w:t xml:space="preserve">IBGE (2001), a </w:t>
      </w:r>
      <w:r>
        <w:rPr>
          <w:rFonts w:ascii="Times New Roman" w:hAnsi="Times New Roman" w:cs="Times New Roman" w:eastAsia="Times New Roman"/>
          <w:color w:val="auto"/>
          <w:spacing w:val="-3"/>
          <w:position w:val="0"/>
          <w:sz w:val="24"/>
          <w:shd w:fill="auto" w:val="clear"/>
        </w:rPr>
        <w:t xml:space="preserve">média </w:t>
      </w:r>
      <w:r>
        <w:rPr>
          <w:rFonts w:ascii="Times New Roman" w:hAnsi="Times New Roman" w:cs="Times New Roman" w:eastAsia="Times New Roman"/>
          <w:color w:val="auto"/>
          <w:spacing w:val="0"/>
          <w:position w:val="0"/>
          <w:sz w:val="24"/>
          <w:shd w:fill="auto" w:val="clear"/>
        </w:rPr>
        <w:t xml:space="preserve">total de horas semanais dispensadas a afazeres domésticos era de 23,4. Na divisão por gênero,  os dados mostravam 10,9 horas gastas pelos homens e 29,0 horas para as mulheres. </w:t>
      </w:r>
      <w:r>
        <w:rPr>
          <w:rFonts w:ascii="Times New Roman" w:hAnsi="Times New Roman" w:cs="Times New Roman" w:eastAsia="Times New Roman"/>
          <w:color w:val="auto"/>
          <w:spacing w:val="5"/>
          <w:position w:val="0"/>
          <w:sz w:val="24"/>
          <w:shd w:fill="auto" w:val="clear"/>
        </w:rPr>
        <w:t xml:space="preserve">Em </w:t>
      </w:r>
      <w:r>
        <w:rPr>
          <w:rFonts w:ascii="Times New Roman" w:hAnsi="Times New Roman" w:cs="Times New Roman" w:eastAsia="Times New Roman"/>
          <w:color w:val="auto"/>
          <w:spacing w:val="0"/>
          <w:position w:val="0"/>
          <w:sz w:val="24"/>
          <w:shd w:fill="auto" w:val="clear"/>
        </w:rPr>
        <w:t xml:space="preserve">2005, as mulheres marcaram 25,3 horas gastas com estes cuidados e os homens, 9,9. A média foi de 19,9. Entre a população ocupada, a redução foi de 18,4 para 16,3 horas. A carga horária média feminina foi de 24,1 para 21,8 e a masculina, de 10,0 para 9,1.  Estas quedas também podem ser associadas com a aquisição de bens-duráveis nos domicílios e acesso às novas tecnologias que facilitam o trabalho</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doméstico.</w:t>
      </w:r>
    </w:p>
    <w:p>
      <w:pPr>
        <w:spacing w:before="4" w:after="0" w:line="360"/>
        <w:ind w:right="115"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Dados da Pesquisa Nacional por Amostra de Domicílios (PNAD), realizada pelo IBGE (2008) em Santa Catarina mostra que a distribuição de pessoas ocupadas com 10 anos ou mais de idade, representou que 56,37 % são homens e respectivamente 43,63 % são mulheres. E o PNAD (2007) nos mostra que pessoas com 12 anos ou mais de estudo e pessoas que freqüentam o ensino superior, somam um percentual de 46,2 % homens e 53,8 % mulheres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Evidenciando que em comparação aos homens, as mulheres estão buscando uma maior capacitação técnica e profissional em Santa Catarina para uma possível inserção ou permanência no mercado de trabalho.</w:t>
      </w:r>
    </w:p>
    <w:p>
      <w:pPr>
        <w:spacing w:before="4" w:after="0" w:line="360"/>
        <w:ind w:right="115"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o referido estudo realizado em Santa Catarina, também nos mostra que mesmo quando a mulher conquista o seu espaço no mercado de trabalho as tarefas domésticas ainda continuam sob suas responsabilidades. Segundo dados do PNAD (2007) a proporção de homens com 10 anos ou mais de idade ocupados, que cuidam de afazeres domésticos, somam um total de 49,9 % e a proporção de mulheres de 10 anos ou mais de idade, que cuidam de afazeres domésticos, ocupados somou 90,9 %.</w:t>
      </w:r>
    </w:p>
    <w:p>
      <w:pPr>
        <w:spacing w:before="4" w:after="0" w:line="360"/>
        <w:ind w:right="113"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ainda dados IBGE/PNAD (2001-2005), referente ao território nacional confirmam:</w:t>
      </w:r>
    </w:p>
    <w:p>
      <w:pPr>
        <w:spacing w:before="3" w:after="0" w:line="240"/>
        <w:ind w:right="113" w:left="2386" w:firstLine="4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que a crescente participação das mulheres no mercado de trabalho não reduziu a jornada delas com os afazeres domésticos. Pelo contrário, na faixa etária de 25 a 49 anos de idade, onde a inserção das mulheres nas atividades remuneradas é maior e que coincide com a presença de filhos menores, o trabalho doméstico ocupa 94,0% das mulheres. No país, 109,2 milhões de pessoas de 10 anos ou mais de idade declararam realizar tarefas domésticas; sendo que, deste conjunto, 71,5 milhões (65,4%) são mulheres e 37,7 milhões (34,6%)  são  homens.  No  total  da   população  masculina,  observa-se,    no</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49" w:after="0" w:line="240"/>
        <w:ind w:right="120"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Nordeste, a menor participação dos homens nestas tarefas (46,7%,) enquanto que, no Sul, se evidencia a maior taxa (62%). E, ainda, na população masculina, quem mais realiza tarefas em casa são os mais escolarizados (54%), enquanto que para as mulheres ocorre o inverso.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1" w:after="0" w:line="360"/>
        <w:ind w:right="110"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Esses dados nos fazem refletir sobre os papéis que homens e mulheres vêm assumindo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sociedade, se por um lado temos um número significativo de mulheres buscando cada vez mais permanecerem nas escolas e freqüentarem cursos superiores, por outro lado percebemos através da pesquisa que o espaço doméstico ainda continua sendo um espaço quase que exclusivo das mulheres. Apesar das mulheres estarem conquistando novos postos de trabalho, buscando a qualificação profissional via universidades, o trabalho doméstico ainda continua se configurando como uma  atividade exclusivamente feminina, designado tanto para meninas, quanto  para mulheres. Sendo que o trabalho doméstico é campo extramente desvalorizado, tanto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âmbito </w:t>
      </w:r>
      <w:r>
        <w:rPr>
          <w:rFonts w:ascii="Times New Roman" w:hAnsi="Times New Roman" w:cs="Times New Roman" w:eastAsia="Times New Roman"/>
          <w:color w:val="auto"/>
          <w:spacing w:val="-3"/>
          <w:position w:val="0"/>
          <w:sz w:val="24"/>
          <w:shd w:fill="auto" w:val="clear"/>
        </w:rPr>
        <w:t xml:space="preserve">social, </w:t>
      </w:r>
      <w:r>
        <w:rPr>
          <w:rFonts w:ascii="Times New Roman" w:hAnsi="Times New Roman" w:cs="Times New Roman" w:eastAsia="Times New Roman"/>
          <w:color w:val="auto"/>
          <w:spacing w:val="0"/>
          <w:position w:val="0"/>
          <w:sz w:val="24"/>
          <w:shd w:fill="auto" w:val="clear"/>
        </w:rPr>
        <w:t xml:space="preserve">como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âmbito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econômico.</w:t>
      </w:r>
    </w:p>
    <w:p>
      <w:pPr>
        <w:spacing w:before="8" w:after="0" w:line="240"/>
        <w:ind w:right="311" w:left="83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Abramo (2007, p. 26):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114"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manutenção e a reprodução das desigualdades existentes entre homens e mulheres no mundo do trabalho são influenciadas </w:t>
      </w:r>
      <w:r>
        <w:rPr>
          <w:rFonts w:ascii="Times New Roman" w:hAnsi="Times New Roman" w:cs="Times New Roman" w:eastAsia="Times New Roman"/>
          <w:color w:val="auto"/>
          <w:spacing w:val="-4"/>
          <w:position w:val="0"/>
          <w:sz w:val="20"/>
          <w:shd w:fill="auto" w:val="clear"/>
        </w:rPr>
        <w:t xml:space="preserve">por </w:t>
      </w:r>
      <w:r>
        <w:rPr>
          <w:rFonts w:ascii="Times New Roman" w:hAnsi="Times New Roman" w:cs="Times New Roman" w:eastAsia="Times New Roman"/>
          <w:color w:val="auto"/>
          <w:spacing w:val="0"/>
          <w:position w:val="0"/>
          <w:sz w:val="20"/>
          <w:shd w:fill="auto" w:val="clear"/>
        </w:rPr>
        <w:t xml:space="preserve">vários fatores,  derivados da divisão sexual do trabalho e de uma ordem de gênero (que  inclui não só o trabalho, mas também todas as outras dimensões da vida social), que destinam à </w:t>
      </w:r>
      <w:r>
        <w:rPr>
          <w:rFonts w:ascii="Times New Roman" w:hAnsi="Times New Roman" w:cs="Times New Roman" w:eastAsia="Times New Roman"/>
          <w:color w:val="auto"/>
          <w:spacing w:val="-2"/>
          <w:position w:val="0"/>
          <w:sz w:val="20"/>
          <w:shd w:fill="auto" w:val="clear"/>
        </w:rPr>
        <w:t xml:space="preserve">mulher </w:t>
      </w:r>
      <w:r>
        <w:rPr>
          <w:rFonts w:ascii="Times New Roman" w:hAnsi="Times New Roman" w:cs="Times New Roman" w:eastAsia="Times New Roman"/>
          <w:color w:val="auto"/>
          <w:spacing w:val="0"/>
          <w:position w:val="0"/>
          <w:sz w:val="20"/>
          <w:shd w:fill="auto" w:val="clear"/>
        </w:rPr>
        <w:t xml:space="preserve">a função básica e primordial de cuidar </w:t>
      </w:r>
      <w:r>
        <w:rPr>
          <w:rFonts w:ascii="Times New Roman" w:hAnsi="Times New Roman" w:cs="Times New Roman" w:eastAsia="Times New Roman"/>
          <w:color w:val="auto"/>
          <w:spacing w:val="-3"/>
          <w:position w:val="0"/>
          <w:sz w:val="20"/>
          <w:shd w:fill="auto" w:val="clear"/>
        </w:rPr>
        <w:t xml:space="preserve">da </w:t>
      </w:r>
      <w:r>
        <w:rPr>
          <w:rFonts w:ascii="Times New Roman" w:hAnsi="Times New Roman" w:cs="Times New Roman" w:eastAsia="Times New Roman"/>
          <w:color w:val="auto"/>
          <w:spacing w:val="0"/>
          <w:position w:val="0"/>
          <w:sz w:val="20"/>
          <w:shd w:fill="auto" w:val="clear"/>
        </w:rPr>
        <w:t xml:space="preserve">vida privada e </w:t>
      </w:r>
      <w:r>
        <w:rPr>
          <w:rFonts w:ascii="Times New Roman" w:hAnsi="Times New Roman" w:cs="Times New Roman" w:eastAsia="Times New Roman"/>
          <w:color w:val="auto"/>
          <w:spacing w:val="-3"/>
          <w:position w:val="0"/>
          <w:sz w:val="20"/>
          <w:shd w:fill="auto" w:val="clear"/>
        </w:rPr>
        <w:t xml:space="preserve">da </w:t>
      </w:r>
      <w:r>
        <w:rPr>
          <w:rFonts w:ascii="Times New Roman" w:hAnsi="Times New Roman" w:cs="Times New Roman" w:eastAsia="Times New Roman"/>
          <w:color w:val="auto"/>
          <w:spacing w:val="0"/>
          <w:position w:val="0"/>
          <w:sz w:val="20"/>
          <w:shd w:fill="auto" w:val="clear"/>
        </w:rPr>
        <w:t xml:space="preserve">esfera doméstica, e ao mesmo tempo atribuem a esse universo um valor social inferior ao mundo “público” (e desconhecem por completo seu valor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econômico).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6" w:left="119" w:firstLine="85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 forma podemos afirmar que tanto a construção social dos papeis na sociedade, como também a divisão sexual do trabalho, destinaram espaços específicos para homens e mulheres, legitimando no âmbito da esfera produtiva certa desigualdade entre homens e mulheres. E devido a esses fatores os trabalhos executados pelo gênero feminino são caracterizados muitas vezes por uma inferioridade hierárquica, por baixos salários, e por atividades específicas, por típicas profissões femininas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Faria e Nobre (1997, p.13) afirma que as mulheres se concentram em atividades consideradas tipicamente femininas como serviços domésticos, professoras, enfermeiras e assistentes sociais.</w:t>
      </w:r>
    </w:p>
    <w:p>
      <w:pPr>
        <w:spacing w:before="8" w:after="0" w:line="360"/>
        <w:ind w:right="118" w:left="119" w:firstLine="85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 salientar que as diferenças salariais entre homens e mulheres sempre estiveram e ainda continuam presentes em nossa sociedade capitalista. Um estudo do final do século XIX do </w:t>
      </w:r>
      <w:r>
        <w:rPr>
          <w:rFonts w:ascii="Times New Roman" w:hAnsi="Times New Roman" w:cs="Times New Roman" w:eastAsia="Times New Roman"/>
          <w:b/>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ociólogo Sidney Webb reforça que:</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49" w:after="0" w:line="240"/>
        <w:ind w:right="114"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mulheres ganham menos que os homens não só porque produzem menos, mas também porque aquilo que produzem é normalmente avaliado no mercado por </w:t>
      </w:r>
      <w:r>
        <w:rPr>
          <w:rFonts w:ascii="Times New Roman" w:hAnsi="Times New Roman" w:cs="Times New Roman" w:eastAsia="Times New Roman"/>
          <w:color w:val="auto"/>
          <w:spacing w:val="-3"/>
          <w:position w:val="0"/>
          <w:sz w:val="20"/>
          <w:shd w:fill="auto" w:val="clear"/>
        </w:rPr>
        <w:t xml:space="preserve">um </w:t>
      </w:r>
      <w:r>
        <w:rPr>
          <w:rFonts w:ascii="Times New Roman" w:hAnsi="Times New Roman" w:cs="Times New Roman" w:eastAsia="Times New Roman"/>
          <w:color w:val="auto"/>
          <w:spacing w:val="0"/>
          <w:position w:val="0"/>
          <w:sz w:val="20"/>
          <w:shd w:fill="auto" w:val="clear"/>
        </w:rPr>
        <w:t xml:space="preserve">valor inferior.[...] onde existe inferioridade de ganhos, </w:t>
      </w:r>
      <w:r>
        <w:rPr>
          <w:rFonts w:ascii="Times New Roman" w:hAnsi="Times New Roman" w:cs="Times New Roman" w:eastAsia="Times New Roman"/>
          <w:color w:val="auto"/>
          <w:spacing w:val="-3"/>
          <w:position w:val="0"/>
          <w:sz w:val="20"/>
          <w:shd w:fill="auto" w:val="clear"/>
        </w:rPr>
        <w:t xml:space="preserve">ela </w:t>
      </w:r>
      <w:r>
        <w:rPr>
          <w:rFonts w:ascii="Times New Roman" w:hAnsi="Times New Roman" w:cs="Times New Roman" w:eastAsia="Times New Roman"/>
          <w:color w:val="auto"/>
          <w:spacing w:val="0"/>
          <w:position w:val="0"/>
          <w:sz w:val="20"/>
          <w:shd w:fill="auto" w:val="clear"/>
        </w:rPr>
        <w:t xml:space="preserve">é quase sempre coexistente </w:t>
      </w:r>
      <w:r>
        <w:rPr>
          <w:rFonts w:ascii="Times New Roman" w:hAnsi="Times New Roman" w:cs="Times New Roman" w:eastAsia="Times New Roman"/>
          <w:color w:val="auto"/>
          <w:spacing w:val="-3"/>
          <w:position w:val="0"/>
          <w:sz w:val="20"/>
          <w:shd w:fill="auto" w:val="clear"/>
        </w:rPr>
        <w:t xml:space="preserve">com </w:t>
      </w:r>
      <w:r>
        <w:rPr>
          <w:rFonts w:ascii="Times New Roman" w:hAnsi="Times New Roman" w:cs="Times New Roman" w:eastAsia="Times New Roman"/>
          <w:color w:val="auto"/>
          <w:spacing w:val="0"/>
          <w:position w:val="0"/>
          <w:sz w:val="20"/>
          <w:shd w:fill="auto" w:val="clear"/>
        </w:rPr>
        <w:t xml:space="preserve">uma inferioridade de trabalho. E o que generaliza inferioridade de trabalho da </w:t>
      </w:r>
      <w:r>
        <w:rPr>
          <w:rFonts w:ascii="Times New Roman" w:hAnsi="Times New Roman" w:cs="Times New Roman" w:eastAsia="Times New Roman"/>
          <w:color w:val="auto"/>
          <w:spacing w:val="-2"/>
          <w:position w:val="0"/>
          <w:sz w:val="20"/>
          <w:shd w:fill="auto" w:val="clear"/>
        </w:rPr>
        <w:t xml:space="preserve">mulher </w:t>
      </w:r>
      <w:r>
        <w:rPr>
          <w:rFonts w:ascii="Times New Roman" w:hAnsi="Times New Roman" w:cs="Times New Roman" w:eastAsia="Times New Roman"/>
          <w:color w:val="auto"/>
          <w:spacing w:val="0"/>
          <w:position w:val="0"/>
          <w:sz w:val="20"/>
          <w:shd w:fill="auto" w:val="clear"/>
        </w:rPr>
        <w:t xml:space="preserve">parece influenciar o  seu  salário em indústrias onde a tal inferioridade não existe. (WEBB </w:t>
      </w:r>
      <w:r>
        <w:rPr>
          <w:rFonts w:ascii="Times New Roman" w:hAnsi="Times New Roman" w:cs="Times New Roman" w:eastAsia="Times New Roman"/>
          <w:i/>
          <w:color w:val="auto"/>
          <w:spacing w:val="0"/>
          <w:position w:val="0"/>
          <w:sz w:val="20"/>
          <w:shd w:fill="auto" w:val="clear"/>
        </w:rPr>
        <w:t xml:space="preserve">apud </w:t>
      </w:r>
      <w:r>
        <w:rPr>
          <w:rFonts w:ascii="Times New Roman" w:hAnsi="Times New Roman" w:cs="Times New Roman" w:eastAsia="Times New Roman"/>
          <w:color w:val="auto"/>
          <w:spacing w:val="0"/>
          <w:position w:val="0"/>
          <w:sz w:val="20"/>
          <w:shd w:fill="auto" w:val="clear"/>
        </w:rPr>
        <w:t xml:space="preserve">SCOOT, 1994, pp.</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457-458)</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0"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através de investigações realizadas pelo IBGE (2008), também podemos confirmar esta diferença salarial, pois segundo dados da Pesquisa Mensal de Emprego, realizada em seis regiões metropolitanas, sendo elas: Recife, Salvador, </w:t>
      </w:r>
      <w:r>
        <w:rPr>
          <w:rFonts w:ascii="Times New Roman" w:hAnsi="Times New Roman" w:cs="Times New Roman" w:eastAsia="Times New Roman"/>
          <w:color w:val="auto"/>
          <w:spacing w:val="-3"/>
          <w:position w:val="0"/>
          <w:sz w:val="24"/>
          <w:shd w:fill="auto" w:val="clear"/>
        </w:rPr>
        <w:t xml:space="preserve">Belo </w:t>
      </w:r>
      <w:r>
        <w:rPr>
          <w:rFonts w:ascii="Times New Roman" w:hAnsi="Times New Roman" w:cs="Times New Roman" w:eastAsia="Times New Roman"/>
          <w:color w:val="auto"/>
          <w:spacing w:val="0"/>
          <w:position w:val="0"/>
          <w:sz w:val="24"/>
          <w:shd w:fill="auto" w:val="clear"/>
        </w:rPr>
        <w:t xml:space="preserve">Horizonte, </w:t>
      </w:r>
      <w:r>
        <w:rPr>
          <w:rFonts w:ascii="Times New Roman" w:hAnsi="Times New Roman" w:cs="Times New Roman" w:eastAsia="Times New Roman"/>
          <w:color w:val="auto"/>
          <w:spacing w:val="-3"/>
          <w:position w:val="0"/>
          <w:sz w:val="24"/>
          <w:shd w:fill="auto" w:val="clear"/>
        </w:rPr>
        <w:t xml:space="preserve">Rio </w:t>
      </w:r>
      <w:r>
        <w:rPr>
          <w:rFonts w:ascii="Times New Roman" w:hAnsi="Times New Roman" w:cs="Times New Roman" w:eastAsia="Times New Roman"/>
          <w:color w:val="auto"/>
          <w:spacing w:val="0"/>
          <w:position w:val="0"/>
          <w:sz w:val="24"/>
          <w:shd w:fill="auto" w:val="clear"/>
        </w:rPr>
        <w:t xml:space="preserve">de Janeiro, São </w:t>
      </w:r>
      <w:r>
        <w:rPr>
          <w:rFonts w:ascii="Times New Roman" w:hAnsi="Times New Roman" w:cs="Times New Roman" w:eastAsia="Times New Roman"/>
          <w:color w:val="auto"/>
          <w:spacing w:val="-3"/>
          <w:position w:val="0"/>
          <w:sz w:val="24"/>
          <w:shd w:fill="auto" w:val="clear"/>
        </w:rPr>
        <w:t xml:space="preserve">Paulo </w:t>
      </w:r>
      <w:r>
        <w:rPr>
          <w:rFonts w:ascii="Times New Roman" w:hAnsi="Times New Roman" w:cs="Times New Roman" w:eastAsia="Times New Roman"/>
          <w:color w:val="auto"/>
          <w:spacing w:val="0"/>
          <w:position w:val="0"/>
          <w:sz w:val="24"/>
          <w:shd w:fill="auto" w:val="clear"/>
        </w:rPr>
        <w:t xml:space="preserve">e Porto Alegre. Verificou-se que as mulheres receberam  71,3% quando comparadas ao rendimento </w:t>
      </w:r>
      <w:r>
        <w:rPr>
          <w:rFonts w:ascii="Times New Roman" w:hAnsi="Times New Roman" w:cs="Times New Roman" w:eastAsia="Times New Roman"/>
          <w:color w:val="auto"/>
          <w:spacing w:val="0"/>
          <w:position w:val="0"/>
          <w:sz w:val="23"/>
          <w:shd w:fill="auto" w:val="clear"/>
        </w:rPr>
        <w:t xml:space="preserve">médio habitual </w:t>
      </w:r>
      <w:r>
        <w:rPr>
          <w:rFonts w:ascii="Times New Roman" w:hAnsi="Times New Roman" w:cs="Times New Roman" w:eastAsia="Times New Roman"/>
          <w:color w:val="auto"/>
          <w:spacing w:val="0"/>
          <w:position w:val="0"/>
          <w:sz w:val="24"/>
          <w:shd w:fill="auto" w:val="clear"/>
        </w:rPr>
        <w:t xml:space="preserve">dos homens. E a </w:t>
      </w:r>
      <w:r>
        <w:rPr>
          <w:rFonts w:ascii="Times New Roman" w:hAnsi="Times New Roman" w:cs="Times New Roman" w:eastAsia="Times New Roman"/>
          <w:color w:val="auto"/>
          <w:spacing w:val="-3"/>
          <w:position w:val="0"/>
          <w:sz w:val="24"/>
          <w:shd w:fill="auto" w:val="clear"/>
        </w:rPr>
        <w:t xml:space="preserve">ainda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39" w:after="0" w:line="240"/>
        <w:ind w:right="115"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Para as mulheres que possuíam nível superior completo o rendimento médio habitual </w:t>
      </w:r>
      <w:r>
        <w:rPr>
          <w:rFonts w:ascii="Times New Roman" w:hAnsi="Times New Roman" w:cs="Times New Roman" w:eastAsia="Times New Roman"/>
          <w:color w:val="auto"/>
          <w:spacing w:val="-4"/>
          <w:position w:val="0"/>
          <w:sz w:val="20"/>
          <w:shd w:fill="auto" w:val="clear"/>
        </w:rPr>
        <w:t xml:space="preserve">foi </w:t>
      </w:r>
      <w:r>
        <w:rPr>
          <w:rFonts w:ascii="Times New Roman" w:hAnsi="Times New Roman" w:cs="Times New Roman" w:eastAsia="Times New Roman"/>
          <w:color w:val="auto"/>
          <w:spacing w:val="0"/>
          <w:position w:val="0"/>
          <w:sz w:val="20"/>
          <w:shd w:fill="auto" w:val="clear"/>
        </w:rPr>
        <w:t xml:space="preserve">de </w:t>
      </w:r>
      <w:r>
        <w:rPr>
          <w:rFonts w:ascii="Times New Roman" w:hAnsi="Times New Roman" w:cs="Times New Roman" w:eastAsia="Times New Roman"/>
          <w:color w:val="auto"/>
          <w:spacing w:val="-3"/>
          <w:position w:val="0"/>
          <w:sz w:val="20"/>
          <w:shd w:fill="auto" w:val="clear"/>
        </w:rPr>
        <w:t xml:space="preserve">R$ </w:t>
      </w:r>
      <w:r>
        <w:rPr>
          <w:rFonts w:ascii="Times New Roman" w:hAnsi="Times New Roman" w:cs="Times New Roman" w:eastAsia="Times New Roman"/>
          <w:color w:val="auto"/>
          <w:spacing w:val="0"/>
          <w:position w:val="0"/>
          <w:sz w:val="20"/>
          <w:shd w:fill="auto" w:val="clear"/>
        </w:rPr>
        <w:t xml:space="preserve">2.291,80 em janeiro de 2008; enquanto para </w:t>
      </w:r>
      <w:r>
        <w:rPr>
          <w:rFonts w:ascii="Times New Roman" w:hAnsi="Times New Roman" w:cs="Times New Roman" w:eastAsia="Times New Roman"/>
          <w:color w:val="auto"/>
          <w:spacing w:val="-3"/>
          <w:position w:val="0"/>
          <w:sz w:val="20"/>
          <w:shd w:fill="auto" w:val="clear"/>
        </w:rPr>
        <w:t xml:space="preserve">os </w:t>
      </w:r>
      <w:r>
        <w:rPr>
          <w:rFonts w:ascii="Times New Roman" w:hAnsi="Times New Roman" w:cs="Times New Roman" w:eastAsia="Times New Roman"/>
          <w:color w:val="auto"/>
          <w:spacing w:val="0"/>
          <w:position w:val="0"/>
          <w:sz w:val="20"/>
          <w:shd w:fill="auto" w:val="clear"/>
        </w:rPr>
        <w:t xml:space="preserve">homens esse valor </w:t>
      </w:r>
      <w:r>
        <w:rPr>
          <w:rFonts w:ascii="Times New Roman" w:hAnsi="Times New Roman" w:cs="Times New Roman" w:eastAsia="Times New Roman"/>
          <w:color w:val="auto"/>
          <w:spacing w:val="-4"/>
          <w:position w:val="0"/>
          <w:sz w:val="20"/>
          <w:shd w:fill="auto" w:val="clear"/>
        </w:rPr>
        <w:t xml:space="preserve">foi </w:t>
      </w:r>
      <w:r>
        <w:rPr>
          <w:rFonts w:ascii="Times New Roman" w:hAnsi="Times New Roman" w:cs="Times New Roman" w:eastAsia="Times New Roman"/>
          <w:color w:val="auto"/>
          <w:spacing w:val="0"/>
          <w:position w:val="0"/>
          <w:sz w:val="20"/>
          <w:shd w:fill="auto" w:val="clear"/>
        </w:rPr>
        <w:t xml:space="preserve">de R$ 3.841,40. Assim, comparando trabalhadores  que possuíam o nível superior, observou-se que o rendimento das mulheres é  cerca de 60% do rendimento dos homens, indicando que, mesmo com grau de escolaridade mais elevado, as discrepâncias salariais entre homens e  mulheres seguem elevadas. (idem</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2008).</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26"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Logo, podemos afirmar que a divisão sexual do trabalho foi veementemente reproduzida, construindo e alimentando as desigualdades de gênero não apenas  na esfera produtiva, mas de modo geral na sociedade. E essas desigualdades de gênero permanecem arraigadas de diversas maneiras na contemporaneidade.</w:t>
      </w:r>
    </w:p>
    <w:p>
      <w:pPr>
        <w:spacing w:before="4" w:after="0" w:line="360"/>
        <w:ind w:right="113"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Dificuldades de </w:t>
      </w:r>
      <w:r>
        <w:rPr>
          <w:rFonts w:ascii="Times New Roman" w:hAnsi="Times New Roman" w:cs="Times New Roman" w:eastAsia="Times New Roman"/>
          <w:color w:val="auto"/>
          <w:spacing w:val="2"/>
          <w:position w:val="0"/>
          <w:sz w:val="24"/>
          <w:shd w:fill="auto" w:val="clear"/>
        </w:rPr>
        <w:t xml:space="preserve">toda </w:t>
      </w:r>
      <w:r>
        <w:rPr>
          <w:rFonts w:ascii="Times New Roman" w:hAnsi="Times New Roman" w:cs="Times New Roman" w:eastAsia="Times New Roman"/>
          <w:color w:val="auto"/>
          <w:spacing w:val="0"/>
          <w:position w:val="0"/>
          <w:sz w:val="24"/>
          <w:shd w:fill="auto" w:val="clear"/>
        </w:rPr>
        <w:t xml:space="preserve">sorte estão colocadas para as mulheres: remuneração inferior, discriminação para o acesso aos postos de trabalho, dificuldades para a ascensão profissional, dificuldades até </w:t>
      </w:r>
      <w:r>
        <w:rPr>
          <w:rFonts w:ascii="Times New Roman" w:hAnsi="Times New Roman" w:cs="Times New Roman" w:eastAsia="Times New Roman"/>
          <w:color w:val="auto"/>
          <w:spacing w:val="-3"/>
          <w:position w:val="0"/>
          <w:sz w:val="24"/>
          <w:shd w:fill="auto" w:val="clear"/>
        </w:rPr>
        <w:t xml:space="preserve">mesmo </w:t>
      </w:r>
      <w:r>
        <w:rPr>
          <w:rFonts w:ascii="Times New Roman" w:hAnsi="Times New Roman" w:cs="Times New Roman" w:eastAsia="Times New Roman"/>
          <w:color w:val="auto"/>
          <w:spacing w:val="0"/>
          <w:position w:val="0"/>
          <w:sz w:val="24"/>
          <w:shd w:fill="auto" w:val="clear"/>
        </w:rPr>
        <w:t xml:space="preserve">para executar seu exercício profissional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ambiente de trabalho. E ainda hoje cobra-se das mulheres responsabilidades </w:t>
      </w:r>
      <w:r>
        <w:rPr>
          <w:rFonts w:ascii="Times New Roman" w:hAnsi="Times New Roman" w:cs="Times New Roman" w:eastAsia="Times New Roman"/>
          <w:color w:val="auto"/>
          <w:spacing w:val="4"/>
          <w:position w:val="0"/>
          <w:sz w:val="24"/>
          <w:shd w:fill="auto" w:val="clear"/>
        </w:rPr>
        <w:t xml:space="preserve">em </w:t>
      </w:r>
      <w:r>
        <w:rPr>
          <w:rFonts w:ascii="Times New Roman" w:hAnsi="Times New Roman" w:cs="Times New Roman" w:eastAsia="Times New Roman"/>
          <w:color w:val="auto"/>
          <w:spacing w:val="0"/>
          <w:position w:val="0"/>
          <w:sz w:val="24"/>
          <w:shd w:fill="auto" w:val="clear"/>
        </w:rPr>
        <w:t xml:space="preserve">relação à maternidade, aos afazeres domésticos, como se esse fosse uma campo exclusivo delas. Cabe colocar também que muitas vezes a mulher não consegue acessar serviços de extrema importância tais como saúde, educação, moradia, os </w:t>
      </w:r>
      <w:r>
        <w:rPr>
          <w:rFonts w:ascii="Times New Roman" w:hAnsi="Times New Roman" w:cs="Times New Roman" w:eastAsia="Times New Roman"/>
          <w:color w:val="auto"/>
          <w:spacing w:val="-3"/>
          <w:position w:val="0"/>
          <w:sz w:val="24"/>
          <w:shd w:fill="auto" w:val="clear"/>
        </w:rPr>
        <w:t xml:space="preserve">quais </w:t>
      </w:r>
      <w:r>
        <w:rPr>
          <w:rFonts w:ascii="Times New Roman" w:hAnsi="Times New Roman" w:cs="Times New Roman" w:eastAsia="Times New Roman"/>
          <w:color w:val="auto"/>
          <w:spacing w:val="0"/>
          <w:position w:val="0"/>
          <w:sz w:val="24"/>
          <w:shd w:fill="auto" w:val="clear"/>
        </w:rPr>
        <w:t xml:space="preserve">aparecem como garantias da Constituição Federal (1988) para todos os cidadãos, mas nem sempre são oferecidos a </w:t>
      </w:r>
      <w:r>
        <w:rPr>
          <w:rFonts w:ascii="Times New Roman" w:hAnsi="Times New Roman" w:cs="Times New Roman" w:eastAsia="Times New Roman"/>
          <w:color w:val="auto"/>
          <w:spacing w:val="2"/>
          <w:position w:val="0"/>
          <w:sz w:val="24"/>
          <w:shd w:fill="auto" w:val="clear"/>
        </w:rPr>
        <w:t xml:space="preserve">todos </w:t>
      </w:r>
      <w:r>
        <w:rPr>
          <w:rFonts w:ascii="Times New Roman" w:hAnsi="Times New Roman" w:cs="Times New Roman" w:eastAsia="Times New Roman"/>
          <w:color w:val="auto"/>
          <w:spacing w:val="0"/>
          <w:position w:val="0"/>
          <w:sz w:val="24"/>
          <w:shd w:fill="auto" w:val="clear"/>
        </w:rPr>
        <w:t xml:space="preserve">que necessitam. E essas dificuldades são ainda maiores e mais evidentes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cotidiano das mulheres que residem em comunidades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pobres.</w:t>
      </w:r>
    </w:p>
    <w:p>
      <w:pPr>
        <w:spacing w:before="4" w:after="0" w:line="360"/>
        <w:ind w:right="117"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queremos aqui tratar as desigualdades de gênero de forma geral, não especificando a questão da pobreza, queremos evidenciar também o quanto o Brasil é um país feminino, e o quanto as desigualdades de gênero ainda estão presentes na sociedade  brasileira.  </w:t>
      </w:r>
    </w:p>
    <w:p>
      <w:pPr>
        <w:spacing w:before="4" w:after="0" w:line="360"/>
        <w:ind w:right="117" w:left="119" w:firstLine="710"/>
        <w:jc w:val="both"/>
        <w:rPr>
          <w:rFonts w:ascii="Times New Roman" w:hAnsi="Times New Roman" w:cs="Times New Roman" w:eastAsia="Times New Roman"/>
          <w:color w:val="auto"/>
          <w:spacing w:val="0"/>
          <w:position w:val="0"/>
          <w:sz w:val="24"/>
          <w:shd w:fill="auto" w:val="clear"/>
        </w:rPr>
      </w:pPr>
    </w:p>
    <w:p>
      <w:pPr>
        <w:spacing w:before="4" w:after="0" w:line="360"/>
        <w:ind w:right="117"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Devido  a  </w:t>
      </w:r>
      <w:r>
        <w:rPr>
          <w:rFonts w:ascii="Times New Roman" w:hAnsi="Times New Roman" w:cs="Times New Roman" w:eastAsia="Times New Roman"/>
          <w:color w:val="auto"/>
          <w:spacing w:val="-3"/>
          <w:position w:val="0"/>
          <w:sz w:val="24"/>
          <w:shd w:fill="auto" w:val="clear"/>
        </w:rPr>
        <w:t xml:space="preserve">isso  </w:t>
      </w:r>
      <w:r>
        <w:rPr>
          <w:rFonts w:ascii="Times New Roman" w:hAnsi="Times New Roman" w:cs="Times New Roman" w:eastAsia="Times New Roman"/>
          <w:color w:val="auto"/>
          <w:spacing w:val="0"/>
          <w:position w:val="0"/>
          <w:sz w:val="24"/>
          <w:shd w:fill="auto" w:val="clear"/>
        </w:rPr>
        <w:t xml:space="preserve">é  necessário  discutirmos  a  categoria  gênero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sociedade, promover o debate, na tentativa de construirmos um novo consenso, onde exista equidade e a palavra desigualdade de gênero aos poucos possa ser retirada das relações entre homens e mulheres. Pesquisas do IBGE mostram que: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0" w:after="0" w:line="240"/>
        <w:ind w:right="117"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1980, haviam 98,7 homens para cada cem mulheres, proporção que caiu para 97% em 2000 e será de 95% em 2050. Em números absolutos, o excedente feminino, que era de 2,5 milhões em 2000, chegará a seis milhões em 2050. Já a diferença entre a esperança de vida de homens e mulheres atingiu 7,6 anos em 2000 – sendo a masculina de 66,71 anos e a feminina de 74,29 anos.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3"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estudo </w:t>
      </w:r>
      <w:r>
        <w:rPr>
          <w:rFonts w:ascii="Times New Roman" w:hAnsi="Times New Roman" w:cs="Times New Roman" w:eastAsia="Times New Roman"/>
          <w:color w:val="auto"/>
          <w:spacing w:val="-3"/>
          <w:position w:val="0"/>
          <w:sz w:val="24"/>
          <w:shd w:fill="auto" w:val="clear"/>
        </w:rPr>
        <w:t xml:space="preserve">do </w:t>
      </w:r>
      <w:r>
        <w:rPr>
          <w:rFonts w:ascii="Times New Roman" w:hAnsi="Times New Roman" w:cs="Times New Roman" w:eastAsia="Times New Roman"/>
          <w:color w:val="auto"/>
          <w:spacing w:val="0"/>
          <w:position w:val="0"/>
          <w:sz w:val="24"/>
          <w:shd w:fill="auto" w:val="clear"/>
        </w:rPr>
        <w:t xml:space="preserve">IBGE confirma que as mulheres ainda continuam sendo a maioria </w:t>
      </w:r>
      <w:r>
        <w:rPr>
          <w:rFonts w:ascii="Times New Roman" w:hAnsi="Times New Roman" w:cs="Times New Roman" w:eastAsia="Times New Roman"/>
          <w:color w:val="auto"/>
          <w:spacing w:val="-3"/>
          <w:position w:val="0"/>
          <w:sz w:val="24"/>
          <w:shd w:fill="auto" w:val="clear"/>
        </w:rPr>
        <w:t xml:space="preserve">no Brasil, </w:t>
      </w:r>
      <w:r>
        <w:rPr>
          <w:rFonts w:ascii="Times New Roman" w:hAnsi="Times New Roman" w:cs="Times New Roman" w:eastAsia="Times New Roman"/>
          <w:color w:val="auto"/>
          <w:spacing w:val="0"/>
          <w:position w:val="0"/>
          <w:sz w:val="24"/>
          <w:shd w:fill="auto" w:val="clear"/>
        </w:rPr>
        <w:t xml:space="preserve">e a projeção para 2050 é que tal tendência continuará</w:t>
      </w:r>
      <w:r>
        <w:rPr>
          <w:rFonts w:ascii="Times New Roman" w:hAnsi="Times New Roman" w:cs="Times New Roman" w:eastAsia="Times New Roman"/>
          <w:color w:val="C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 cabe evidenciar que o último censo demográfico do Brasil realizado pelo IBGE aconteceu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ano de 2000 e revelou que o país esta cada vez mais feminino, ou </w:t>
      </w:r>
      <w:r>
        <w:rPr>
          <w:rFonts w:ascii="Times New Roman" w:hAnsi="Times New Roman" w:cs="Times New Roman" w:eastAsia="Times New Roman"/>
          <w:color w:val="auto"/>
          <w:spacing w:val="-3"/>
          <w:position w:val="0"/>
          <w:sz w:val="24"/>
          <w:shd w:fill="auto" w:val="clear"/>
        </w:rPr>
        <w:t xml:space="preserve">seja, </w:t>
      </w:r>
      <w:r>
        <w:rPr>
          <w:rFonts w:ascii="Times New Roman" w:hAnsi="Times New Roman" w:cs="Times New Roman" w:eastAsia="Times New Roman"/>
          <w:color w:val="auto"/>
          <w:spacing w:val="0"/>
          <w:position w:val="0"/>
          <w:sz w:val="24"/>
          <w:shd w:fill="auto" w:val="clear"/>
        </w:rPr>
        <w:t xml:space="preserve">os números da pesquisa comprovam que são 2.647.140 de mulheres a mais que homens e transformando </w:t>
      </w:r>
      <w:r>
        <w:rPr>
          <w:rFonts w:ascii="Times New Roman" w:hAnsi="Times New Roman" w:cs="Times New Roman" w:eastAsia="Times New Roman"/>
          <w:color w:val="auto"/>
          <w:spacing w:val="4"/>
          <w:position w:val="0"/>
          <w:sz w:val="24"/>
          <w:shd w:fill="auto" w:val="clear"/>
        </w:rPr>
        <w:t xml:space="preserve">em </w:t>
      </w:r>
      <w:r>
        <w:rPr>
          <w:rFonts w:ascii="Times New Roman" w:hAnsi="Times New Roman" w:cs="Times New Roman" w:eastAsia="Times New Roman"/>
          <w:color w:val="auto"/>
          <w:spacing w:val="0"/>
          <w:position w:val="0"/>
          <w:sz w:val="24"/>
          <w:shd w:fill="auto" w:val="clear"/>
        </w:rPr>
        <w:t xml:space="preserve">estatísticas temos para cada 100 mulheres 96,9</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homens.</w:t>
      </w:r>
    </w:p>
    <w:p>
      <w:pPr>
        <w:spacing w:before="4" w:after="0" w:line="360"/>
        <w:ind w:right="114"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estado de </w:t>
      </w:r>
      <w:hyperlink xmlns:r="http://schemas.openxmlformats.org/officeDocument/2006/relationships" r:id="docRId137">
        <w:r>
          <w:rPr>
            <w:rFonts w:ascii="Times New Roman" w:hAnsi="Times New Roman" w:cs="Times New Roman" w:eastAsia="Times New Roman"/>
            <w:color w:val="0000FF"/>
            <w:spacing w:val="0"/>
            <w:position w:val="0"/>
            <w:sz w:val="24"/>
            <w:u w:val="single"/>
            <w:shd w:fill="auto" w:val="clear"/>
          </w:rPr>
          <w:t xml:space="preserve">estado de Santa Catarina</w:t>
        </w:r>
      </w:hyperlink>
      <w:r>
        <w:rPr>
          <w:rFonts w:ascii="Times New Roman" w:hAnsi="Times New Roman" w:cs="Times New Roman" w:eastAsia="Times New Roman"/>
          <w:color w:val="auto"/>
          <w:spacing w:val="0"/>
          <w:position w:val="0"/>
          <w:sz w:val="24"/>
          <w:shd w:fill="auto" w:val="clear"/>
        </w:rPr>
        <w:t xml:space="preserve"> o censo realizado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ano  de 2000  apontou que a população é composta por 5. 356 .360 habitantes deste total, 2 687 049 habitantes são mulheres e 2.669.311 habitantes são homens. Percebemos através dos números que a diferença entre o número de homens e mulheres é pequena, se  comparada </w:t>
      </w:r>
      <w:r>
        <w:rPr>
          <w:rFonts w:ascii="Times New Roman" w:hAnsi="Times New Roman" w:cs="Times New Roman" w:eastAsia="Times New Roman"/>
          <w:color w:val="auto"/>
          <w:spacing w:val="2"/>
          <w:position w:val="0"/>
          <w:sz w:val="24"/>
          <w:shd w:fill="auto" w:val="clear"/>
        </w:rPr>
        <w:t xml:space="preserve">com </w:t>
      </w:r>
      <w:r>
        <w:rPr>
          <w:rFonts w:ascii="Times New Roman" w:hAnsi="Times New Roman" w:cs="Times New Roman" w:eastAsia="Times New Roman"/>
          <w:color w:val="auto"/>
          <w:spacing w:val="0"/>
          <w:position w:val="0"/>
          <w:sz w:val="24"/>
          <w:shd w:fill="auto" w:val="clear"/>
        </w:rPr>
        <w:t xml:space="preserve">a diferença em âmbito nacional </w:t>
      </w:r>
      <w:r>
        <w:rPr>
          <w:rFonts w:ascii="Times New Roman" w:hAnsi="Times New Roman" w:cs="Times New Roman" w:eastAsia="Times New Roman"/>
          <w:color w:val="auto"/>
          <w:spacing w:val="-3"/>
          <w:position w:val="0"/>
          <w:sz w:val="24"/>
          <w:shd w:fill="auto" w:val="clear"/>
        </w:rPr>
        <w:t xml:space="preserve">já </w:t>
      </w:r>
      <w:r>
        <w:rPr>
          <w:rFonts w:ascii="Times New Roman" w:hAnsi="Times New Roman" w:cs="Times New Roman" w:eastAsia="Times New Roman"/>
          <w:color w:val="auto"/>
          <w:spacing w:val="0"/>
          <w:position w:val="0"/>
          <w:sz w:val="24"/>
          <w:shd w:fill="auto" w:val="clear"/>
        </w:rPr>
        <w:t xml:space="preserve">citada, </w:t>
      </w:r>
      <w:r>
        <w:rPr>
          <w:rFonts w:ascii="Times New Roman" w:hAnsi="Times New Roman" w:cs="Times New Roman" w:eastAsia="Times New Roman"/>
          <w:color w:val="auto"/>
          <w:spacing w:val="-3"/>
          <w:position w:val="0"/>
          <w:sz w:val="24"/>
          <w:shd w:fill="auto" w:val="clear"/>
        </w:rPr>
        <w:t xml:space="preserve">mas mesmo </w:t>
      </w:r>
      <w:r>
        <w:rPr>
          <w:rFonts w:ascii="Times New Roman" w:hAnsi="Times New Roman" w:cs="Times New Roman" w:eastAsia="Times New Roman"/>
          <w:color w:val="auto"/>
          <w:spacing w:val="0"/>
          <w:position w:val="0"/>
          <w:sz w:val="24"/>
          <w:shd w:fill="auto" w:val="clear"/>
        </w:rPr>
        <w:t xml:space="preserve">a diferença sendo pequena, cabe ressaltar que a maioria da população é </w:t>
      </w:r>
      <w:r>
        <w:rPr>
          <w:rFonts w:ascii="Times New Roman" w:hAnsi="Times New Roman" w:cs="Times New Roman" w:eastAsia="Times New Roman"/>
          <w:color w:val="auto"/>
          <w:spacing w:val="-3"/>
          <w:position w:val="0"/>
          <w:sz w:val="24"/>
          <w:shd w:fill="auto" w:val="clear"/>
        </w:rPr>
        <w:t xml:space="preserve">do </w:t>
      </w:r>
      <w:r>
        <w:rPr>
          <w:rFonts w:ascii="Times New Roman" w:hAnsi="Times New Roman" w:cs="Times New Roman" w:eastAsia="Times New Roman"/>
          <w:color w:val="auto"/>
          <w:spacing w:val="0"/>
          <w:position w:val="0"/>
          <w:sz w:val="24"/>
          <w:shd w:fill="auto" w:val="clear"/>
        </w:rPr>
        <w:t xml:space="preserve">gênero</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feminino.</w:t>
      </w:r>
    </w:p>
    <w:p>
      <w:pPr>
        <w:spacing w:before="4" w:after="0" w:line="352"/>
        <w:ind w:right="109" w:left="119" w:firstLine="71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Através dos diversos dados do IBGE, percebemos o quanto as desigualdades de gênero estão presentes na vida de homens e mulheres, sujeitos, cidadãos brasileiros. Os dados do IBGE expressam tais desigualdades enfrentadas por segmentos populacionais, neste caso, pelas mulheres que vivenciam diariamente a não efetivação e o não reconhecimento  de seus direitos,  direitos que constituem a cidadania</w:t>
      </w:r>
      <w:r>
        <w:rPr>
          <w:rFonts w:ascii="Times New Roman" w:hAnsi="Times New Roman" w:cs="Times New Roman" w:eastAsia="Times New Roman"/>
          <w:color w:val="auto"/>
          <w:spacing w:val="0"/>
          <w:position w:val="11"/>
          <w:sz w:val="16"/>
          <w:shd w:fill="auto" w:val="clear"/>
        </w:rPr>
        <w:t xml:space="preserve">4  </w:t>
      </w:r>
      <w:r>
        <w:rPr>
          <w:rFonts w:ascii="Times New Roman" w:hAnsi="Times New Roman" w:cs="Times New Roman" w:eastAsia="Times New Roman"/>
          <w:color w:val="auto"/>
          <w:spacing w:val="0"/>
          <w:position w:val="11"/>
          <w:sz w:val="24"/>
          <w:shd w:fill="auto" w:val="clear"/>
        </w:rPr>
        <w:t xml:space="preserve">e que estão    em</w:t>
      </w:r>
    </w:p>
    <w:p>
      <w:pPr>
        <w:spacing w:before="0" w:after="0" w:line="360"/>
        <w:ind w:right="114"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consonância com a ordem democrática vigente. E isso acontece porque a construção de uma sociedade justa, igualitária, com vistas à cidadania de homens e mulheres passa, obrigatoriamente, pelo reconhecimento das diferenças e das diversidades, bem como pela rejeição de mecanismos discriminatórios em qualquer âmbito ou nível, mas    como</w:t>
      </w:r>
    </w:p>
    <w:p>
      <w:pPr>
        <w:spacing w:before="9"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8"/>
          <w:shd w:fill="auto" w:val="clear"/>
        </w:rPr>
      </w:pPr>
    </w:p>
    <w:p>
      <w:pPr>
        <w:spacing w:before="84" w:after="0" w:line="240"/>
        <w:ind w:right="117" w:left="119" w:firstLine="0"/>
        <w:jc w:val="both"/>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4 </w:t>
      </w:r>
      <w:r>
        <w:rPr>
          <w:rFonts w:ascii="Times New Roman" w:hAnsi="Times New Roman" w:cs="Times New Roman" w:eastAsia="Times New Roman"/>
          <w:color w:val="auto"/>
          <w:spacing w:val="0"/>
          <w:position w:val="9"/>
          <w:sz w:val="20"/>
          <w:shd w:fill="auto" w:val="clear"/>
        </w:rPr>
        <w:t xml:space="preserve">Segundo Marshall (1967), a cidadania desdobra-se em direitos civis, políticos e sociais Sendo que os direitos civis são os direitos fundamentais à vida, à liberdade, à propriedade, à igualdade perante a lei; os direitos políticos são aqueles referentes às possibilidades de participação no exercício do poder político, como por exemplo, o direito de votar e de ser votado. E por fim, temos os direitos sociais, que são aqueles que garantem a participação de todos os cidadãos na riqueza obtida coletivamente.</w:t>
      </w:r>
    </w:p>
    <w:p>
      <w:pPr>
        <w:spacing w:before="1" w:after="0" w:line="240"/>
        <w:ind w:right="0" w:left="119"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0" w:after="0" w:line="360"/>
        <w:ind w:right="124" w:left="119"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nem sempre acontece, certas práticas discriminatórias, e uma relação de opressão e dominação vão sendo perpetuadas e reproduzidas.</w:t>
      </w:r>
    </w:p>
    <w:p>
      <w:pPr>
        <w:spacing w:before="8" w:after="0" w:line="360"/>
        <w:ind w:right="115"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Partindo da premissa de que as diferenças de gênero são construções sociais, são complexas relações entre homens e mulheres, imbricadas de diferenças construídas ao longo do tempo e arraigadas em nossa sociedade. E que requerem uma compensação, a qual pode ser realizada através das políticas de equidade de gênero, das políticas de igualdade de gênero, e/ou por políticas públicas para mulheres, torna-se necessário relacionarmos a categoria gênero com equidade, e igualdade.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311" w:left="119"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Gênero: equidade e igualdade.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1" w:after="0" w:line="360"/>
        <w:ind w:right="118"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os dados apresentados acima, percebemos que a história das mulheres configura-se como uma história marcada por desigualdades e pela negação de seus direitos. E na tentativa de modificar essa realidade de opressões vivenciadas pelo gênero feminino, diversos movimentos vêm publicizando, e discutindo à incorporação de políticas de equidade de gênero. E nesse sentido discorrem as autoras Bruschini, Lombardi e Unbehaum (2005):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4" w:after="0" w:line="240"/>
        <w:ind w:right="117"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processo de incorporação da questão de gênero nas políticas públicas é relativamente recente e está relacionado às demandas apresentadas pelos movimentos organizados de mulheres e pelos organismos internacionais, com destaque para as Conferências Mundiais das Mulheres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48"/>
        <w:ind w:right="120" w:left="119" w:firstLine="71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Cabe colocar que as principais Conferências e acordos internacionais sobre direitos humanos e a situação das mulheres no mundo</w:t>
      </w:r>
      <w:r>
        <w:rPr>
          <w:rFonts w:ascii="Times New Roman" w:hAnsi="Times New Roman" w:cs="Times New Roman" w:eastAsia="Times New Roman"/>
          <w:color w:val="auto"/>
          <w:spacing w:val="0"/>
          <w:position w:val="11"/>
          <w:sz w:val="16"/>
          <w:shd w:fill="auto" w:val="clear"/>
        </w:rPr>
        <w:t xml:space="preserve">5 </w:t>
      </w:r>
      <w:r>
        <w:rPr>
          <w:rFonts w:ascii="Times New Roman" w:hAnsi="Times New Roman" w:cs="Times New Roman" w:eastAsia="Times New Roman"/>
          <w:color w:val="auto"/>
          <w:spacing w:val="0"/>
          <w:position w:val="11"/>
          <w:sz w:val="24"/>
          <w:shd w:fill="auto" w:val="clear"/>
        </w:rPr>
        <w:t xml:space="preserve">tem evidenciado que para melhorar a condição de vida das mulheres é imprescindível que exista equidade de gênero,  ou seja,  que  as  mulheres possam ter  as  mesmas oportunidades de  acesso aos</w:t>
      </w:r>
    </w:p>
    <w:p>
      <w:pPr>
        <w:spacing w:before="22" w:after="0" w:line="240"/>
        <w:ind w:right="311" w:left="119"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direitos sociais, econômicos, e políticos. E para Lagarde (1996, p. 209):</w:t>
      </w:r>
    </w:p>
    <w:p>
      <w:pPr>
        <w:spacing w:before="9" w:after="0" w:line="240"/>
        <w:ind w:right="0" w:left="0" w:firstLine="0"/>
        <w:jc w:val="left"/>
        <w:rPr>
          <w:rFonts w:ascii="Times New Roman" w:hAnsi="Times New Roman" w:cs="Times New Roman" w:eastAsia="Times New Roman"/>
          <w:color w:val="auto"/>
          <w:spacing w:val="0"/>
          <w:position w:val="0"/>
          <w:sz w:val="31"/>
          <w:shd w:fill="auto" w:val="clear"/>
        </w:rPr>
      </w:pPr>
    </w:p>
    <w:p>
      <w:pPr>
        <w:spacing w:before="0" w:after="0" w:line="240"/>
        <w:ind w:right="120" w:left="238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Equidade de gênero é o conjunto de processos de ajuste genérico composto pelas ações que reparam as lesões que a desigualdade produziu em relação às mulheres na relação dominio-cativeiro. A mais sintetizadora destas lesões é não ser sujeito político.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8"/>
          <w:shd w:fill="auto" w:val="clear"/>
        </w:rPr>
      </w:pPr>
    </w:p>
    <w:p>
      <w:pPr>
        <w:spacing w:before="84" w:after="0" w:line="240"/>
        <w:ind w:right="115" w:left="119" w:firstLine="0"/>
        <w:jc w:val="both"/>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2</w:t>
      </w:r>
      <w:r>
        <w:rPr>
          <w:rFonts w:ascii="Times New Roman" w:hAnsi="Times New Roman" w:cs="Times New Roman" w:eastAsia="Times New Roman"/>
          <w:color w:val="auto"/>
          <w:spacing w:val="0"/>
          <w:position w:val="9"/>
          <w:sz w:val="20"/>
          <w:shd w:fill="auto" w:val="clear"/>
        </w:rPr>
        <w:t xml:space="preserve">Conferências relativa aos Direitos Humanos das Mulheres: a Convenção para Eliminação de todas as formas discriminação contra a mulher – CEDAW (1979), a Conferencia Internacional sobre Mulher em Nairobi (1985), a Conferencia de Beijing (1995) e  de Beijing + 5 (2000).</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13"/>
          <w:shd w:fill="auto" w:val="clear"/>
        </w:rPr>
      </w:pPr>
    </w:p>
    <w:p>
      <w:pPr>
        <w:spacing w:before="69" w:after="0" w:line="360"/>
        <w:ind w:right="112"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esse fato de não serem sujeitos políticos esteve </w:t>
      </w:r>
      <w:r>
        <w:rPr>
          <w:rFonts w:ascii="Times New Roman" w:hAnsi="Times New Roman" w:cs="Times New Roman" w:eastAsia="Times New Roman"/>
          <w:color w:val="auto"/>
          <w:spacing w:val="-3"/>
          <w:position w:val="0"/>
          <w:sz w:val="24"/>
          <w:shd w:fill="auto" w:val="clear"/>
        </w:rPr>
        <w:t xml:space="preserve">muito </w:t>
      </w:r>
      <w:r>
        <w:rPr>
          <w:rFonts w:ascii="Times New Roman" w:hAnsi="Times New Roman" w:cs="Times New Roman" w:eastAsia="Times New Roman"/>
          <w:color w:val="auto"/>
          <w:spacing w:val="0"/>
          <w:position w:val="0"/>
          <w:sz w:val="24"/>
          <w:shd w:fill="auto" w:val="clear"/>
        </w:rPr>
        <w:t xml:space="preserve">presente na vida das mulheres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Brasil, e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mundo.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Brasil as mulheres conquistaram o direito </w:t>
      </w:r>
      <w:r>
        <w:rPr>
          <w:rFonts w:ascii="Times New Roman" w:hAnsi="Times New Roman" w:cs="Times New Roman" w:eastAsia="Times New Roman"/>
          <w:color w:val="auto"/>
          <w:spacing w:val="-3"/>
          <w:position w:val="0"/>
          <w:sz w:val="24"/>
          <w:shd w:fill="auto" w:val="clear"/>
        </w:rPr>
        <w:t xml:space="preserve">ao </w:t>
      </w:r>
      <w:r>
        <w:rPr>
          <w:rFonts w:ascii="Times New Roman" w:hAnsi="Times New Roman" w:cs="Times New Roman" w:eastAsia="Times New Roman"/>
          <w:color w:val="auto"/>
          <w:spacing w:val="0"/>
          <w:position w:val="0"/>
          <w:sz w:val="24"/>
          <w:shd w:fill="auto" w:val="clear"/>
        </w:rPr>
        <w:t xml:space="preserve">voto e o direito de serem votadas somente a partir da Constituição Federal de 1934. E a </w:t>
      </w:r>
      <w:r>
        <w:rPr>
          <w:rFonts w:ascii="Times New Roman" w:hAnsi="Times New Roman" w:cs="Times New Roman" w:eastAsia="Times New Roman"/>
          <w:color w:val="auto"/>
          <w:spacing w:val="3"/>
          <w:position w:val="0"/>
          <w:sz w:val="24"/>
          <w:shd w:fill="auto" w:val="clear"/>
        </w:rPr>
        <w:t xml:space="preserve">luta</w:t>
      </w:r>
      <w:r>
        <w:rPr>
          <w:rFonts w:ascii="Times New Roman" w:hAnsi="Times New Roman" w:cs="Times New Roman" w:eastAsia="Times New Roman"/>
          <w:color w:val="auto"/>
          <w:spacing w:val="6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 esse direito ficou conhecida como o sufrágio universal e iniciou em 1910 </w:t>
      </w:r>
      <w:r>
        <w:rPr>
          <w:rFonts w:ascii="Times New Roman" w:hAnsi="Times New Roman" w:cs="Times New Roman" w:eastAsia="Times New Roman"/>
          <w:color w:val="auto"/>
          <w:spacing w:val="2"/>
          <w:position w:val="0"/>
          <w:sz w:val="24"/>
          <w:shd w:fill="auto" w:val="clear"/>
        </w:rPr>
        <w:t xml:space="preserve">com </w:t>
      </w:r>
      <w:r>
        <w:rPr>
          <w:rFonts w:ascii="Times New Roman" w:hAnsi="Times New Roman" w:cs="Times New Roman" w:eastAsia="Times New Roman"/>
          <w:color w:val="auto"/>
          <w:spacing w:val="0"/>
          <w:position w:val="0"/>
          <w:sz w:val="24"/>
          <w:shd w:fill="auto" w:val="clear"/>
        </w:rPr>
        <w:t xml:space="preserve">a fundação do Partido Republicano Feminino,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4"/>
          <w:position w:val="0"/>
          <w:sz w:val="24"/>
          <w:shd w:fill="auto" w:val="clear"/>
        </w:rPr>
        <w:t xml:space="preserve">Rio </w:t>
      </w:r>
      <w:r>
        <w:rPr>
          <w:rFonts w:ascii="Times New Roman" w:hAnsi="Times New Roman" w:cs="Times New Roman" w:eastAsia="Times New Roman"/>
          <w:color w:val="auto"/>
          <w:spacing w:val="0"/>
          <w:position w:val="0"/>
          <w:sz w:val="24"/>
          <w:shd w:fill="auto" w:val="clear"/>
        </w:rPr>
        <w:t xml:space="preserve">de Janeiro, por Deolinda Daltro, e com a criação da Liga pela Emancipação Intelectual da Mulher, por Bertha Lutz, transformada em Federação Brasileira pelo Progresso Feminino, em 1922. Uma história marcada por um movimento de luta. Um luta por direitos, por igualdade, por equidade entre homens e</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p>
    <w:p>
      <w:pPr>
        <w:spacing w:before="8" w:after="0" w:line="240"/>
        <w:ind w:right="311" w:left="83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 forma Lisboa (2005), destaca: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118" w:left="238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A equidade de gênero é um processo de ser justo com as mulheres e os homens a fim de garantir essa imparcialidade, precisamos, freqüentemente adotar medidas para compensar as desvantagens históricas e sociais que impedem as mulheres e os homens de desfrutarem de oportunidades iguais. A equidade leva a igualdade</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39" w:after="0" w:line="360"/>
        <w:ind w:right="111"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segundo Lisboa (2005), a igualdade de gênero é, portanto, a valorização igualitária pela sociedade das semelhanças e diferenças entre mulheres e homens, bem como dos papéis diversos que desempenham. Desta forma, precisamos então pensar em ações, pensarmos na efetivação de direitos em prol de uma valorização igualitária, respeitando as diferenças e as semelhanças existentes entre homens e mulheres, bem como a cultura e as crenças desses indivíduos.</w:t>
      </w:r>
    </w:p>
    <w:p>
      <w:pPr>
        <w:spacing w:before="4" w:after="0" w:line="360"/>
        <w:ind w:right="116"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color w:val="auto"/>
          <w:spacing w:val="-3"/>
          <w:position w:val="0"/>
          <w:sz w:val="24"/>
          <w:shd w:fill="auto" w:val="clear"/>
        </w:rPr>
        <w:t xml:space="preserve">mesmo </w:t>
      </w:r>
      <w:r>
        <w:rPr>
          <w:rFonts w:ascii="Times New Roman" w:hAnsi="Times New Roman" w:cs="Times New Roman" w:eastAsia="Times New Roman"/>
          <w:color w:val="auto"/>
          <w:spacing w:val="0"/>
          <w:position w:val="0"/>
          <w:sz w:val="24"/>
          <w:shd w:fill="auto" w:val="clear"/>
        </w:rPr>
        <w:t xml:space="preserve">havendo alguns avanços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legislação brasileira referente aos direitos das mulheres ainda precisamos avançar </w:t>
      </w:r>
      <w:r>
        <w:rPr>
          <w:rFonts w:ascii="Times New Roman" w:hAnsi="Times New Roman" w:cs="Times New Roman" w:eastAsia="Times New Roman"/>
          <w:color w:val="auto"/>
          <w:spacing w:val="-3"/>
          <w:position w:val="0"/>
          <w:sz w:val="24"/>
          <w:shd w:fill="auto" w:val="clear"/>
        </w:rPr>
        <w:t xml:space="preserve">muito </w:t>
      </w:r>
      <w:r>
        <w:rPr>
          <w:rFonts w:ascii="Times New Roman" w:hAnsi="Times New Roman" w:cs="Times New Roman" w:eastAsia="Times New Roman"/>
          <w:color w:val="auto"/>
          <w:spacing w:val="0"/>
          <w:position w:val="0"/>
          <w:sz w:val="24"/>
          <w:shd w:fill="auto" w:val="clear"/>
        </w:rPr>
        <w:t xml:space="preserve">em diversas questões, </w:t>
      </w:r>
      <w:r>
        <w:rPr>
          <w:rFonts w:ascii="Times New Roman" w:hAnsi="Times New Roman" w:cs="Times New Roman" w:eastAsia="Times New Roman"/>
          <w:color w:val="auto"/>
          <w:spacing w:val="-3"/>
          <w:position w:val="0"/>
          <w:sz w:val="24"/>
          <w:shd w:fill="auto" w:val="clear"/>
        </w:rPr>
        <w:t xml:space="preserve">pois </w:t>
      </w: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mulher </w:t>
      </w:r>
      <w:r>
        <w:rPr>
          <w:rFonts w:ascii="Times New Roman" w:hAnsi="Times New Roman" w:cs="Times New Roman" w:eastAsia="Times New Roman"/>
          <w:color w:val="auto"/>
          <w:spacing w:val="0"/>
          <w:position w:val="0"/>
          <w:sz w:val="24"/>
          <w:shd w:fill="auto" w:val="clear"/>
        </w:rPr>
        <w:t xml:space="preserve">ainda continua tendo desvantagens em relação ao homem principalmente na esfera produtiva, </w:t>
      </w:r>
      <w:r>
        <w:rPr>
          <w:rFonts w:ascii="Times New Roman" w:hAnsi="Times New Roman" w:cs="Times New Roman" w:eastAsia="Times New Roman"/>
          <w:color w:val="auto"/>
          <w:spacing w:val="-3"/>
          <w:position w:val="0"/>
          <w:sz w:val="24"/>
          <w:shd w:fill="auto" w:val="clear"/>
        </w:rPr>
        <w:t xml:space="preserve">no mundo </w:t>
      </w:r>
      <w:r>
        <w:rPr>
          <w:rFonts w:ascii="Times New Roman" w:hAnsi="Times New Roman" w:cs="Times New Roman" w:eastAsia="Times New Roman"/>
          <w:color w:val="auto"/>
          <w:spacing w:val="0"/>
          <w:position w:val="0"/>
          <w:sz w:val="24"/>
          <w:shd w:fill="auto" w:val="clear"/>
        </w:rPr>
        <w:t xml:space="preserve">do trabalho. As oportunidades de inserção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mercado de trabalho ocorrem  de maneira desigual para homens e mulheres, e </w:t>
      </w:r>
      <w:r>
        <w:rPr>
          <w:rFonts w:ascii="Times New Roman" w:hAnsi="Times New Roman" w:cs="Times New Roman" w:eastAsia="Times New Roman"/>
          <w:color w:val="auto"/>
          <w:spacing w:val="-3"/>
          <w:position w:val="0"/>
          <w:sz w:val="24"/>
          <w:shd w:fill="auto" w:val="clear"/>
        </w:rPr>
        <w:t xml:space="preserve">ainda </w:t>
      </w:r>
      <w:r>
        <w:rPr>
          <w:rFonts w:ascii="Times New Roman" w:hAnsi="Times New Roman" w:cs="Times New Roman" w:eastAsia="Times New Roman"/>
          <w:color w:val="auto"/>
          <w:spacing w:val="0"/>
          <w:position w:val="0"/>
          <w:sz w:val="24"/>
          <w:shd w:fill="auto" w:val="clear"/>
        </w:rPr>
        <w:t xml:space="preserve">se tornam evidentes as desigualdades salariais entre homens e mulheres que ocupam as mesmas</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funções.</w:t>
      </w:r>
    </w:p>
    <w:p>
      <w:pPr>
        <w:spacing w:before="4" w:after="0" w:line="360"/>
        <w:ind w:right="112"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esse quadro se torna justificável adotarmos medidas que compensem essas desigualdades históricas que impedem a igualdade de direitos. A igualdade de gênero para Bandeira (2005, p. 6) requer rompermos com um universo restrito do não reconhecimento da alteridade, do outro, da diferença, para caminharmos na direção da eqüidade, da emancipação e do pertencimento.</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50" w:after="0" w:line="360"/>
        <w:ind w:right="126" w:left="119" w:firstLine="65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Carta das Nações Unidas de 1945, e a Declaração Universal de Direitos Humanos de 1948, representam os primeiros documentos de proteção internacional dos direitos humanos e afirmaram como direitos fundamentais do homem, a dignidade e o valor da pessoa humana, e a igualdade de direitos entre homens e mulheres. Apresentaram, de forma explícita a ideia de que homens e mulheres devem ter tratamento igualitário na sociedade.</w:t>
      </w:r>
    </w:p>
    <w:p>
      <w:pPr>
        <w:spacing w:before="8" w:after="0" w:line="360"/>
        <w:ind w:right="110" w:left="119" w:firstLine="65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 ressaltar que embora constitucionalizado o direito a igualdade muitas vezes não se materializa na prática cotidiana, no Brasil o direito a igualdade também esta previsto no 5º artigo da Constituição Federal Brasileira desde 1988, e tal artigo descreve que: “Todos são iguais perante a lei, sem distinção de qualquer natureza, garantindo-se aos brasileiros e aos estrangeiros residentes no País a inviolabilidade do direito à vida, à igualdade, a segurança e a propriedade,” (...). E ao relacionarmos esse artigo com diversas práticas cotidianas, é possível percebermos nitidamente o quanto a igualdade entre homens e mulheres ainda precisa ser difundida e colocada em prática.</w:t>
      </w:r>
    </w:p>
    <w:p>
      <w:pPr>
        <w:spacing w:before="8" w:after="0" w:line="360"/>
        <w:ind w:right="118"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esta igualdade prevista na Constituição pode ser posta em prática, através de políticas igualdade, políticas de equidade de gênero, políticas públicas de gênero, enfim políticas que adotem a perspectiva de gênero.</w:t>
      </w:r>
    </w:p>
    <w:p>
      <w:pPr>
        <w:spacing w:before="4" w:after="0" w:line="360"/>
        <w:ind w:right="107" w:left="119" w:firstLine="7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para Godinho (2000), o Estado tem um papel fundamental na organização econômica da sociedade embasada em perspectivas de classe, e de gênero. A autora defende a existência de políticas específicas com a perspectiva de alterarmos condições estruturais de subordinação das mulheres, sendo que essa questão não deve ser confundida com uma particularização das políticas, como se  estas  estivessem deslocadas de uma visão global de mudança das relações na sociedade.</w:t>
      </w:r>
    </w:p>
    <w:p>
      <w:pPr>
        <w:spacing w:before="4" w:after="0" w:line="360"/>
        <w:ind w:right="110"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se trata de esquecer o global, mas sim de enfatizarmos, e destacarmos </w:t>
      </w:r>
      <w:r>
        <w:rPr>
          <w:rFonts w:ascii="Times New Roman" w:hAnsi="Times New Roman" w:cs="Times New Roman" w:eastAsia="Times New Roman"/>
          <w:color w:val="auto"/>
          <w:spacing w:val="4"/>
          <w:position w:val="0"/>
          <w:sz w:val="24"/>
          <w:shd w:fill="auto" w:val="clear"/>
        </w:rPr>
        <w:t xml:space="preserve">um </w:t>
      </w:r>
      <w:r>
        <w:rPr>
          <w:rFonts w:ascii="Times New Roman" w:hAnsi="Times New Roman" w:cs="Times New Roman" w:eastAsia="Times New Roman"/>
          <w:color w:val="auto"/>
          <w:spacing w:val="0"/>
          <w:position w:val="0"/>
          <w:sz w:val="24"/>
          <w:shd w:fill="auto" w:val="clear"/>
        </w:rPr>
        <w:t xml:space="preserve">problema histórico, ou </w:t>
      </w:r>
      <w:r>
        <w:rPr>
          <w:rFonts w:ascii="Times New Roman" w:hAnsi="Times New Roman" w:cs="Times New Roman" w:eastAsia="Times New Roman"/>
          <w:color w:val="auto"/>
          <w:spacing w:val="-3"/>
          <w:position w:val="0"/>
          <w:sz w:val="24"/>
          <w:shd w:fill="auto" w:val="clear"/>
        </w:rPr>
        <w:t xml:space="preserve">seja, </w:t>
      </w:r>
      <w:r>
        <w:rPr>
          <w:rFonts w:ascii="Times New Roman" w:hAnsi="Times New Roman" w:cs="Times New Roman" w:eastAsia="Times New Roman"/>
          <w:color w:val="auto"/>
          <w:spacing w:val="0"/>
          <w:position w:val="0"/>
          <w:sz w:val="24"/>
          <w:shd w:fill="auto" w:val="clear"/>
        </w:rPr>
        <w:t xml:space="preserve">a desigualdade de homens e mulheres, as desigualdades de gênero. Sendo necessário darmos continuidade ao processo de luta iniciado pelas feministas, aproveitando o espaço democrático existente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Brasil. E para </w:t>
      </w:r>
      <w:r>
        <w:rPr>
          <w:rFonts w:ascii="Times New Roman" w:hAnsi="Times New Roman" w:cs="Times New Roman" w:eastAsia="Times New Roman"/>
          <w:color w:val="auto"/>
          <w:spacing w:val="-3"/>
          <w:position w:val="0"/>
          <w:sz w:val="24"/>
          <w:shd w:fill="auto" w:val="clear"/>
        </w:rPr>
        <w:t xml:space="preserve">isso </w:t>
      </w:r>
      <w:r>
        <w:rPr>
          <w:rFonts w:ascii="Times New Roman" w:hAnsi="Times New Roman" w:cs="Times New Roman" w:eastAsia="Times New Roman"/>
          <w:color w:val="auto"/>
          <w:spacing w:val="0"/>
          <w:position w:val="0"/>
          <w:sz w:val="24"/>
          <w:shd w:fill="auto" w:val="clear"/>
        </w:rPr>
        <w:t xml:space="preserve">precisamos de instituições que venham a difundir a categoria gênero, o que implicaria uma discussão sobre as relações socialmente construídas entre homens e mulheres,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tentativa de construirmos uma nova ordem societária, </w:t>
      </w:r>
      <w:r>
        <w:rPr>
          <w:rFonts w:ascii="Times New Roman" w:hAnsi="Times New Roman" w:cs="Times New Roman" w:eastAsia="Times New Roman"/>
          <w:color w:val="auto"/>
          <w:spacing w:val="2"/>
          <w:position w:val="0"/>
          <w:sz w:val="24"/>
          <w:shd w:fill="auto" w:val="clear"/>
        </w:rPr>
        <w:t xml:space="preserve">com </w:t>
      </w:r>
      <w:r>
        <w:rPr>
          <w:rFonts w:ascii="Times New Roman" w:hAnsi="Times New Roman" w:cs="Times New Roman" w:eastAsia="Times New Roman"/>
          <w:color w:val="auto"/>
          <w:spacing w:val="0"/>
          <w:position w:val="0"/>
          <w:sz w:val="24"/>
          <w:shd w:fill="auto" w:val="clear"/>
        </w:rPr>
        <w:t xml:space="preserve">ordenamentos jurídicos instituídos legalmente, em </w:t>
      </w:r>
      <w:r>
        <w:rPr>
          <w:rFonts w:ascii="Times New Roman" w:hAnsi="Times New Roman" w:cs="Times New Roman" w:eastAsia="Times New Roman"/>
          <w:color w:val="auto"/>
          <w:spacing w:val="2"/>
          <w:position w:val="0"/>
          <w:sz w:val="24"/>
          <w:shd w:fill="auto" w:val="clear"/>
        </w:rPr>
        <w:t xml:space="preserve">prol </w:t>
      </w:r>
      <w:r>
        <w:rPr>
          <w:rFonts w:ascii="Times New Roman" w:hAnsi="Times New Roman" w:cs="Times New Roman" w:eastAsia="Times New Roman"/>
          <w:color w:val="auto"/>
          <w:spacing w:val="0"/>
          <w:position w:val="0"/>
          <w:sz w:val="24"/>
          <w:shd w:fill="auto" w:val="clear"/>
        </w:rPr>
        <w:t xml:space="preserve">da efetivação dos direitos das mulheres, e da implementação de políticas de equidade de gênero.</w:t>
      </w:r>
    </w:p>
    <w:p>
      <w:pPr>
        <w:spacing w:before="4" w:after="0" w:line="360"/>
        <w:ind w:right="110" w:left="119" w:firstLine="710"/>
        <w:jc w:val="both"/>
        <w:rPr>
          <w:rFonts w:ascii="Times New Roman" w:hAnsi="Times New Roman" w:cs="Times New Roman" w:eastAsia="Times New Roman"/>
          <w:color w:val="auto"/>
          <w:spacing w:val="0"/>
          <w:position w:val="0"/>
          <w:sz w:val="24"/>
          <w:shd w:fill="auto" w:val="clear"/>
        </w:rPr>
      </w:pPr>
    </w:p>
    <w:p>
      <w:pPr>
        <w:spacing w:before="4" w:after="0" w:line="360"/>
        <w:ind w:right="110" w:left="119" w:firstLine="710"/>
        <w:jc w:val="both"/>
        <w:rPr>
          <w:rFonts w:ascii="Times New Roman" w:hAnsi="Times New Roman" w:cs="Times New Roman" w:eastAsia="Times New Roman"/>
          <w:color w:val="auto"/>
          <w:spacing w:val="0"/>
          <w:position w:val="0"/>
          <w:sz w:val="24"/>
          <w:shd w:fill="auto" w:val="clear"/>
        </w:rPr>
      </w:pPr>
    </w:p>
    <w:p>
      <w:pPr>
        <w:spacing w:before="4" w:after="0" w:line="360"/>
        <w:ind w:right="110" w:left="119" w:firstLine="710"/>
        <w:jc w:val="both"/>
        <w:rPr>
          <w:rFonts w:ascii="Times New Roman" w:hAnsi="Times New Roman" w:cs="Times New Roman" w:eastAsia="Times New Roman"/>
          <w:color w:val="auto"/>
          <w:spacing w:val="0"/>
          <w:position w:val="0"/>
          <w:sz w:val="24"/>
          <w:shd w:fill="auto" w:val="clear"/>
        </w:rPr>
      </w:pPr>
    </w:p>
    <w:p>
      <w:pPr>
        <w:spacing w:before="4" w:after="0" w:line="360"/>
        <w:ind w:right="110" w:left="119"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Com vistas à construção </w:t>
      </w:r>
      <w:r>
        <w:rPr>
          <w:rFonts w:ascii="Times New Roman" w:hAnsi="Times New Roman" w:cs="Times New Roman" w:eastAsia="Times New Roman"/>
          <w:color w:val="auto"/>
          <w:spacing w:val="-4"/>
          <w:position w:val="0"/>
          <w:sz w:val="24"/>
          <w:shd w:fill="auto" w:val="clear"/>
        </w:rPr>
        <w:t xml:space="preserve">uma </w:t>
      </w:r>
      <w:r>
        <w:rPr>
          <w:rFonts w:ascii="Times New Roman" w:hAnsi="Times New Roman" w:cs="Times New Roman" w:eastAsia="Times New Roman"/>
          <w:color w:val="auto"/>
          <w:spacing w:val="0"/>
          <w:position w:val="0"/>
          <w:sz w:val="24"/>
          <w:shd w:fill="auto" w:val="clear"/>
        </w:rPr>
        <w:t xml:space="preserve">nova ordem político-social, que amplie e apresente garantias para a equidade de gênero, com vistas ao</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respeito, e a efetivação</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 direitos de cidadania das mulheres,  bem </w:t>
      </w:r>
      <w:r>
        <w:rPr>
          <w:rFonts w:ascii="Times New Roman" w:hAnsi="Times New Roman" w:cs="Times New Roman" w:eastAsia="Times New Roman"/>
          <w:color w:val="auto"/>
          <w:spacing w:val="2"/>
          <w:position w:val="0"/>
          <w:sz w:val="24"/>
          <w:shd w:fill="auto" w:val="clear"/>
        </w:rPr>
        <w:t xml:space="preserve">com </w:t>
      </w:r>
      <w:r>
        <w:rPr>
          <w:rFonts w:ascii="Times New Roman" w:hAnsi="Times New Roman" w:cs="Times New Roman" w:eastAsia="Times New Roman"/>
          <w:color w:val="auto"/>
          <w:spacing w:val="0"/>
          <w:position w:val="0"/>
          <w:sz w:val="24"/>
          <w:shd w:fill="auto" w:val="clear"/>
        </w:rPr>
        <w:t xml:space="preserve">mecanismos de enfrentamento às discriminações e aos estereótipos impostos às mulheres brasileiras, e a todas as formas de desigualdades e preconceitos. Em prol de uma vida plena e harmônica entre homens e mulheres, sem opressão, e sem dominação em todas as esferas da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sociedade.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51"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Bibliográficas: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50" w:after="0" w:line="360"/>
        <w:ind w:right="119"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ABRAMO, Laís. Inserção das mulheres </w:t>
      </w:r>
      <w:r>
        <w:rPr>
          <w:rFonts w:ascii="Times New Roman" w:hAnsi="Times New Roman" w:cs="Times New Roman" w:eastAsia="Times New Roman"/>
          <w:color w:val="auto"/>
          <w:spacing w:val="-3"/>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mercado de trabalho </w:t>
      </w:r>
      <w:r>
        <w:rPr>
          <w:rFonts w:ascii="Times New Roman" w:hAnsi="Times New Roman" w:cs="Times New Roman" w:eastAsia="Times New Roman"/>
          <w:color w:val="auto"/>
          <w:spacing w:val="-3"/>
          <w:position w:val="0"/>
          <w:sz w:val="24"/>
          <w:shd w:fill="auto" w:val="clear"/>
        </w:rPr>
        <w:t xml:space="preserve">na </w:t>
      </w:r>
      <w:r>
        <w:rPr>
          <w:rFonts w:ascii="Times New Roman" w:hAnsi="Times New Roman" w:cs="Times New Roman" w:eastAsia="Times New Roman"/>
          <w:color w:val="auto"/>
          <w:spacing w:val="0"/>
          <w:position w:val="0"/>
          <w:sz w:val="24"/>
          <w:shd w:fill="auto" w:val="clear"/>
        </w:rPr>
        <w:t xml:space="preserve">America Latina:  uma força de trabalho secundária? In: Organização do trabalho e gênero / Helena Hirata, Liliana Segnini (organizadoras). São Paulo: Editora Senac, 2007 – Série Trabalho e Sociedade 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21-41.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0" w:after="0" w:line="360"/>
        <w:ind w:right="118"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BANDEIRA, Lourdes. Avançar na transversalidade da perspectiva de Gênero nas Políticas Públicas. Brasília: Secretaria Especial de Políticas para Mulheres, 2005. Disponível em: </w:t>
      </w:r>
      <w:hyperlink xmlns:r="http://schemas.openxmlformats.org/officeDocument/2006/relationships" r:id="docRId138">
        <w:r>
          <w:rPr>
            <w:rFonts w:ascii="Times New Roman" w:hAnsi="Times New Roman" w:cs="Times New Roman" w:eastAsia="Times New Roman"/>
            <w:color w:val="0000FF"/>
            <w:spacing w:val="0"/>
            <w:position w:val="0"/>
            <w:sz w:val="24"/>
            <w:u w:val="single"/>
            <w:shd w:fill="auto" w:val="clear"/>
          </w:rPr>
          <w:t xml:space="preserve">http://200.130.7.5/spmu/docs/integra_publ_lourdes_bandeira.pdf.</w:t>
        </w:r>
      </w:hyperlink>
      <w:r>
        <w:rPr>
          <w:rFonts w:ascii="Times New Roman" w:hAnsi="Times New Roman" w:cs="Times New Roman" w:eastAsia="Times New Roman"/>
          <w:color w:val="auto"/>
          <w:spacing w:val="0"/>
          <w:position w:val="0"/>
          <w:sz w:val="24"/>
          <w:shd w:fill="auto" w:val="clear"/>
        </w:rPr>
        <w:t xml:space="preserve"> Acesso: 11/07/2010.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5" w:after="0" w:line="360"/>
        <w:ind w:right="123"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Pierre. A dominação Masculina. Trad. Maria Helena Kühner. Rio de Janeiro 2º ed. Bertrand Brasil. 2002.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1" w:after="0" w:line="240"/>
        <w:ind w:right="0"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Constituição.  Constituição Federal Brasileira de 1988.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116"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BRUSCHINI, Cristina, LOMBARDI, Maria Rosa e UNBEHAUM, Sandra Trabalho, renda e políticas sociais: avanços e desafios. 2005. Disponível em; </w:t>
      </w:r>
      <w:hyperlink xmlns:r="http://schemas.openxmlformats.org/officeDocument/2006/relationships" r:id="docRId139">
        <w:r>
          <w:rPr>
            <w:rFonts w:ascii="Times New Roman" w:hAnsi="Times New Roman" w:cs="Times New Roman" w:eastAsia="Times New Roman"/>
            <w:color w:val="0000FF"/>
            <w:spacing w:val="0"/>
            <w:position w:val="0"/>
            <w:sz w:val="24"/>
            <w:u w:val="single"/>
            <w:shd w:fill="auto" w:val="clear"/>
          </w:rPr>
          <w:t xml:space="preserve">http://www.mulheresnobrasil.org.br/pdf/PMB_Cap3.pdf</w:t>
        </w:r>
        <w:r>
          <w:rPr>
            <w:rFonts w:ascii="Times New Roman" w:hAnsi="Times New Roman" w:cs="Times New Roman" w:eastAsia="Times New Roman"/>
            <w:vanish/>
            <w:color w:val="0000FF"/>
            <w:spacing w:val="0"/>
            <w:position w:val="0"/>
            <w:sz w:val="24"/>
            <w:u w:val="single"/>
            <w:shd w:fill="auto" w:val="clear"/>
          </w:rPr>
          <w:t xml:space="preserve">HYPERLINK "http://www.mulheresnobrasil.org.br/pdf/PMB_Cap3.pdf"</w:t>
        </w:r>
        <w:r>
          <w:rPr>
            <w:rFonts w:ascii="Times New Roman" w:hAnsi="Times New Roman" w:cs="Times New Roman" w:eastAsia="Times New Roman"/>
            <w:color w:val="0000FF"/>
            <w:spacing w:val="0"/>
            <w:position w:val="0"/>
            <w:sz w:val="24"/>
            <w:u w:val="single"/>
            <w:shd w:fill="auto" w:val="clear"/>
          </w:rPr>
          <w:t xml:space="preserve">.</w:t>
        </w:r>
      </w:hyperlink>
      <w:r>
        <w:rPr>
          <w:rFonts w:ascii="Times New Roman" w:hAnsi="Times New Roman" w:cs="Times New Roman" w:eastAsia="Times New Roman"/>
          <w:color w:val="auto"/>
          <w:spacing w:val="0"/>
          <w:position w:val="0"/>
          <w:sz w:val="24"/>
          <w:shd w:fill="auto" w:val="clear"/>
        </w:rPr>
        <w:t xml:space="preserve"> Acesso em 10/07/2010.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5" w:after="0" w:line="360"/>
        <w:ind w:right="112"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FARIA, Nalu.: NOBRE Miriam. O que é ser mulher? O que é ser homem? In: Gênero e desigualdade. São Paulo: SOF, 1997. 52 páginas, Coleção Cadernos Sempre Viva.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5" w:after="0" w:line="360"/>
        <w:ind w:right="128"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FERREIRA, Aurélio Buarque de Holanda. Miniaurélio; o dicionário da língua portuguesa- 6. Edição, revisada atual.  Curitiba: positivo, 2005.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1" w:after="0" w:line="362"/>
        <w:ind w:right="122"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GODINHO, Tatau; VINTEUIL, Fréderique; OLIVARES, Rosa. Marxismo e Feminismo. São Paulo: Editora Aparte, 1989 (Cadernos Democracia Socialista).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38" w:after="0" w:line="360"/>
        <w:ind w:right="118"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LISBOA, T. K.; MANFRINI, Daniele Beatriz. Cidadania e eqüidade de gênero:  políticas públicas para mulheres excluídas dos direitos mínimos. Revista Katalysis Florianópolis/SC, </w:t>
      </w:r>
      <w:r>
        <w:rPr>
          <w:rFonts w:ascii="Times New Roman" w:hAnsi="Times New Roman" w:cs="Times New Roman" w:eastAsia="Times New Roman"/>
          <w:color w:val="auto"/>
          <w:spacing w:val="-3"/>
          <w:position w:val="0"/>
          <w:sz w:val="24"/>
          <w:shd w:fill="auto" w:val="clear"/>
        </w:rPr>
        <w:t xml:space="preserve">v. </w:t>
      </w: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3"/>
          <w:position w:val="0"/>
          <w:sz w:val="24"/>
          <w:shd w:fill="auto" w:val="clear"/>
        </w:rPr>
        <w:t xml:space="preserve">n. 1, p. </w:t>
      </w:r>
      <w:r>
        <w:rPr>
          <w:rFonts w:ascii="Times New Roman" w:hAnsi="Times New Roman" w:cs="Times New Roman" w:eastAsia="Times New Roman"/>
          <w:color w:val="auto"/>
          <w:spacing w:val="0"/>
          <w:position w:val="0"/>
          <w:sz w:val="24"/>
          <w:shd w:fill="auto" w:val="clear"/>
        </w:rPr>
        <w:t xml:space="preserve">67-77,</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2005.</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320" w:leader="none"/>
        </w:tabs>
        <w:spacing w:before="191" w:after="0" w:line="360"/>
        <w:ind w:right="124" w:left="119"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Teresa Kleba. Um olhar por </w:t>
      </w:r>
      <w:r>
        <w:rPr>
          <w:rFonts w:ascii="Times New Roman" w:hAnsi="Times New Roman" w:cs="Times New Roman" w:eastAsia="Times New Roman"/>
          <w:color w:val="auto"/>
          <w:spacing w:val="-3"/>
          <w:position w:val="0"/>
          <w:sz w:val="24"/>
          <w:shd w:fill="auto" w:val="clear"/>
        </w:rPr>
        <w:t xml:space="preserve">baixo </w:t>
      </w:r>
      <w:r>
        <w:rPr>
          <w:rFonts w:ascii="Times New Roman" w:hAnsi="Times New Roman" w:cs="Times New Roman" w:eastAsia="Times New Roman"/>
          <w:color w:val="auto"/>
          <w:spacing w:val="0"/>
          <w:position w:val="0"/>
          <w:sz w:val="24"/>
          <w:shd w:fill="auto" w:val="clear"/>
        </w:rPr>
        <w:t xml:space="preserve">do tapete: mulheres</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terceirizadas.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Porto Alegre, Revista Mulher e Trabalho, 2004, </w:t>
      </w:r>
      <w:r>
        <w:rPr>
          <w:rFonts w:ascii="Times New Roman" w:hAnsi="Times New Roman" w:cs="Times New Roman" w:eastAsia="Times New Roman"/>
          <w:color w:val="auto"/>
          <w:spacing w:val="-2"/>
          <w:position w:val="0"/>
          <w:sz w:val="24"/>
          <w:shd w:fill="auto" w:val="clear"/>
        </w:rPr>
        <w:t xml:space="preserve">volume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w:t>
      </w:r>
    </w:p>
    <w:p>
      <w:pPr>
        <w:spacing w:before="4" w:after="0" w:line="240"/>
        <w:ind w:right="0" w:left="0" w:firstLine="0"/>
        <w:jc w:val="left"/>
        <w:rPr>
          <w:rFonts w:ascii="Times New Roman" w:hAnsi="Times New Roman" w:cs="Times New Roman" w:eastAsia="Times New Roman"/>
          <w:color w:val="auto"/>
          <w:spacing w:val="0"/>
          <w:position w:val="0"/>
          <w:sz w:val="13"/>
          <w:shd w:fill="auto" w:val="clear"/>
        </w:rPr>
      </w:pPr>
    </w:p>
    <w:p>
      <w:pPr>
        <w:tabs>
          <w:tab w:val="left" w:pos="1320" w:leader="none"/>
        </w:tabs>
        <w:spacing w:before="69" w:after="0" w:line="362"/>
        <w:ind w:right="119"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  Teresa Kleba.  Gênero,  </w:t>
      </w:r>
      <w:r>
        <w:rPr>
          <w:rFonts w:ascii="Times New Roman" w:hAnsi="Times New Roman" w:cs="Times New Roman" w:eastAsia="Times New Roman"/>
          <w:color w:val="auto"/>
          <w:spacing w:val="-3"/>
          <w:position w:val="0"/>
          <w:sz w:val="24"/>
          <w:shd w:fill="auto" w:val="clear"/>
        </w:rPr>
        <w:t xml:space="preserve">classe  </w:t>
      </w:r>
      <w:r>
        <w:rPr>
          <w:rFonts w:ascii="Times New Roman" w:hAnsi="Times New Roman" w:cs="Times New Roman" w:eastAsia="Times New Roman"/>
          <w:color w:val="auto"/>
          <w:spacing w:val="0"/>
          <w:position w:val="0"/>
          <w:sz w:val="24"/>
          <w:shd w:fill="auto" w:val="clear"/>
        </w:rPr>
        <w:t xml:space="preserve">e etnia.  Trajetórias de  vida  </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 migrantes. Florianópolis: Editora da UFSC; Chapecó: Argos,</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1"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362"/>
        <w:ind w:right="124"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LAGARDE, Marcela. Gênero y feminismo – desarrollo humano y democracia. Madrid: Horas e horas, 1996.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38" w:after="0" w:line="360"/>
        <w:ind w:right="123"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LOURO Guaciara. Gênero história e educação: construção e desconstrução. Educação e Realidade, Rio Grande do Sul, v. 20 n.2, p. 101 – 132, 1995.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5" w:after="0" w:line="360"/>
        <w:ind w:right="129"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MARSHALL, T. H.. Cidadania, classe social e status. Tradução Meton Porto Gadelha. Rio de Janeiro: Zahar, 1967.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5" w:after="0" w:line="360"/>
        <w:ind w:right="124"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NOGUEIRA, Claudia Mazzei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feminização no mundo do trabalho: entre a emancipação e a precarização. Campinas, SP: Autores Associados, 2004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1" w:after="0" w:line="362"/>
        <w:ind w:right="112"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SCOOT. J.W (1995). Gênero: uma categoria útil de análise histórica. Educação e Realidade, Porto Alegre. V. 20, n.2, p.71-99, 1995.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38" w:after="0" w:line="360"/>
        <w:ind w:right="118"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Tempo, trabalho e afazeres domésticos: um estudo com base nos dados da Pesquisa Nacional por Amostra de Domicílios de 2001 e 2005. Disponível em: </w:t>
      </w:r>
      <w:hyperlink xmlns:r="http://schemas.openxmlformats.org/officeDocument/2006/relationships" r:id="docRId140">
        <w:r>
          <w:rPr>
            <w:rFonts w:ascii="Times New Roman" w:hAnsi="Times New Roman" w:cs="Times New Roman" w:eastAsia="Times New Roman"/>
            <w:color w:val="0000FF"/>
            <w:spacing w:val="0"/>
            <w:position w:val="0"/>
            <w:sz w:val="24"/>
            <w:u w:val="single"/>
            <w:shd w:fill="auto" w:val="clear"/>
          </w:rPr>
          <w:t xml:space="preserve">http://www.ibge.gov.br/home/presidencia/noticias/noticia.</w:t>
        </w:r>
      </w:hyperlink>
      <w:r>
        <w:rPr>
          <w:rFonts w:ascii="Times New Roman" w:hAnsi="Times New Roman" w:cs="Times New Roman" w:eastAsia="Times New Roman"/>
          <w:color w:val="auto"/>
          <w:spacing w:val="0"/>
          <w:position w:val="0"/>
          <w:sz w:val="24"/>
          <w:shd w:fill="auto" w:val="clear"/>
        </w:rPr>
        <w:t xml:space="preserve"> Acesso em 10/07/2010.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0" w:after="0" w:line="360"/>
        <w:ind w:right="190" w:left="11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Site</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http://www.ibge.gov.br/home/estatistica/indicadores/trabalhoerendimento/pme_mu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lher/Suplemento_Mulher_2008.pdf . Acesso em 12/07/2010.</w:t>
      </w: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 TV, as mulheres e o sistema prisional</w:t>
      </w: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Daiane PIRES</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Neusa Maria Bongiovanni RIBEIRO</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Universidade Feevale, Novo Hamburgo, RS </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PALAVRAS-CHAVE:</w:t>
      </w:r>
      <w:r>
        <w:rPr>
          <w:rFonts w:ascii="Times New Roman" w:hAnsi="Times New Roman" w:cs="Times New Roman" w:eastAsia="Times New Roman"/>
          <w:color w:val="auto"/>
          <w:spacing w:val="0"/>
          <w:position w:val="0"/>
          <w:sz w:val="24"/>
          <w:shd w:fill="auto" w:val="clear"/>
        </w:rPr>
        <w:t xml:space="preserve"> Jornalismo. Televisão. Mulheres. Prisões. Pelletier.</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 E OBJETIVOS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no século XIX as mulheres eram tema das abordagens jornalísticas. Fossem motivo de piadas, estampassem os folhetins operários. Ao longo dos tempos, seguem buscando independência nos mais diversos campos, inclusive no criminal. Assim, ocupam, também, mais espaço na mídia.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Os telejornais mostram mulheres como fonte de informação e também como personagens das histórias contadas através do texto e da imagem. As mães, esposas e trabalhadoras que cometem atos criminosos e violentos, entretanto, seguem sendo desrespeitadas como as operárias dos anos de 1800.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autora deste artigo, gerado a partir do Trabalho de Conclusão do Curso de Jornalismo da Universidade Feevale, cria este artigo com o intuito de apresentar de que forma as presas da Penitenciária Feminina Madre Pelletier, de Porto Alegre, se enxergam como mulheres e também como telespectadoras.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TV, as mulheres e o sistema prisional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se pode tratar do tema “televisão, mulheres e prisões” sem que se faça uma breve localização sobre questões de gênero, presentes na sociedade ocidental. Fisiologicamente, é fácil diferenciar um homem de uma mulher. Ocorre que há uma grande lacuna entre os significados de sexo e gênero. Para Beauvoir (1980): </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Ninguém nasce mulher: torna-se mulher. Nenhum destino biológico, psíquico, econômico define a forma que a fêmea humana assume no seio da sociedade; é o conjunto da civilização que elabora esse produto intermediário entre o macho e o castrado que qualificam de feminino. Somente a mediação de outrem pode constituir um indivíduo como um </w:t>
      </w:r>
      <w:r>
        <w:rPr>
          <w:rFonts w:ascii="Times New Roman" w:hAnsi="Times New Roman" w:cs="Times New Roman" w:eastAsia="Times New Roman"/>
          <w:i/>
          <w:color w:val="auto"/>
          <w:spacing w:val="0"/>
          <w:position w:val="0"/>
          <w:sz w:val="20"/>
          <w:shd w:fill="auto" w:val="clear"/>
        </w:rPr>
        <w:t xml:space="preserve">Outro</w:t>
      </w:r>
      <w:r>
        <w:rPr>
          <w:rFonts w:ascii="Times New Roman" w:hAnsi="Times New Roman" w:cs="Times New Roman" w:eastAsia="Times New Roman"/>
          <w:color w:val="auto"/>
          <w:spacing w:val="0"/>
          <w:position w:val="0"/>
          <w:sz w:val="20"/>
          <w:shd w:fill="auto" w:val="clear"/>
        </w:rPr>
        <w:t xml:space="preserve">. [...] é através dos olhos, das mãos e não das partes sexuais que apreendem o universo (BEAUVOIR, 1980, p. 9).</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autora considera que muitos fatores, como a “cultura histórica, literária, as canções, as lendas” (1980, p. 30), contribuem para a estereotipia da mulher frágil e submissa. A personagem, inversa aos homens, sempre poderosos, é relatada assim pelas histórias contadas desde o início do mundo: “Eva não foi criada para si mesma e sim como companheira de Adão, e de uma costela dele” (1980, p. 30).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mulheres aparecem, senão às sombras, como espectadoras dos homens. Seja na bíblia, na mitologia ou nas fábulas infantis, os grandes feitos são sempre masculinos. Beauvoir (1980, p. 31-31) diz que: </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é através de olhos masculinos que a menina explora o mundo e nele decifra seu destino. A superioridade masculina é esmagadora [...] Se a menina lê os jornais, se ouve a conversa dos adultos, constata que hoje, como outrora, os homens dirigem o mundo. Os chefes de Estado, os generais, os exploradores, os músicos, os pintores que ela admira são homens; são homens que fazem seu coração bater de entusiasmo.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Talvez os jornais citados por Simone de Beauvoir não sejam os do final do século XIX. Porém, estes também precisam ser referidos. Pedro (1999) observa que “nessa sociedade recém-saída do campo, novos modelos de mulher precisam ser divulgados, talvez com tanta ou maior veemência do que em cidades maiores”. Para tanto, as características femininas eram apresentadas nos periódicos em forma de poemas, provérbios, comentários, notícias e até mesmo piadas. A autora (1999, p. 285) usa como exemplo uma edição de 1888 do </w:t>
      </w:r>
      <w:r>
        <w:rPr>
          <w:rFonts w:ascii="Times New Roman" w:hAnsi="Times New Roman" w:cs="Times New Roman" w:eastAsia="Times New Roman"/>
          <w:i/>
          <w:color w:val="auto"/>
          <w:spacing w:val="0"/>
          <w:position w:val="0"/>
          <w:sz w:val="24"/>
          <w:shd w:fill="auto" w:val="clear"/>
        </w:rPr>
        <w:t xml:space="preserve">Jornal do Comércio,</w:t>
      </w:r>
      <w:r>
        <w:rPr>
          <w:rFonts w:ascii="Times New Roman" w:hAnsi="Times New Roman" w:cs="Times New Roman" w:eastAsia="Times New Roman"/>
          <w:color w:val="auto"/>
          <w:spacing w:val="0"/>
          <w:position w:val="0"/>
          <w:sz w:val="24"/>
          <w:shd w:fill="auto" w:val="clear"/>
        </w:rPr>
        <w:t xml:space="preserve"> que trazia os “Dez Mandamentos da Mulher”:</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 Amai o vosso marido sobre todas as coisas; 2° - Não lhe jureis falso; 3° - Preparai-lhe dias de festa; 4° - Amai-o mais do que a vosso pai e a vossa mãe; 5° - Não o atormenteis com exigências, caprichos e amuos; 6° - Não o enganeis; 7° - Não lhe subtraiais dinheiro, nem gasteis este com futilidades; 8° - Não resmungueis, nem finjais ataques nervosos; 9° - Não desejeis mais do que um próximo e que este seja teu marido; 10° - Não exijais luxo e não vos detenhais diante das vitrines. Estes dez mandamentos devem ser lidos pelas mulheres doze vezes por dia, e depois ser bem guardados na caixinha da </w:t>
      </w:r>
      <w:r>
        <w:rPr>
          <w:rFonts w:ascii="Times New Roman" w:hAnsi="Times New Roman" w:cs="Times New Roman" w:eastAsia="Times New Roman"/>
          <w:i/>
          <w:color w:val="auto"/>
          <w:spacing w:val="0"/>
          <w:position w:val="0"/>
          <w:sz w:val="20"/>
          <w:shd w:fill="auto" w:val="clear"/>
        </w:rPr>
        <w:t xml:space="preserve">toillete</w:t>
      </w:r>
      <w:r>
        <w:rPr>
          <w:rFonts w:ascii="Times New Roman" w:hAnsi="Times New Roman" w:cs="Times New Roman" w:eastAsia="Times New Roman"/>
          <w:color w:val="auto"/>
          <w:spacing w:val="0"/>
          <w:position w:val="0"/>
          <w:sz w:val="20"/>
          <w:shd w:fill="auto" w:val="clear"/>
        </w:rPr>
        <w:t xml:space="preserve"> (PEDRO, 1999, p. 285).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orientações para o público feminino não se resumiam a brincadeiras e eram dilatadas a duras críticas nos periódicos. Conforme Pedro (1999, p. 304), em 1893, o jornal </w:t>
      </w:r>
      <w:r>
        <w:rPr>
          <w:rFonts w:ascii="Times New Roman" w:hAnsi="Times New Roman" w:cs="Times New Roman" w:eastAsia="Times New Roman"/>
          <w:i/>
          <w:color w:val="auto"/>
          <w:spacing w:val="0"/>
          <w:position w:val="0"/>
          <w:sz w:val="24"/>
          <w:shd w:fill="auto" w:val="clear"/>
        </w:rPr>
        <w:t xml:space="preserve">O Exemplo,</w:t>
      </w:r>
      <w:r>
        <w:rPr>
          <w:rFonts w:ascii="Times New Roman" w:hAnsi="Times New Roman" w:cs="Times New Roman" w:eastAsia="Times New Roman"/>
          <w:color w:val="auto"/>
          <w:spacing w:val="0"/>
          <w:position w:val="0"/>
          <w:sz w:val="24"/>
          <w:shd w:fill="auto" w:val="clear"/>
        </w:rPr>
        <w:t xml:space="preserve"> que surgiu em 1892 e durou até 1930, apresentava uma coluna especial para as “moças donzelas” de Porto Alegre. Nela, as jovens eram instruídas a não dar atenção para os boatos e fofocas, denominados, na época, como mexericos. Além disso, o jornal publicava os desvios de comportamento das mulheres: </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Tal vigilância tinha por objetivo separar as moças ‘honestas’ das ‘perdidas’. Ademais, a solidariedade masculina ajudava a apontar as mulheres volúveis [...] Não eram somente os homens que promoviam a vigilância da moral feminina: as próprias mulheres o faziam, denunciando-se umas às outras. [...] Na virada do século, as imagens das prostitutas tornaram-se as referências de como as mulheres não deveriam ser. Seus comportamentos, seu modo de falar, de vestir, de perfumar-se, eram aqueles que deveriam ser evitados pelas mulheres que quisessem ser consideradas distintas. Dessa forma, o </w:t>
      </w:r>
      <w:r>
        <w:rPr>
          <w:rFonts w:ascii="Times New Roman" w:hAnsi="Times New Roman" w:cs="Times New Roman" w:eastAsia="Times New Roman"/>
          <w:i/>
          <w:color w:val="auto"/>
          <w:spacing w:val="0"/>
          <w:position w:val="0"/>
          <w:sz w:val="20"/>
          <w:shd w:fill="auto" w:val="clear"/>
        </w:rPr>
        <w:t xml:space="preserve">fantasma</w:t>
      </w:r>
      <w:r>
        <w:rPr>
          <w:rFonts w:ascii="Times New Roman" w:hAnsi="Times New Roman" w:cs="Times New Roman" w:eastAsia="Times New Roman"/>
          <w:color w:val="auto"/>
          <w:spacing w:val="0"/>
          <w:position w:val="0"/>
          <w:sz w:val="20"/>
          <w:shd w:fill="auto" w:val="clear"/>
        </w:rPr>
        <w:t xml:space="preserve"> das prostitutas servia para regularizar comportamentos. Nos jornais de Porto Alegre, as críticas à prostituição eram constantes; e esse </w:t>
      </w:r>
      <w:r>
        <w:rPr>
          <w:rFonts w:ascii="Times New Roman" w:hAnsi="Times New Roman" w:cs="Times New Roman" w:eastAsia="Times New Roman"/>
          <w:i/>
          <w:color w:val="auto"/>
          <w:spacing w:val="0"/>
          <w:position w:val="0"/>
          <w:sz w:val="20"/>
          <w:shd w:fill="auto" w:val="clear"/>
        </w:rPr>
        <w:t xml:space="preserve">fantasma</w:t>
      </w:r>
      <w:r>
        <w:rPr>
          <w:rFonts w:ascii="Times New Roman" w:hAnsi="Times New Roman" w:cs="Times New Roman" w:eastAsia="Times New Roman"/>
          <w:color w:val="auto"/>
          <w:spacing w:val="0"/>
          <w:position w:val="0"/>
          <w:sz w:val="20"/>
          <w:shd w:fill="auto" w:val="clear"/>
        </w:rPr>
        <w:t xml:space="preserve"> ameaçava principalmente as jovens trabalhadoras (PEDRO, 1999, p. 304-305).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 autora, os jornais operários mostravam-se confusos quanto ao trabalho feminino, pois “Ora reconheciam a importância [...], ora explicitavam o temor da concorrência” (1999, p. 305). Os periódicos definiam o lar como lugar das mulheres e defendiam menores salários para estas, ao considerar que tinham menos necessidades.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Fonseca (1999), destaca que as incertezas dos empregos masculinos obrigaram as mulheres a trabalhar. No início do século XX, por exemplo, Porto Alegre estava em um momento de grande urbanização, assim como outras capitais brasileiras, e, por isso, os homens passaram a procurar por emprego em lugares mais longínquos, como Cuiabá, Rio Grande e até no Uruguai. Segundo a autora, as guerras da época também geravam consequências, visto que os soldados rumavam para os conflitos e só retornavam anos mais tarde. </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mulheres ‘abandonadas’ não tinham outra alternativa senão a de trabalhar. Mas, em muitos casos, mesmo as que moravam com seus companheiros procuravam alguma forma de renda para escapar à miséria que representava a dependência exclusiva do salário masculino. O homem podia até ser ‘trabalhador’ – quem garantia que ia ter uma renda regular? Havia competição para os bons empregos. Uma vez recrutado, o homem não tinha garantia de estabilidade [...] Nem todos os homens se preocupavam com o sustento da casa (FONSECA, 1999, p. 516).</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Arial" w:hAnsi="Arial" w:cs="Arial" w:eastAsia="Arial"/>
          <w:color w:val="auto"/>
          <w:spacing w:val="0"/>
          <w:position w:val="0"/>
          <w:sz w:val="20"/>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pelo motivo citado, Fonseca observa que, com a industrialização, mulheres e crianças compuseram mais da metade da força de trabalho em algumas fábricas. De acordo com a autora, “as estatísticas sobre o Rio Grande do Sul em 1900 mostram que cerca de 42% da população economicamente ativa era feminina” (FONSECA, 1999, p. 517). De outra forma, Nogueira (2004) destaca essa presença feminina no setor industrial ao dizer que “o ingresso do trabalho feminino no espaço produtivo foi uma conquista da mulher” (p. 13). Mesmo assim, elas não tinham, na época, a segurança da preservação da honra. Rago (2001, p. 585) afirma que:</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Nas denúncias dos operários militantes, dos médicos higienistas, dos juristas, </w:t>
      </w:r>
      <w:r>
        <w:rPr>
          <w:rFonts w:ascii="Times New Roman" w:hAnsi="Times New Roman" w:cs="Times New Roman" w:eastAsia="Times New Roman"/>
          <w:b/>
          <w:color w:val="auto"/>
          <w:spacing w:val="0"/>
          <w:position w:val="0"/>
          <w:sz w:val="20"/>
          <w:shd w:fill="auto" w:val="clear"/>
        </w:rPr>
        <w:t xml:space="preserve">dos jornalistas</w:t>
      </w:r>
      <w:r>
        <w:rPr>
          <w:rFonts w:ascii="Times New Roman" w:hAnsi="Times New Roman" w:cs="Times New Roman" w:eastAsia="Times New Roman"/>
          <w:color w:val="auto"/>
          <w:spacing w:val="0"/>
          <w:position w:val="0"/>
          <w:sz w:val="20"/>
          <w:shd w:fill="auto" w:val="clear"/>
        </w:rPr>
        <w:t xml:space="preserve">, das feministas, a fábrica é descrita como ‘antro da perdição’, ‘bordel’ ou ‘lupanar’, enquanto a trabalhadora é vista como uma figura totalmente passiva e indefesa. Essa visão está associada, direta ou indiretamente, à vontade de direcionar a mulher à esfera da vida privada (grifo nosso).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autora citada comenta que, nos jornais, teóricos e economistas da época opinavam sobre a destruição que o trabalho feminino causaria às famílias. Os filhos seriam jogados ao mundo, sem que fossem assistidos permanentemente por suas mães trabalhadoras. Também o casamento estaria comprometido, senão pelo desinteresse das mulheres, pela falta de atenção com os maridos (RAGO, 2001, p. 585).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início do século XX, conforme Rago (2001), desenvolvia-se a moderna esfera pública. Baseados nos modelos europeus, principalmente franceses e ingleses, os teatros e as óperas tornaram-se locais de encontros, permitindo novos tipos de interação social e relações entre homens e mulheres, além de mudanças nas vestimentas das damas de classe média e alta, agora espelhadas nas francesas.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Foi pelos anos de 1920 que “o </w:t>
      </w:r>
      <w:r>
        <w:rPr>
          <w:rFonts w:ascii="Times New Roman" w:hAnsi="Times New Roman" w:cs="Times New Roman" w:eastAsia="Times New Roman"/>
          <w:i/>
          <w:color w:val="auto"/>
          <w:spacing w:val="0"/>
          <w:position w:val="0"/>
          <w:sz w:val="24"/>
          <w:shd w:fill="auto" w:val="clear"/>
        </w:rPr>
        <w:t xml:space="preserve">maillot</w:t>
      </w:r>
      <w:r>
        <w:rPr>
          <w:rFonts w:ascii="Times New Roman" w:hAnsi="Times New Roman" w:cs="Times New Roman" w:eastAsia="Times New Roman"/>
          <w:color w:val="auto"/>
          <w:spacing w:val="0"/>
          <w:position w:val="0"/>
          <w:sz w:val="24"/>
          <w:shd w:fill="auto" w:val="clear"/>
        </w:rPr>
        <w:t xml:space="preserve"> vermelho progressivamente passou a fazer parte do guarda-roupa das jovens [...] quando a figura da mulher moderna, magra, ágil, </w:t>
      </w:r>
      <w:r>
        <w:rPr>
          <w:rFonts w:ascii="Times New Roman" w:hAnsi="Times New Roman" w:cs="Times New Roman" w:eastAsia="Times New Roman"/>
          <w:b/>
          <w:color w:val="auto"/>
          <w:spacing w:val="0"/>
          <w:position w:val="0"/>
          <w:sz w:val="24"/>
          <w:shd w:fill="auto" w:val="clear"/>
        </w:rPr>
        <w:t xml:space="preserve">agressiva e independente</w:t>
      </w:r>
      <w:r>
        <w:rPr>
          <w:rFonts w:ascii="Times New Roman" w:hAnsi="Times New Roman" w:cs="Times New Roman" w:eastAsia="Times New Roman"/>
          <w:color w:val="auto"/>
          <w:spacing w:val="0"/>
          <w:position w:val="0"/>
          <w:sz w:val="24"/>
          <w:shd w:fill="auto" w:val="clear"/>
        </w:rPr>
        <w:t xml:space="preserve"> [...] passou a ser admirada pelas platéias femininas e masculinas” (RAGO, 2001, p. 586, grifo nosso). Essa evolução, que foi ocorrendo ao longo dos anos até os dias atuais, atingiu os diferentes aspectos sociocomportamentais e psicológicos das mulheres, que chamam a atenção da atual diretora da Penitenciária Feminina Madre Pelletier, de Porto Alegre, a assistente social Mara Minotto: </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partir do momento que a mulher buscou o espaço dela [...] ela buscou em tudo [...] Eu tenho um colega que diz assim: “a mulher, ela é ótima em tudo que ela faz, até no crime”. E, muitas vezes, ela supera o homem. [...] Eu acho que a gente tem que desmistificar isso aí de que a mulher não é capaz, que a mulher é o sexo frágil. [...] Tem momentos que ela é tão ou mais violenta que o homem. [...] A mulher, junto com essa questão aí da independência, [...] que ela buscou um espaço tanto no trabalho, na educação, [...] também foi pro lado do crime (MINOTTO,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jornalista Daniel Scola concorda com essa mudança no perfil feminino frente ao aumento da criminalidade entre as mulheres: </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Tu já pegas mulheres com condenação por homicídio, que era muito mais difícil uma vez. Tu já pegas mulheres com condenação por estelionato, tu já pegas líderes de quadrilhas, ou seja, o crime feminino está se ampliando, o que é um péssimo sinal (SCOLA,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essa nova concepção, registrada por Rago (2001) e confirmada por Minotto e Scola, as mulheres continuam aparecendo nas páginas dos jornais e, a partir de 1950, no Brasil, também na televisão. Porém, em proporções menores e situações diferentes das dos homens, conforme levantado anteriormente – ver página 14. As considerações oficiais sobre os dados referentes às atuações das mulheres na sociedade reforçam a ideia de que há distorções distintas: “[...] a imagem da mulher na imprensa brasileira ainda reflete valores estereotipados, que devem ser superados e substituídos por uma representação justa e democrática” (</w:t>
      </w:r>
      <w:r>
        <w:rPr>
          <w:rFonts w:ascii="Times New Roman" w:hAnsi="Times New Roman" w:cs="Times New Roman" w:eastAsia="Times New Roman"/>
          <w:color w:val="000000"/>
          <w:spacing w:val="0"/>
          <w:position w:val="0"/>
          <w:sz w:val="24"/>
          <w:shd w:fill="auto" w:val="clear"/>
        </w:rPr>
        <w:t xml:space="preserve">CANTANHÊDE</w:t>
      </w:r>
      <w:r>
        <w:rPr>
          <w:rFonts w:ascii="Times New Roman" w:hAnsi="Times New Roman" w:cs="Times New Roman" w:eastAsia="Times New Roman"/>
          <w:color w:val="auto"/>
          <w:spacing w:val="0"/>
          <w:position w:val="0"/>
          <w:sz w:val="24"/>
          <w:shd w:fill="auto" w:val="clear"/>
        </w:rPr>
        <w:t xml:space="preserve">, 2010, p. 134).</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 jornalista da </w:t>
      </w:r>
      <w:r>
        <w:rPr>
          <w:rFonts w:ascii="Times New Roman" w:hAnsi="Times New Roman" w:cs="Times New Roman" w:eastAsia="Times New Roman"/>
          <w:i/>
          <w:color w:val="auto"/>
          <w:spacing w:val="0"/>
          <w:position w:val="0"/>
          <w:sz w:val="24"/>
          <w:shd w:fill="auto" w:val="clear"/>
        </w:rPr>
        <w:t xml:space="preserve">Folha de S. Paulo</w:t>
      </w:r>
      <w:r>
        <w:rPr>
          <w:rFonts w:ascii="Times New Roman" w:hAnsi="Times New Roman" w:cs="Times New Roman" w:eastAsia="Times New Roman"/>
          <w:color w:val="auto"/>
          <w:spacing w:val="0"/>
          <w:position w:val="0"/>
          <w:sz w:val="24"/>
          <w:shd w:fill="auto" w:val="clear"/>
        </w:rPr>
        <w:t xml:space="preserve">, Eliane Cantanhêde, é função da imprensa discutir e gerar discussões sobre “tudo o que interessa à sociedade, como é o caso da questão de gênero. Mas a mídia não tem desempenhado esse papel” (</w:t>
      </w:r>
      <w:r>
        <w:rPr>
          <w:rFonts w:ascii="Times New Roman" w:hAnsi="Times New Roman" w:cs="Times New Roman" w:eastAsia="Times New Roman"/>
          <w:color w:val="000000"/>
          <w:spacing w:val="0"/>
          <w:position w:val="0"/>
          <w:sz w:val="24"/>
          <w:shd w:fill="auto" w:val="clear"/>
        </w:rPr>
        <w:t xml:space="preserve">CANTANHÊDE</w:t>
      </w:r>
      <w:r>
        <w:rPr>
          <w:rFonts w:ascii="Times New Roman" w:hAnsi="Times New Roman" w:cs="Times New Roman" w:eastAsia="Times New Roman"/>
          <w:color w:val="auto"/>
          <w:spacing w:val="0"/>
          <w:position w:val="0"/>
          <w:sz w:val="24"/>
          <w:shd w:fill="auto" w:val="clear"/>
        </w:rPr>
        <w:t xml:space="preserve">, 2010, p. 138). Para Cantanhêde, o tema ainda aparece “de raspão” na grande mídia ou associado a assuntos amplamente repercutidos. Estes são elementos significativos para que se possa revisar aspectos relacionados às estruturas operacionais da comunicação, especificamente o meio televisão.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 detentas e a televisão</w:t>
      </w:r>
    </w:p>
    <w:p>
      <w:pPr>
        <w:spacing w:before="0" w:after="0" w:line="240"/>
        <w:ind w:right="0" w:left="0" w:firstLine="851"/>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Penitenciária Feminina Madre Pelletier é a principal no Rio Grande do Sul que trata da situação prisional de mulheres que praticam atos criminosos e de violência. Ali, em um espaço que, na década de 1940, chegou a ser uma casa correcional, </w:t>
      </w:r>
      <w:r>
        <w:rPr>
          <w:rFonts w:ascii="Times New Roman" w:hAnsi="Times New Roman" w:cs="Times New Roman" w:eastAsia="Times New Roman"/>
          <w:color w:val="231F20"/>
          <w:spacing w:val="0"/>
          <w:position w:val="0"/>
          <w:sz w:val="24"/>
          <w:shd w:fill="auto" w:val="clear"/>
        </w:rPr>
        <w:t xml:space="preserve">mantida e administrada pela congregação católica do Bom Pastor, </w:t>
      </w:r>
      <w:r>
        <w:rPr>
          <w:rFonts w:ascii="Times New Roman" w:hAnsi="Times New Roman" w:cs="Times New Roman" w:eastAsia="Times New Roman"/>
          <w:color w:val="auto"/>
          <w:spacing w:val="0"/>
          <w:position w:val="0"/>
          <w:sz w:val="24"/>
          <w:shd w:fill="auto" w:val="clear"/>
        </w:rPr>
        <w:t xml:space="preserve">mais de 500 mulheres convivem cumprindo suas penas temporárias, no aguardo do julgamento ou num período mais prolongado, já no regime de condenação.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jornalista Daniel Scola descreve as dificuldades do sistema carcerário e da estrutura do prédio que comporta a penitenciária:</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Superlotação, falta de estrutura, presas, tu vai ver quinze mulheres, doze mulheres, oito mulheres num espacinho pra duas, três [...]. Como o sistema masculino, o sistema feminino é o que é o nosso sistema. Ele está superlotado, não tem triagem nenhuma. Então na mesma cela tu vai ver a grande bandidona lá, líder de quadrilha com uma mulher que foi pega com uma petequinha de maconha, uma petequinha de cocaína [...]. E o regime preventivo está junto com o condenado [...]. E tu vai te chocar também com as crianças [...]. Porque essas mulheres em geral têm crianças. Muitas crianças ficam ali. As crianças que a família não pode cuidar, as crianças ficam ali. Então tem uma creche, ultra-improvisada (SCOLA,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se entender um pouco mais da situação vivenciada pelas mulheres presas e como elas se percebem diante da divulgação, pela televisão, de seus atos – alguns deles de intensa violência – fez-se necessário um contato mais próximo com aquela realidade. Por isso, a autora deste artigo procurou a direção da Penitenciária Madre Pelletier para uma primeira entrevista, com a assistente social Mara Minotto.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desse contato, foi possível prever as entrevistas com cinco detentas, escolhidas pela própria diretora, com idade superior a trinta anos, que praticaram diferentes crimes e cumprem penas variadas. O registro foi feito em gravador cassete, inicialmente, em dias diferentes – 30/04/2010 e 05/05/2010. Conforme entendimento feito com a direção da casa penal, mantém-se o sigilo da identidade das presas entrevistadas. A seguir destacam-se alguns tópicos considerados relevantes para este estudo:</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Tópico 1: Idade e escolaridade:</w:t>
      </w:r>
    </w:p>
    <w:p>
      <w:pPr>
        <w:spacing w:before="0" w:after="0" w:line="24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Por favor, te apresentas para mim, dizendo a tua idade e até que série tu estudaste? </w:t>
      </w:r>
    </w:p>
    <w:p>
      <w:pPr>
        <w:spacing w:before="0" w:after="0" w:line="24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1</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 minha idade é 32 anos e eu estudei até a oitava série.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2</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É... Tenho 32 anos e estudei até o terceiro ano do ensino médio.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3</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Cinquenta e nove anos, curso superior de Enfermagem.</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4</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Eu tenho... Estudo... A minha idade é trinta e oito e estudo... Faço a sexta e a sétima aqui, do ensino fundamental.</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Eu tenho trinta e cinco anos e estudei até a quinta.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Tópico 2: Família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A tua vida lá fora, tua família, quem ficou lá fora?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1</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Deixei quatro filhos menores de dez anos e dois maiores de dez, seis filhos. Foi assim: eu 2005, eu fui presa, daí eu fui condenada a quatro anos e dez meses, eu fiquei dois anos aqui. Durante todo o tempo que eu tive aqui, eu trabalhei numa empresa que tinha aqui na época, fui pro semiaberto e daí no semiaberto eu fiquei oito meses, eu tinha uma carta de emprego, eu saía todos os dias só que chegando lá eu tive problemas porque, né, a minha mãe tava criando, cuidando dos meus filhos que na época eram só quatro e daí ela não tinha com quem deixar e eu tinha que retornar pro semiaberto e eu acabei fugindo. Daí eu voltei pra cá pela fuga, nesse meio tempo, eu fiquei três anos foragida, meu marido era traficante, ele começou a ser viciado, hoje em dia ele é drogado, ele vendeu todas as minhas coisas, eu não podia denunciar ele porque eu tava foragida, ele destruiu com a nossa família, acabou tudo que tinha. E eu não podia denunciar ele, ele me batia, ele me judiava muito, eu não podia denunciar ele porque eu tava foragida. Então, ele dizia: “se tu ligar pra polícia, tu vai junto”. E depois disso, desse tempo que eu fiquei foragida eu tive uma menina que tem dois anos e tenho um nenê de cinco meses. Então por todo esse tempo eu tive que, né, aguentar várias coisas e eu fugi e eu paguei caro por preço. Todo o tempo que eu tive foragida eu tive que trabalhar, porque eu saía, e eu tinha comida, tinha tudo dentro de casa, quando eu voltava, ele tinha vendido tudo. Foi bastante difícil.</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2</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Deixei o meu filho com a minha mãe e a... Meus pais e meu irmão.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das privações, da tua vida, o que tu deixaste lá fora?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O que eu deixei pra trás foi o meu filho. Eu nunca tinha deixado ele com ninguém, sempre junto comigo. Então eu sinto muita falta dele e, ai, a ausência da família aqui dentro... Que eu, no caso, não tenho visita. Minha família não vem. Não é sempre que eles vêm. É muito difícil eles virem. Daí, então, poucas vezes eu vejo o meu filho. Vejo ele uma vez, duas vezes no ano. Muito difícil.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3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Eu sou viúva, tenho... Tinha cinco filhos, agora eu tenho duas. E tenho dezoito netos, tenho dois bisnetos. Tenho... Tenho uma família, muito boa a minha família que não tem nada a ver com o fato de eu estar aqui, sabe? Minha família é uma outra história. Todos formados, trabalham. São normais. Anormal fui eu que delinqui com cinquenta anos. Que até os cinquenta anos eu era... Eu fui honesta, trabalhava em dois empregos, enfim. De repente, de repente, de repente mesmo delinqui e aí estou aqui com uma condenação maior que eu.</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4</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Ah, eu tenho seis filhos, moro com eles, eles moram comigo. Um tá preso, o mais velho, mas não é pelo motivo de eu estar presa, também. E os outros cinco tão com a minha mãe, dentro da minha casa. Essa é a minha família. [...] Sou casada. [...] Meu marido tá preso, também, mas não por motivo de eu também estar aqui.</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Na minha família, eu tenho nove filhos. Deixei pra fora a minha... Meus filhos que eu amo muito, meu marido que tá preso, também. E os nove filhos. Sou casada há vinte anos. A minha no fim... Destruiu por causa do </w:t>
      </w:r>
      <w:r>
        <w:rPr>
          <w:rFonts w:ascii="Times New Roman" w:hAnsi="Times New Roman" w:cs="Times New Roman" w:eastAsia="Times New Roman"/>
          <w:i/>
          <w:color w:val="auto"/>
          <w:spacing w:val="0"/>
          <w:position w:val="0"/>
          <w:sz w:val="24"/>
          <w:shd w:fill="auto" w:val="clear"/>
        </w:rPr>
        <w:t xml:space="preserve">crack</w:t>
      </w:r>
      <w:r>
        <w:rPr>
          <w:rFonts w:ascii="Times New Roman" w:hAnsi="Times New Roman" w:cs="Times New Roman" w:eastAsia="Times New Roman"/>
          <w:color w:val="auto"/>
          <w:spacing w:val="0"/>
          <w:position w:val="0"/>
          <w:sz w:val="24"/>
          <w:shd w:fill="auto" w:val="clear"/>
        </w:rPr>
        <w:t xml:space="preserve">. Do vício... Por isso que eu tô aqui.</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os teus filhos, ficaram com quem?</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Com meus pais. Com a minha cunhada. Tão meio que dividido. Porque só os meus pais, né? Não tem...</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Como cuidar de todos.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Como cuidar de todos. Eu na rua ainda, pelo menos, garrava e... Aí fazia uma faxina aqui, gastava o dinheiro que era pro meu </w:t>
      </w:r>
      <w:r>
        <w:rPr>
          <w:rFonts w:ascii="Times New Roman" w:hAnsi="Times New Roman" w:cs="Times New Roman" w:eastAsia="Times New Roman"/>
          <w:i/>
          <w:color w:val="auto"/>
          <w:spacing w:val="0"/>
          <w:position w:val="0"/>
          <w:sz w:val="24"/>
          <w:shd w:fill="auto" w:val="clear"/>
        </w:rPr>
        <w:t xml:space="preserve">crack</w:t>
      </w:r>
      <w:r>
        <w:rPr>
          <w:rFonts w:ascii="Times New Roman" w:hAnsi="Times New Roman" w:cs="Times New Roman" w:eastAsia="Times New Roman"/>
          <w:color w:val="auto"/>
          <w:spacing w:val="0"/>
          <w:position w:val="0"/>
          <w:sz w:val="24"/>
          <w:shd w:fill="auto" w:val="clear"/>
        </w:rPr>
        <w:t xml:space="preserve">, mas pelo menos fome eles não passavam. Um vizinho dava uma coisa, outro vizinho dava outra, assim...</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Tópico 3: Delito que gerou a prisão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Qual o motivo que te trouxe para a penitenciária?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1</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Por tráfico de drogas.</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2</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É... Um homicídio.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3</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É... Fraude.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4</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Eu guardava droga.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É... Tráfico. É que eu, quando... É que eu sou viciada no </w:t>
      </w:r>
      <w:r>
        <w:rPr>
          <w:rFonts w:ascii="Times New Roman" w:hAnsi="Times New Roman" w:cs="Times New Roman" w:eastAsia="Times New Roman"/>
          <w:i/>
          <w:color w:val="auto"/>
          <w:spacing w:val="0"/>
          <w:position w:val="0"/>
          <w:sz w:val="24"/>
          <w:shd w:fill="auto" w:val="clear"/>
        </w:rPr>
        <w:t xml:space="preserve">crack</w:t>
      </w:r>
      <w:r>
        <w:rPr>
          <w:rFonts w:ascii="Times New Roman" w:hAnsi="Times New Roman" w:cs="Times New Roman" w:eastAsia="Times New Roman"/>
          <w:color w:val="auto"/>
          <w:spacing w:val="0"/>
          <w:position w:val="0"/>
          <w:sz w:val="24"/>
          <w:shd w:fill="auto" w:val="clear"/>
        </w:rPr>
        <w:t xml:space="preserve">. E aí entraram dentro da minha casa, tinha umas peteca, como... Deram como tráfico e eu vim parar aqui, né? Mas eu sou viciada. Não sou vendedora de </w:t>
      </w:r>
      <w:r>
        <w:rPr>
          <w:rFonts w:ascii="Times New Roman" w:hAnsi="Times New Roman" w:cs="Times New Roman" w:eastAsia="Times New Roman"/>
          <w:i/>
          <w:color w:val="auto"/>
          <w:spacing w:val="0"/>
          <w:position w:val="0"/>
          <w:sz w:val="24"/>
          <w:shd w:fill="auto" w:val="clear"/>
        </w:rPr>
        <w:t xml:space="preserve">crack</w:t>
      </w:r>
      <w:r>
        <w:rPr>
          <w:rFonts w:ascii="Times New Roman" w:hAnsi="Times New Roman" w:cs="Times New Roman" w:eastAsia="Times New Roman"/>
          <w:color w:val="auto"/>
          <w:spacing w:val="0"/>
          <w:position w:val="0"/>
          <w:sz w:val="24"/>
          <w:shd w:fill="auto" w:val="clear"/>
        </w:rPr>
        <w:t xml:space="preserve">. Só que deu uma zebra deles agarrar e chegarem lá e eu tá com as peteca.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Tópico 4: Considerações sobre o cárcere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como é que tu vês as informações sobre prisão e violência na televisão? Como é a tua percepção sobre isso?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1</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O que que eu penso? Eu penso que tem muita mulher vindo presa por droga. Antigamente, há cinco anos atrás, elas vinham mais presa porque o marido indiciava: “ai, o meu marido é traficante, eu trafico”. Hoje em dia não. A maioria é porque usam droga. Muita gente tá presa. Quantidade... A cadeia, há cinco anos atrás, existia... Tu olhava assim o tipo de presa, o tipo de presas assim, ó, eram pessoas que tinham um pouco de educação, elas faziam aquilo pelo dinheiro. Hoje em dia eles fazem pelo vício. Cadeia tá tornada, todo, todo aquele pessoal que mora embaixo da ponte, aquelas pessoas que não têm onde morar, tão tudo na cadeia, isso aqui virou um albergue. Elas caem com seis peteca, dez peteca, vinte petecas. O que eu mais escuto é dizer é assim: “eu tava vendendo um trem – isso o que quer dizer? – tava vendendo um saquinho de peteca pro patrão, nesse saquinho era cem reais dele e trinta era meu, e eu ia ganhar seis pedras pra mim fumar”. E o que acontece? A polícia pega, a polícia não quer saber se tava, o que ia ganhar. A polícia traz pra cadeia. E então o que acontece? Tem muita, acho que cinquenta por cento que tem presa aqui, que não são condenada, tudo a situação é essa. A senhora pode perguntar pra qualquer outra pessoa, a situação é essa. Caiu com droga porque, e não ia ganhar um dinheiro pra vender, ela ia ganhar a droga pra fumar, então elas nem venderam tudo, mas já fumaram aquilo, então elas são obrigada a ficar vendendo, pois senão, né? Então, o preço que vão pagar é muito. A cadeia, hoje em dia, elas não vêm pra cadeia bá, muito pouca, existe, claro que existe aquelas, né, que são traficante, mas a maioria é, consome e pra manter o vício elas acabam pegando, como eles dizem: “ah, é uma leva, eu peguei um leva. Cem reais era do patrão e trinta era meu”. O que tu mais vê, dizer na cadeia agora. A situação piorou bem mais do que antes. Bem mais.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agora um pouquinho da tua convivência aqui na penitenciária... Das regras, do cumprimento da pena, o que é diferente?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Sou bem ciente que eu cometi o delito, não importa quanto tempo faz e que eu tenho que pagar. Sou bem ciente disso. Só que que nem eu lhe disse: isso aqui há cinco anos atrás... Eu sempre trabalhei, trabalho agora, também. Tu tinha... Ah, era mais diferente. Tinha, existia mais um respeito, existia... O </w:t>
      </w:r>
      <w:r>
        <w:rPr>
          <w:rFonts w:ascii="Times New Roman" w:hAnsi="Times New Roman" w:cs="Times New Roman" w:eastAsia="Times New Roman"/>
          <w:i/>
          <w:color w:val="auto"/>
          <w:spacing w:val="0"/>
          <w:position w:val="0"/>
          <w:sz w:val="24"/>
          <w:shd w:fill="auto" w:val="clear"/>
        </w:rPr>
        <w:t xml:space="preserve">crack</w:t>
      </w:r>
      <w:r>
        <w:rPr>
          <w:rFonts w:ascii="Times New Roman" w:hAnsi="Times New Roman" w:cs="Times New Roman" w:eastAsia="Times New Roman"/>
          <w:color w:val="auto"/>
          <w:spacing w:val="0"/>
          <w:position w:val="0"/>
          <w:sz w:val="24"/>
          <w:shd w:fill="auto" w:val="clear"/>
        </w:rPr>
        <w:t xml:space="preserve"> tomou conta do mundo e da cadeia, também. Não existe diferença, né? Elas, na rua elas usavam droga, aqui elas têm a falta da droga, isso gera briga, gera incomodação, elas querem as coisas... Tá bem difícil, tá bem difícil, tá bem difícil. Eu tenho certeza que pra esse lugar eu não volto mais. Nunca mais, porque eu não vou fazer nada de errado. Eu não quero mais. Chega. Minha mãe, tá cada vez pior. Isso tá virado num abrigo. Meu Deus do céu, tu não tem noção. As pessoas, assim, num estado crítico. Tu não vê mais a... Só o que tu vê, elas vêm e vão. Eu, tem pessoas, que eu já vi vim seis vez, nesse tempo que eu tô aqui. Eu tô aqui há seis meses, eu já vi... Tem uma, cinco vezes que já veio, já foi, já veio, já foi. Então pra elas não faz diferença só que pra mim faz diferença. Eu tenho uma família, eu tenho os meus filhos que tão me esperando lá. Então eu não quero essa vida pra mim.</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2</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Ah, o que mostra, geralmente, né, não é o que acontece realmente aqui dentro, né? O preso é muito discriminado e tem uma vida bem difícil dentro. Por causa dessas, tipo, as facções que têm dentro da cadeia, né? São... Várias presas são oprimidas pelas próprias presas.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3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Momento em que prendem alguém, têm consciência de que ele é culpado, prendem, fecham o inquérito, manda pra cadeia e condena, sabe? Porque estar aqui dentro é uma violência muito grande. Muito mais contra a família da gente do que contra a gente mesmo. Eu sou muito consciente. Eu nunca reclamo da condenação, nunca reclamo de estar presa, nunca reclamo da convivência porque são pessoas completamente diferentes, com outras... Com outros valores, com outras ideias, com outro tudo. Então, eu não reclamo de nada disso, sabe? Eu tenho consciência do que eu fiz, mas isso aqui é o maior castigo que alguém pode ganhar. [...] Que essa história de vai dormir na cadeia, vai comer bem, vai não sei o que... Mentira. Isso é mentira. Ninguém consegue dormir em paz, ninguém come bem, ninguém vive. E tudo isso é mentira, isso é ficção, sabe?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4</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Mas aqui as guria são legal. No começo é aquele susto, né? É aquele tapa, assim, sabe? Quando chega a triagem, que a gente chama. Mas é doloroso, a gente vai se acostumando. Mas trabalhar aqui é muito ruim. Eu, então, só estudo.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Ai, mais atenção com as presa, né? Até assim, essas coisa de dormir, colchão, essas coisa não têm. As coitada dorme no chão. Tudo assim. O banheiro que é entupido, essas coisas, sabe? Que eles acham até que a gente é um lixo. Isso aí é pura realidade mesmo. É isso.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Tópico 5: Programas a que assistia ou assiste na televisão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Agora me conta ao que mais tu assistias na televisão, quando estavas lá fora? Tu assistias a programas de mulheres?</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1</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Eu via bastante repórter, eu gosto de jornal, porque, né, a gente fica informada do que tá acontecendo no mundo, novela... Acho que quase todos os programas de televisão, programas de mulheres, assim, de família também. Gosto de olhar televisão, bastante.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2</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Eu assistia mais era esse tipo de coisa. Jornal lia bastante o Zero Hora, no caso, e aqui também, eu continuo vendo jornal. O que a gente mais assiste é o Balanço Geral, geralmente. Jornal do Almoço e o Balanço Geral e novela que é básico, né? Mulher sempre gosta.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3</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 Que programas são?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 Mas eu olho jornal, olho noticiário, olho novela, eu sou uma vó noveleira. Tenho que discutir a novela com os neto. Olho futebol, porque o meu neto é doente por futebol e quando ele vem, ele tem uma visita uma vez a cada dois mês ele me fala que vai ter Copa do Mundo, vai ter Olimpíada, vai ter não sei o que e eu tenho que saber do que ele tá falando [...].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4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O que eu assisto ainda. Jornal, novela.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Não, normal. Novelas. Malhação. Jornal. Tá normal olhar... Até desenho, né?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Tópico 6: Considerações sobre a televisão e o cárcere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para ti, como é que a televisão apresenta as mulheres que são presas, nas reportagens?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1</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Ilegal. Muito ilegal. Falam muito mal, às vezes. Tem um repórter, até não sei que canal é aquele, que ele chama as mulheres todo mundo de vagabunda. Pô, ele deve ter uma mãe, né? Como é que ele vai chamar os outros de vagabundo? Ele não sabe a situação, ele não sabe o que levou a fazer aquilo. Tá errada, cometeu um delito, é crime, né? Mas por que chamar de vagabunda? Todo mundo é vagabunda, todo mundo... Às vezes, ofende as pessoas, maltrata as pessoas. [...] Claro que cometeram o delito, tão com a droga, iam vender pra poder... Mas eu acho que devia ser colocado de uma forma diferente, né?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como é que tu vês a mídia, assim para a sociedade, a televisão, principalmente, colabora? Não colabora? O que tu percebes da mídia?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Eu acredito que colabora, mas às vezes fala coisas... É a mídia, é o papel, o trabalho deles é o quê? A Brigada passa o que passa e eles passam pra televisão, mas às vezes nem tudo aquilo ali... Às vezes acabam falando coisas que não é. Sempre quem tu vê na televisão: “ah, porque foi preso”, quase sempre não é o culpado. [...] Às vezes eles não sabem e eles falam o que a Brigada diz, o que as pessoas falam, o que o brigadiano fala é o que eles, o que o repórter ouve e fala na televisão. Acaba, às vezes, ofendendo, às vezes, sai daqui nem é aquilo tudo que falaram, né? [...] Às vezes, de repente, a mídia fala o que tá vendo ali, o que o brigadiano falou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tu achas que a mídia colabora pra isso?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Não acredito. Eu acredito que a mídia fala o que a Brigada fala. Quase sempre a Brigada está ali. Então é a Brigada que dá o que aconteceu. Não é, a mídia chega depois. A Brigada é que passa o que aconteceu... A Civil, eles é que passam “aconteceu isso e isso”. Eles chegam, eles não chegam na hora do fato. A mídia chega quando eles já tão na delegacia. Então a Brigada passa o que aconteceu... Se é verdade ou não...</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2</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O que mais influencia eu acredito que seja a televisão, né? Esses jornais, né, que falam muito sobre os presos, né? Isso influencia bastante.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o que tu achas desses jornais a que tu assistes?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Ah, ele faz... Tipo, o Balanço Geral ele faz sensacionalismo... Faz muito sensacionalismo, dos presos, sobre o que acontece aqui dentro da cadeia, tem coisas que ele fala que não é o que acontece.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O que, por exemplo? Tu podes me contar?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Ah, tipo, que nem tavam falando aí duma presa aqui que ela mandava na polícia. Ela não mandava na polícia...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tu achas que esse programa, enfim, ele influencia no andamento das coisas aqui dentro? Como, por exemplo, o caso dessa presa? Mudou alguma coisa?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Mudou, mudou. Por causa que ele tava dando muito em cima, sempre tocando no nome dela, né? E ela foi transferida pra outra cadeia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Vocês acabam assistindo a esse programa porque estão aqui e o que é que vocês pensam? Vocês conversam sobre o programa? Vocês, em algumas coisas, concordam? Como é a análise de vocês?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Ai, a gente... A maioria das vezes, não concorda com o que eles falam, né? Porque, às vezes, tem gente que a gente vê, na TV ele fala uma coisa e daí quando chega aqui a gente fica sabendo da história de ser espancado pela polícia, de apanhar ou de ser enxertado, várias vezes. Tem pessoas que foram enxertadas pela polícia, coisa que a mídia não mostra, não mostra os policiais corruptos que tem... Então é esse tipo de coisa. Daí a gente comenta sobre o que acontece.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3</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 Te dou um exemplo: tem um programa no 2, do Mota, eu não olho. Me recuso a olhar o Mota, sabe? Porque eu tenho o ouvido seletivo, eu só ouço o que eu, o que me, o que é importante, o que não é importante eu deleto, né? E o Mota... O Mota não tem nem certeza se as coisas são do jeito que ele diz, né? Então ele ofende, ele chama a família, todo mundo de vagabundo, de ladrão, de traficante, de não sei o que e na realidade as pessoas, nem é assim. [...] Mas a mídia judia da gente.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 E como é que a senhora entende esse processo de comunicação na sociedade? É mais colaborativo ou negativo?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Não. O processo de informação é muito colaborativo. Imagina, o jornalismo é uma peça fundamental na sociedade, mas o jornalismo bem feito... [...] Tu encontra um monte de gente competente, honesto, preocupado com a informação de verdade, mas tu encontra os Mota da vida, aí, que diz muita verdade, mas diz muita coisa que tá equivocada. Não vou dizer que ele seja mal-intencionado, mas ele tá equivocado com as informações que ele dá. E o que é uma coisa que tu tem que levar em consideração, 70% da audiência dele quem dá são os presos. As TVs ligadas o tempo todo no Mota, né?</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 E por que a senhora acha que esses presos assistem?</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Porque é importante pra eles saber que fulano foi preso, tudo conhecido. [...] Pra eles é importante saber que o amigo, o filho do Zé Anão, Aleijado, não sei o que mais lá, o apelido do, da pessoa que morreu agora, mataram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4</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As vagabunda. Va-va-ga-ga-bun-bun-da-da que eles falam. Como é que eu vejo? Um horror. Eu sou uma que ele me esculachou. “Funcionária pública, com seis filho, com um monte de droga”. É um horror do jeito que ele fala. Hoje mesmo ele chamou uma de vagabunda. Nem viu a cara da guria que foi presa na Restinga, que apareceu no Balanço, que eu vejo todo dia, ao meio dia. Eu achei... Eu acho o jeito que o Mota fala... É... Ele bota nós, assim, lá embaixo. A nossa... A nossa autoestima é lá embaixo. Ele não sabe o motivo que a gente tá presa. O motivo que a gente vai tá presa. O quê? O que a gente... Uma... Outra vai traficar ou vai guardar droga... Não importa, mas é o jeito que ele fala. Ele fala horrível. Ele... Ele esculacha tanto o preso quanto a presa.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O que ele fala?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Ah, ele esculacha. Ele chama a... nós presa de vagabunda, chinelona. E... botou apelido de nós de va-va-ga-ga-bun-bun-da-da e os va... E os homem, os preso os va-va-ga-ga-bun-bun-do-do. Isso aí é um cúmulo. Que isso? Ele tem família. Ele não sabe se... Ele tem filhas, também, filhos, eu acho. Ele não sabe o que vai ser do futuro deles.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vocês assistem ao programa Balanço Geral. Por que vocês assistem? Como é que é?</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Porque a maioria das presas aqui assistem o Balanço Geral. Aqui a gente sabe quem vai tá preso, quem não tá preso, quem vai... Não vai tá. Entendeu? Já vi vários... Tanto da minha... Mesmo a... A minha família indo presa, também. Meu cunhado. Vi... Amigas de lá do condomínio, também, que tá aqui no dois. Que eu sou do E, né? Várias. Amigas. Vários. Ih. Primas, sobrinhas.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Então... Para ver essas pessoas? Para saber notícias...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É. Mais ou menos isso. E ver o que tá acontecendo do dia a dia.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como é que tu vês o sistema prisional... Falaste que o Mota agride com palavras, as pessoas. Mas ele fala a verdade do sistema prisional?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Se eu pudesse dar um tiro na cabeça dele, eu dava. Mas não posso. Como é que eu posso dizer? Aí é só ele, bem dizer. Só ele. Na verdade é só ele. Eu não sei por que que ele faz isso. Não sei por que... Ou é mídia, alguma coisa. Esses tempo agora deu uma reportagem que a vizinha tava brigando não sei... Por causa do vizinho. Aí o brigadiano agredindo... Filmando, filmando. Agredindo a moradora. E daqui a pouquinho ele já desvirtuou. Não sei. Que eu acho que aquele tenente lá, mandou eu acho que ele fechar a boca no comercial, que depois ele já reverteu. Eu digo: “olha aí, ó, o tenente lá de Canoas já mandou...” e a gente tá sabendo até quem manda ele calar a boca. É o tenente lá de Canoas. E mandou ele fechar a boca. Aí ele já mudou a versão do segundo capítulo do Mota.</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quando os jornalistas noticiam os crimes que são cometidos... Quando acontece um homicídio, quando pegam alguém com droga, eles falam a verdade? É o que realmente é?</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Presa 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Ah, às vezes é. Mas muitas vezes não é verdade.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O que tu achas que eles colocam de diferente? Colocam coisas a mais? O que é?</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Ah, eles colocam coisas a mais ou a menos, também, né? Às vezes com... É isso. </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do programa de televisão... Algumas meninas falaram que assistem ao Balanço Geral. Tu gostas de assistir ao Balanço Geral?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 </w:t>
      </w:r>
      <w:r>
        <w:rPr>
          <w:rFonts w:ascii="Times New Roman" w:hAnsi="Times New Roman" w:cs="Times New Roman" w:eastAsia="Times New Roman"/>
          <w:color w:val="auto"/>
          <w:spacing w:val="0"/>
          <w:position w:val="0"/>
          <w:sz w:val="24"/>
          <w:shd w:fill="auto" w:val="clear"/>
        </w:rPr>
        <w:t xml:space="preserve">– Gosto. Apesar de chamarem, fazem horrores, chamam a mulherada de tudo, mas eu gosto de assistir. Às vezes é bem realista, bem verdade tudo, né? Eu gosto do Balanço Geral.</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Tu assistias ao Balanço Geral antes?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Assistia. Assisto. Nunca que eu achei que ia acontecer comigo d’eu parar aqui, aquela coisa toda e vim, né? Eu gosto de assistir.</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 – E disseste que ele fala algumas coisas que não são verdade, chama as mulheres de...</w:t>
      </w: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 – Vagabunda. Isso não é... Às vezes tem muitas ali que tão fazendo porque não tem outra opção. Sei lá. Mas, né... Aí chamam de vagabunda, aquela coisa toda... Cadela. Isso aí já fica pesado.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um universo de mais de quinhentas presas da Penitenciária Feminina Madre Pelletier, cinco delas concederam entrevistas em uma sala de atendimento do setor de assistência social. Uma a uma, elas eram buscadas nas celas da Penitenciária pelos agentes. O tempo de duração das conversas não foi pré-determinado. Assim, buscou-se ouvir livremente as colocações das mulheres entrevistadas sobre o tema em questão.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das entrevistas, observa-se que a média de idade atinge os 39 anos e uma escolaridade de nove anos de estudo, com um número de filhos em torno de cinco, a maioria deixados com suas famílias, fora da prisão. Todas elas demonstram preocupação em tê-los de deixar com outras pessoas, mas referem-se a eles defendendo-os e com certo orgulho. A atual diretora da Penitenciária, Mara Minotto concorda que:</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mulher não abandona os filhos. A mulher tá presa e a grande preocupação dela, e aí o nosso trabalho, o nosso trabalho eu digo aqui, com as mulheres, ele dá pra dizer que se multiplica em relação ao trabalho com os homens, por quê? Porque a mulher tem uma demanda maior. Ela tem uma demanda que ela tem uma preocupação com o filho que ficou na rua, se o filho tá abandonado, se o filho parou de estudar, se o filho tá sendo bem cuidado, enquanto que o homem, quando ele vai preso, o filho ficou sob a responsabilidade da mulher ou, se não, ficou lá (MINOTTO,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presas entrevistadas relatam sentir falta da família e sofrem de abandono, já que as visitas são escassas e nem sempre a família se faz presente. Mara Minotto confirma essa colocação ao dizer que:</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 mulher no sistema prisional sofre mais... [...] ela é mais abandonada... Se tu fizeres uma comparação, aliás, com a Penitenciária Feminina e com o Central, que hoje aqui a gente pode dizer que a Penitenciária Feminina Madre Pelletier é o Central ali. Se tu fores ver o que tem de mulheres pra visitar os homens é absurdamente maior. Mesmo tu comparando a população, que, claro, aqui nós temos uma população de mais de quinhentas mulheres, o Central tem uma população de mais de cinco mil homens, mas mesmo assim tu pode observar essa diferença, que a mulher ela vai mais, ela é mais companheira do homem do que o homem da mulher (MINOTTO,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às famílias, quatro das cinco entrevistadas mencionam o apoio dos seus pais no atendimento aos seus filhos. E entre as cinco mulheres entrevistadas, três estão presas por terem relação com drogas, seja por traficar, guardar ou usar. Uma das presas também afirma ter sido vítima de violência doméstica.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detentas apontam o uso da droga como um dos fatores determinantes para a superlotação da Penitenciária. Segundo elas, a venda da droga abastece o consumo e não gera renda para as mulheres que, frequentemente, são pegas com volumosas quantidades. A abstinência dentro da casa prisional, por sua vez, gera conflitos entre as apenadas. Essas brigas também revelam a existência de lideranças e facções criminosas, que, muitas vezes, exploram as demais encarceradas.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Mara alerta que a situação de risco que a sociedade sofre é um problema antecedente à prisão. Segundo a assistente social:</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antes de ser um problema de segurança é um problema social. É a questão da drogadição, do </w:t>
      </w:r>
      <w:r>
        <w:rPr>
          <w:rFonts w:ascii="Times New Roman" w:hAnsi="Times New Roman" w:cs="Times New Roman" w:eastAsia="Times New Roman"/>
          <w:i/>
          <w:color w:val="auto"/>
          <w:spacing w:val="0"/>
          <w:position w:val="0"/>
          <w:sz w:val="20"/>
          <w:shd w:fill="auto" w:val="clear"/>
        </w:rPr>
        <w:t xml:space="preserve">crack</w:t>
      </w:r>
      <w:r>
        <w:rPr>
          <w:rFonts w:ascii="Times New Roman" w:hAnsi="Times New Roman" w:cs="Times New Roman" w:eastAsia="Times New Roman"/>
          <w:color w:val="auto"/>
          <w:spacing w:val="0"/>
          <w:position w:val="0"/>
          <w:sz w:val="20"/>
          <w:shd w:fill="auto" w:val="clear"/>
        </w:rPr>
        <w:t xml:space="preserve">... Então, assim, ela vem pra cá, mas, o que é feito? Geralmente quem tá aí e que serve, aliás, que entra por tráfico e tudo, essa mulher antes de ser traficante, ela foi usuária e ficou dependente, começou traficar e aí entrou pro sistema por tráfico, só que o problema maior é a dependência e isso aí no sistema não se tem perna, nem lá fora tem e aí entra também uma questão de saúde, e não se trata isso. E aí a solução parece que tá na prisão e não é. O remédio não é a prisão. O remédio é anterior (MINOTTO,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Considerada um castigo doloroso pelas presas, a cadeia apresenta uma variedade imensa de pessoas e crimes. Além disso, de acordo com elas, a estrutura é precária: dentro das galerias ninguém dorme, come ou vive bem e, por isso, prometem não reincidir no crime. Em relação a esses fatores, na mídia, Mara destaca que:</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tem delitos de toda espécie. O que que a gente vê? Meia dúzia sai na mídia e aí foram aqueles casos mais polêmicos. [...] Tem de tudo. Mas o que é divulgado, às vezes? A história de vida delas, o meio que elas viveram, o que elas aprenderam, o que elas puderam dar, não é colocado isso, quando se divulga um fato, que causa uma comoção muito grande na sociedade... É divulgado ou é criado um clima só pra fomentar aquela coisa horrível que aconteceu [...]. Mas não se analisa o que levou àquele fato, às vezes não é divulgado [...]. O que eu vejo: a mídia, às vezes, entra pontual, divulga aquilo ali e depois não retoma mais aquilo (MINOTTO,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detentas têm acesso a um modelo simples de rádio e televisão. Miller (apud ESCOSTEGUY, 2008, p. 82) diz que:</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avassaladora presença da TV no cotidiano das pessoas pode ser medida pelos lugares em que, hoje, é possível encontrar um aparelho. [...] Nem as penitenciárias, onde os indivíduos são privados, parcial ou totalmente, do mundo externo, impedem que as celas tenham televisores.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diretora da Penitenciária destaca que as apenadas recebem informações de fora por diversos meios:</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Acesso elas têm porque tem televisão nas celas. Então isso é permitido. O rádio também é permitido, é um modelo bem simples. É permitido porque, gravador, DVD, essas coisas não, mas o rádio sim. E, às vezes, elas têm muito mais rápido do que a gente. [...] ou pela própria questão do uso do celular. É proibido, mas a gente sabe, a gente tem visto que por mais que se reviste, por mais que cuide, entra algum celular [...] Mas então é uma forma de comunicação. O jornal é mais restrito porque tem algumas coisas que não entram, mas elas têm acesso também a revistas. Inclusive aqui na Penitenciária a gente tem a parte da educação, o NEJA, que é um núcleo e está bem estruturado, tem uma biblioteca bem farta. Então, elas têm bastante material pra estar se desenvolvendo, pra estar sabendo de informações (MINOTTO,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aos programas televisivos assistidos, as detentas dizem que, antes da privação de liberdade, assistiam a telejornais, novelas, programas femininos, esportivos e desenhos animados. Elas afirmam gostar de televisão, pois a partir dela mantêm-se informadas. Além disso, destacam o que mais assistem na Penitenciária: novelas e noticiários, como </w:t>
      </w:r>
      <w:r>
        <w:rPr>
          <w:rFonts w:ascii="Times New Roman" w:hAnsi="Times New Roman" w:cs="Times New Roman" w:eastAsia="Times New Roman"/>
          <w:i/>
          <w:color w:val="auto"/>
          <w:spacing w:val="0"/>
          <w:position w:val="0"/>
          <w:sz w:val="24"/>
          <w:shd w:fill="auto" w:val="clear"/>
        </w:rPr>
        <w:t xml:space="preserve">Balanço Geral</w:t>
      </w:r>
      <w:r>
        <w:rPr>
          <w:rFonts w:ascii="Times New Roman" w:hAnsi="Times New Roman" w:cs="Times New Roman" w:eastAsia="Times New Roman"/>
          <w:color w:val="auto"/>
          <w:spacing w:val="0"/>
          <w:position w:val="0"/>
          <w:sz w:val="24"/>
          <w:shd w:fill="auto" w:val="clear"/>
        </w:rPr>
        <w:t xml:space="preserve"> e </w:t>
      </w:r>
      <w:r>
        <w:rPr>
          <w:rFonts w:ascii="Times New Roman" w:hAnsi="Times New Roman" w:cs="Times New Roman" w:eastAsia="Times New Roman"/>
          <w:i/>
          <w:color w:val="auto"/>
          <w:spacing w:val="0"/>
          <w:position w:val="0"/>
          <w:sz w:val="24"/>
          <w:shd w:fill="auto" w:val="clear"/>
        </w:rPr>
        <w:t xml:space="preserve">Jornal do Almoço </w:t>
      </w:r>
      <w:r>
        <w:rPr>
          <w:rFonts w:ascii="Times New Roman" w:hAnsi="Times New Roman" w:cs="Times New Roman" w:eastAsia="Times New Roman"/>
          <w:color w:val="auto"/>
          <w:spacing w:val="0"/>
          <w:position w:val="0"/>
          <w:sz w:val="24"/>
          <w:shd w:fill="auto" w:val="clear"/>
        </w:rPr>
        <w:t xml:space="preserve">– programas abordados por este estudo.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diretora da Madre Pelletier, no entanto, considera que as presas não têm discernimento em relação ao que é exibido pela mídia. Para ela: </w:t>
      </w:r>
    </w:p>
    <w:p>
      <w:pPr>
        <w:keepLines w:val="true"/>
        <w:spacing w:before="480" w:after="48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é uma população que [...] não tem muita crítica em relação ao que sai, às vezes, na mídia. Não tem muito, porque elas [...] assistem muito a esse programa aí [...] do Balanço Geral, programas mais nessa linha, que é pra mim [...] bem polêmico. É bem no intuito de fomentar aquelas questões bem críticas, eles não aprofundam a notícia [...]. Agora, um Jornal Nacional, um Globo Repórter, uma coisa mais instrutiva não é muito, que sai de comentário (MINOTTO, 2010)</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Porém, o fato de assistirem aos programas não significa que as mulheres aprisionadas consintam o conteúdo e o foco das matérias. Elas reclamam do palavreado chulo utilizado, por exemplo, no programa </w:t>
      </w:r>
      <w:r>
        <w:rPr>
          <w:rFonts w:ascii="Times New Roman" w:hAnsi="Times New Roman" w:cs="Times New Roman" w:eastAsia="Times New Roman"/>
          <w:i/>
          <w:color w:val="auto"/>
          <w:spacing w:val="0"/>
          <w:position w:val="0"/>
          <w:sz w:val="24"/>
          <w:shd w:fill="auto" w:val="clear"/>
        </w:rPr>
        <w:t xml:space="preserve">Balanço Geral.</w:t>
      </w:r>
      <w:r>
        <w:rPr>
          <w:rFonts w:ascii="Times New Roman" w:hAnsi="Times New Roman" w:cs="Times New Roman" w:eastAsia="Times New Roman"/>
          <w:color w:val="auto"/>
          <w:spacing w:val="0"/>
          <w:position w:val="0"/>
          <w:sz w:val="24"/>
          <w:shd w:fill="auto" w:val="clear"/>
        </w:rPr>
        <w:t xml:space="preserve"> Ofensas às famílias e palavras como “vagabundas” e “chinelonas”, são reprovadas pelas presas, que assumem seus crimes, mas preferiam ser tratadas de outra forma na televisão. Apesar de reprovarem a abordagem de tais noticiários, as encarceradas confessam que assistem ao Programa para que possam tomar conhecimento de outras prisões e de diferentes fatos cotidianos.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as entrevistadas, o processo midiático é parte fundamental da sociedade. Entretanto, os jornalistas pecam ao apresentar informações passadas pela polícia, sem uma devida checagem. Segundo elas, algumas vezes, a versão contada na televisão nem sempre é a mesma apresentada pela presa que adentra à casa penal.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observarem-se pontos que chamam a atenção em relação ao papel da televisão e dos telejornais nos processos informativos, compreende-se que os programas jornalísticos contemplam um conjunto de práticas e estratégias comunicacionais que ainda carecem de aprofundamento. No entanto, pode-se depreender que, quanto à divulgação de casos de mulheres em situação de violência, o que falta são abordagens de maior qualidade, visto que o tema está presente nos telenoticiários.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 RESULTADOS DA PESQUISA E DISCUSSÃO E CONCLUSÕES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w:t>
      </w:r>
      <w:r>
        <w:rPr>
          <w:rFonts w:ascii="Times New Roman" w:hAnsi="Times New Roman" w:cs="Times New Roman" w:eastAsia="Times New Roman"/>
          <w:i/>
          <w:color w:val="auto"/>
          <w:spacing w:val="0"/>
          <w:position w:val="0"/>
          <w:sz w:val="24"/>
          <w:shd w:fill="auto" w:val="clear"/>
        </w:rPr>
        <w:t xml:space="preserve">entrevistas semiestruturadas com questionários abertos</w:t>
      </w:r>
      <w:r>
        <w:rPr>
          <w:rFonts w:ascii="Times New Roman" w:hAnsi="Times New Roman" w:cs="Times New Roman" w:eastAsia="Times New Roman"/>
          <w:color w:val="auto"/>
          <w:spacing w:val="0"/>
          <w:position w:val="0"/>
          <w:sz w:val="24"/>
          <w:shd w:fill="auto" w:val="clear"/>
        </w:rPr>
        <w:t xml:space="preserve"> deram voz para cinco detentas da Penitenciária Feminina Madre Pelletier, para o jornalista Daniel Scola e para a assistente social Mara Minotto. Para a contextualização do tema em estudo, realizou-se um levantamento em fontes primárias e secundárias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às observações deste artigo, é possível afirmar que: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 forma diferente dos jornais do final do século XIX, apresentados por Pedro (1999), mas com os mesmos resultados, os telejornais atuais exibem a ridicularização das mulheres, especialmente em situação de violência e criminalidade;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mesmo que o aumento do crime praticado por mulheres tenha sido confirmado pelo jornalista Daniel Scola, é preciso entender o processo social que está na base das considerações, tanto do jornalista quanto da diretora da Penitenciária Feminina Madre Pelletier e dos estudos de Simone de Beauvoir (1980). A independência feminina é um dos fatores explicativos para essa questão. Talvez essa independência parta do pressuposto da subestimação do papel feminino em diferentes âmbitos da sociedade, incluindo-se aqui o fato de as mulheres tornarem-se trabalhadoras no mercado formal. No entanto, a dominação masculina tem se sobreposto desde as histórias bíblicas;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contrariando a afirmação da atual diretora da Penitenciária, as presas entrevistadas criticam as reportagens exibidas nos telejornais a que assistem. Elas assumem os seus delitos, mas preferem que estes sejam divulgados de forma diferente, sem atentar para um palavreado chulo, que ofende a sua moral ou, então, a de sua família. Mesmo reprovando a abordagem dos programas referidos, as detentas afirmam que os assistem com o sentido de se manterem informadas, pois através destes ficam sabendo da legislação penal e da condição de outros presos.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de tais observações, considera-se que é escassa a quantidade de informações acerca do cruzamento “TV, mulheres e sistema prisional”. Considera-se, no entanto, que este estudo inicial possa contribuir com o avanço das pesquisas relacionadas à temática “TV, mulheres e sistema prisional”, a partir do momento em que apresenta substratos básicos.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acredita-se que as novas pesquisas possam estimular os futuros jornalistas na busca de outros enfoques no sentido de qualificar, ainda mais, os conteúdos dos meios de comunicação, especialmente da televisão.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BIBLIOGRÁFICAS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BEAUVOIR,</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Simone de. </w:t>
      </w:r>
      <w:r>
        <w:rPr>
          <w:rFonts w:ascii="Times New Roman" w:hAnsi="Times New Roman" w:cs="Times New Roman" w:eastAsia="Times New Roman"/>
          <w:b/>
          <w:color w:val="000000"/>
          <w:spacing w:val="0"/>
          <w:position w:val="0"/>
          <w:sz w:val="24"/>
          <w:shd w:fill="auto" w:val="clear"/>
        </w:rPr>
        <w:t xml:space="preserve">O Segundo Sexo</w:t>
      </w:r>
      <w:r>
        <w:rPr>
          <w:rFonts w:ascii="Times New Roman" w:hAnsi="Times New Roman" w:cs="Times New Roman" w:eastAsia="Times New Roman"/>
          <w:color w:val="000000"/>
          <w:spacing w:val="0"/>
          <w:position w:val="0"/>
          <w:sz w:val="24"/>
          <w:shd w:fill="auto" w:val="clear"/>
        </w:rPr>
        <w:t xml:space="preserve">. Rio de Janeiro: Nova Fronteira, 1980. 500 p.</w:t>
      </w: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CANTANHÊDE, Eliane. </w:t>
      </w:r>
      <w:r>
        <w:rPr>
          <w:rFonts w:ascii="Times New Roman" w:hAnsi="Times New Roman" w:cs="Times New Roman" w:eastAsia="Times New Roman"/>
          <w:b/>
          <w:color w:val="000000"/>
          <w:spacing w:val="0"/>
          <w:position w:val="0"/>
          <w:sz w:val="24"/>
          <w:shd w:fill="auto" w:val="clear"/>
        </w:rPr>
        <w:t xml:space="preserve">Com todas as mulheres, por todos os seus direitos</w:t>
      </w:r>
      <w:r>
        <w:rPr>
          <w:rFonts w:ascii="Times New Roman" w:hAnsi="Times New Roman" w:cs="Times New Roman" w:eastAsia="Times New Roman"/>
          <w:color w:val="000000"/>
          <w:spacing w:val="0"/>
          <w:position w:val="0"/>
          <w:sz w:val="24"/>
          <w:shd w:fill="auto" w:val="clear"/>
        </w:rPr>
        <w:t xml:space="preserve">. Publicação da Presidência da República - Secretaria Especial de Políticas para as Mulheres, 2010. 206 p.</w:t>
      </w: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FONSECA, Cláudia. In: PRIORE, Mary Del (Org.). </w:t>
      </w:r>
      <w:r>
        <w:rPr>
          <w:rFonts w:ascii="Times New Roman" w:hAnsi="Times New Roman" w:cs="Times New Roman" w:eastAsia="Times New Roman"/>
          <w:b/>
          <w:color w:val="000000"/>
          <w:spacing w:val="0"/>
          <w:position w:val="0"/>
          <w:sz w:val="24"/>
          <w:shd w:fill="auto" w:val="clear"/>
        </w:rPr>
        <w:t xml:space="preserve">História das mulheres no Brasil.</w:t>
      </w:r>
      <w:r>
        <w:rPr>
          <w:rFonts w:ascii="Times New Roman" w:hAnsi="Times New Roman" w:cs="Times New Roman" w:eastAsia="Times New Roman"/>
          <w:color w:val="000000"/>
          <w:spacing w:val="0"/>
          <w:position w:val="0"/>
          <w:sz w:val="24"/>
          <w:shd w:fill="auto" w:val="clear"/>
        </w:rPr>
        <w:t xml:space="preserve"> 5. ed. São Paulo, SP: Contexto, 2001. 678 p.</w:t>
      </w: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GIL, Antonio Carlos. </w:t>
      </w:r>
      <w:r>
        <w:rPr>
          <w:rFonts w:ascii="Times New Roman" w:hAnsi="Times New Roman" w:cs="Times New Roman" w:eastAsia="Times New Roman"/>
          <w:b/>
          <w:color w:val="000000"/>
          <w:spacing w:val="0"/>
          <w:position w:val="0"/>
          <w:sz w:val="24"/>
          <w:shd w:fill="auto" w:val="clear"/>
        </w:rPr>
        <w:t xml:space="preserve">Métodos e técnicas de pesquisa social</w:t>
      </w:r>
      <w:r>
        <w:rPr>
          <w:rFonts w:ascii="Times New Roman" w:hAnsi="Times New Roman" w:cs="Times New Roman" w:eastAsia="Times New Roman"/>
          <w:color w:val="000000"/>
          <w:spacing w:val="0"/>
          <w:position w:val="0"/>
          <w:sz w:val="24"/>
          <w:shd w:fill="auto" w:val="clear"/>
        </w:rPr>
        <w:t xml:space="preserve">. 6. ed. São Paulo, SP: Atlas, 2008. 200 p.</w:t>
      </w: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MILLER, Terena Santana. In: ESCOSTEGUY, Ana Carolina D. (Org.). </w:t>
      </w:r>
      <w:r>
        <w:rPr>
          <w:rFonts w:ascii="Times New Roman" w:hAnsi="Times New Roman" w:cs="Times New Roman" w:eastAsia="Times New Roman"/>
          <w:b/>
          <w:color w:val="000000"/>
          <w:spacing w:val="0"/>
          <w:position w:val="0"/>
          <w:sz w:val="24"/>
          <w:shd w:fill="auto" w:val="clear"/>
        </w:rPr>
        <w:t xml:space="preserve">Comunicação e gênero:</w:t>
      </w:r>
      <w:r>
        <w:rPr>
          <w:rFonts w:ascii="Times New Roman" w:hAnsi="Times New Roman" w:cs="Times New Roman" w:eastAsia="Times New Roman"/>
          <w:color w:val="000000"/>
          <w:spacing w:val="0"/>
          <w:position w:val="0"/>
          <w:sz w:val="24"/>
          <w:shd w:fill="auto" w:val="clear"/>
        </w:rPr>
        <w:t xml:space="preserve"> a aventura da pesquisa. Porto Alegre: EDIPUCRS, 2008. 173 p.</w:t>
      </w: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PEDRO, Joana Maria. In: PRIORE, Mary del (Org.). </w:t>
      </w:r>
      <w:r>
        <w:rPr>
          <w:rFonts w:ascii="Times New Roman" w:hAnsi="Times New Roman" w:cs="Times New Roman" w:eastAsia="Times New Roman"/>
          <w:b/>
          <w:color w:val="000000"/>
          <w:spacing w:val="0"/>
          <w:position w:val="0"/>
          <w:sz w:val="24"/>
          <w:shd w:fill="auto" w:val="clear"/>
        </w:rPr>
        <w:t xml:space="preserve">História das mulheres no Brasil.</w:t>
      </w:r>
      <w:r>
        <w:rPr>
          <w:rFonts w:ascii="Times New Roman" w:hAnsi="Times New Roman" w:cs="Times New Roman" w:eastAsia="Times New Roman"/>
          <w:color w:val="000000"/>
          <w:spacing w:val="0"/>
          <w:position w:val="0"/>
          <w:sz w:val="24"/>
          <w:shd w:fill="auto" w:val="clear"/>
        </w:rPr>
        <w:t xml:space="preserve"> 5. ed. São Paulo, SP: Contexto, 2001. 678 p.</w:t>
      </w: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RAGO, Margareth. In: PRIORE, Mary Del (Org.). </w:t>
      </w:r>
      <w:r>
        <w:rPr>
          <w:rFonts w:ascii="Times New Roman" w:hAnsi="Times New Roman" w:cs="Times New Roman" w:eastAsia="Times New Roman"/>
          <w:b/>
          <w:color w:val="000000"/>
          <w:spacing w:val="0"/>
          <w:position w:val="0"/>
          <w:sz w:val="24"/>
          <w:shd w:fill="auto" w:val="clear"/>
        </w:rPr>
        <w:t xml:space="preserve">História das mulheres no Brasil.</w:t>
      </w:r>
      <w:r>
        <w:rPr>
          <w:rFonts w:ascii="Times New Roman" w:hAnsi="Times New Roman" w:cs="Times New Roman" w:eastAsia="Times New Roman"/>
          <w:color w:val="000000"/>
          <w:spacing w:val="0"/>
          <w:position w:val="0"/>
          <w:sz w:val="24"/>
          <w:shd w:fill="auto" w:val="clear"/>
        </w:rPr>
        <w:t xml:space="preserve"> 5. ed. São Paulo, SP: Contexto, 2001. 678 p.</w:t>
      </w: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48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SOU MULHER E JOGO FUTSAL</w:t>
      </w: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Autora: Patrícia Andrioli </w:t>
        <w:br/>
        <w:t xml:space="preserve">Orientador: André Luiz dos Santos Silva</w:t>
      </w: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Instituição de Ensino: Universidade Feevale</w:t>
      </w: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Mulheres no vestiário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momento é de tensão, estamos concentradas ao mesmo tempo em que brincamos com as companheiras da equipe. Estamos no vestiário nos arrumando para a partida, focando nossa atenção aos detalhes do uniforme, no calçar os meiões e no amarrar dos cadarços. Focamos nossa atenção para tentarmos nos distrair do “frio na barriga” que antecede uma partida. Somos mulheres e jogamos futebol.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Hoje, faço uma analogia entre o início das partidas, quando era jogadora, com o início deste texto. Vejo-me envolta a um grande número de possibilidades de investigação, mas opto novamente por entrar naquele vestiário... Talvez, faço isso com outros olhos e certamente, com outras sensibilidades. Mas apesar do “frio na barriga” gerado pela responsabilidade de construir este texto, sinto-me motivada e ansiosa a entrar logo em quadra.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Abordar a temática “Futebol/Futsal Feminino” já vem há algum tempo ocupando meu interesse e sendo alvo de muitas de minhas indagações, pois, como ex-atleta, pude sentir na pele os estigmas deste esporte que ainda hoje é considerado uma prática esportiva de menor valor. A título de exemplo aponto os tímidos comentários e divulgação sobre as conquistas da Seleção Brasileira nos Jogos Pan-Americanos do Rio de Janeiro em 2007 e no vice-campeonato na Copa do Mundo de 2007.</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Segundo Paim e Strey (2006) as mulheres já conquistaram muitas vitórias e espaços no contexto esportivo. Porém, a situação do preconceito, das barreiras discriminatórias e o desconhecimento da mulher atleta, é ainda, um fato muito comum de ser presenciado.</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prática esportiva feminina já vem de tempos passados, porém somente a partir do século XX que as mulheres conquistaram maior espaço nesse território. Uma das razões para esta conquista foi a participação feminina nos Jogos Olímpicos Modernos, mas apenas na segunda edição, que ocorreu em 1900, e em apenas duas modalidades, golfe e tênis (GOELLNER, 2005a).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volta deste mesmo século, o fortalecimento do corpo feminino através da exercitação física era visto como uma maneira de melhor preparar as mulheres para uma boa maternidade. No entanto, não eram quaisquer atividades que lhes eram aconselhadas. O Futebol, concebido como prática violenta e viril não era recomendado para o corpo feminino </w:t>
      </w:r>
      <w:r>
        <w:rPr>
          <w:rFonts w:ascii="Times New Roman" w:hAnsi="Times New Roman" w:cs="Times New Roman" w:eastAsia="Times New Roman"/>
          <w:color w:val="000000"/>
          <w:spacing w:val="0"/>
          <w:position w:val="0"/>
          <w:sz w:val="24"/>
          <w:shd w:fill="auto" w:val="clear"/>
        </w:rPr>
        <w:t xml:space="preserve">(GOELLNER, 2005a).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dicotomia homem forte/mulher fraca funcionou como uma representação que determinou as expectativas de conduta das mulheres em todos os segmentos sociais. As evidências anatômicas e biológicas entre homens e mulheres, são frutos da cultura que têm associado à ideia da debilidade física às mulheres, e aos homens o termo de “fortaleza” física. As respostas para essas questões envolvem uma série de fatores, que começam pela cultura e se cruzam com sociedade, crenças religiosas e tabus sociais (SIMÕES, KNIJNIK E MACEDO, 2005).</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tensão presente acerca da relação entre mulheres e atividades físicas fez com que, em 1941, o General Newton Cavalcanti apresentasse ao Conselho Nacional de Desportos, subsídios para a elaboração de um documento que oficializou a interdição das mulheres a algumas modalidades, como as lutas, o salto com vara, salto triplo, o pentatlo. Em 1965, o mesmo conselho registrava não ser permitida a prática de lutas de qualquer natureza, Futebol, Futebol de salão, Pólo aquático, Rugby, Halterofilismo e Baseball (GOELLNER, 2005a).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prática profissional do futebol por mais de vinte anos tornou-se um terreno fértil não apenas de adaptações, mas, sobretudo, de indagações, que estão articuladas, não apenas ao futebol, mas, principalmente, à figura feminina num espaço caracterizado como próprio do homem (MASOTTI, 2006).</w:t>
      </w:r>
    </w:p>
    <w:p>
      <w:pPr>
        <w:spacing w:before="0" w:after="0" w:line="360"/>
        <w:ind w:right="0" w:left="0" w:firstLine="851"/>
        <w:jc w:val="both"/>
        <w:rPr>
          <w:rFonts w:ascii="Times New Roman" w:hAnsi="Times New Roman" w:cs="Times New Roman" w:eastAsia="Times New Roman"/>
          <w:color w:val="auto"/>
          <w:spacing w:val="0"/>
          <w:position w:val="0"/>
          <w:sz w:val="24"/>
          <w:shd w:fill="00FFFF" w:val="clear"/>
        </w:rPr>
      </w:pPr>
      <w:r>
        <w:rPr>
          <w:rFonts w:ascii="Times New Roman" w:hAnsi="Times New Roman" w:cs="Times New Roman" w:eastAsia="Times New Roman"/>
          <w:color w:val="auto"/>
          <w:spacing w:val="0"/>
          <w:position w:val="0"/>
          <w:sz w:val="24"/>
          <w:shd w:fill="auto" w:val="clear"/>
        </w:rPr>
        <w:t xml:space="preserve">Goellner (2005a) destaca que as mulheres estão muito presentes no futebol brasileiro. Vão aos estádios, assistem campeonatos, treinam, arbitram jogos, enfim, participam do universo futebolístico. Certamente algumas destas mulheres violam ao que convencionalmente se designou como sendo próprio de seu corpo e de seu comportamento, questionam a hegemonia esportiva masculina historicamente construída e culturalmente assimilada. Outras, no caminho oposto, são atravessadas pelos dizeres normativos, constituem suas feminilidades dentro das práticas reservadas às mulheres. Assim, no e pelo esporte, reafirmam sua feminilidade e sua identidade, exibem sua beleza e espetacularizam seus corpos. </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Vários preconceitos ainda cercam a prática das mulheres nessa modalidade, tais como a associação de sua imagem à homossexualidade ou os perigos do choque da bola para sua saúde reprodutiva (GOELLNER, 2005b). O suor excessivo, o esforço físico, as competições, as rivalidades, os músculos delineados, elementos comuns no universo da cultura física, quando relacionadas à mulher, despertam suspeitas, desestabiliza o solo criado e mantido sob domínio masculino, que segundo a biologia do corpo e do sexo, deveria atestar a superioridade “deles” em relação a “elas” (GOELLNER, 2006).</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é possível afirmar que a presença da mulher no mundo do esporte representa ameaça, porque chama para si a atenção de homens e mulheres, dentro de um universo dominado por valores masculinos colocando em perigo algumas características tidas como constitutivas da sua feminilidade (GOELLNER, 2005b).</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Paim e Strey (2006) afirmam que há uma grande preocupação por parte das mulheres atletas de tornarem público que sua participação no esporte não compromete sua feminilidade. Evidenciam seus símbolos, deixando mais explícitos os traços que culturalmente são identificados como femininos: os cabelos longos, as unhas pintadas, o uso freqüente do batom.</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apelo à beleza das jogadoras e a erotização de seus corpos tem como uma das bases de sustentação, o argumento de que, se as mulheres forem belas, atrairiam público aos estádios, atrairiam, sobretudo, patrocinadores, cuja ausência é um dos grandes problemas do futebol feminino no Brasil (GOELLNER, 2005a).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Masotti (2006) relata que muitas meninas buscam um caminho novo por meio do esporte, como o futebol. As atletas anseiam que a sociedade olhe para elas sem preconceito e discriminação, acreditam que assim se pode construir uma sociedade mais justa que aceite toda e qualquer adversidade existente no esporte como uma forma de crescimento social.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Investida por essas leituras me propus a observar a equipe de Futsal Feminino da Sociedade Esportiva Recreativa e Cultural Chimarrão (SERC Chimarrão). Esta sociedade fica localizada na zona urbana de Estância Velha, uma cidade do interior do Rio Grande do Sul que possui aproximadamente 39 mil habitantes.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clube despertou minha atenção, principalmente, pela qualidade técnica das meninas e pelo grande número de títulos conquistados em campeonatos e torneios de nível regional e nacional. O que se passava ao meu olhar problematizava tudo o que até então havia lido nos textos sobre “Mulher e Esporte” e, mais especificamente sobre “Mulher e Futebol”.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Essas meninas treinam em um clube esportivo de origem alemã, fundado em 1976, onde o futsal feminino está presente desde 1995. Ao assistir um treinamento da equipe fiquei maravilhada.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entrar no ginásio logo me deparei com cinco dirigentes da equipe que estavam reunidos conversando. Eram eles técnico, preparador físico, preparador de goleiras, auxiliar e diretora do departamento feminino. Todos com roupa personalizada do Clube, alguns com camiseta, outros com calça, jaqueta, calção e assim por diante, divulgando a sociedade onde trabalham e demonstrando a organização existente.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estrutura física da equipe é simples. O ginásio encontra-se em condições precárias e não há arquibancada. Porém, em relação aos equipamentos e materiais, possui tudo o que é necessário para a prática do futsal: aproximadamente 20 bolas, diversos cones, jalecos para formar 2 times, arcos, cintos de tração (elásticos), etc.</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adentrar no vestiário, os uniformes estavam sobre os bancos. Camisetas, calções, meiões e tênis aguardando para serem vestidos. Entraram mulheres e saíram atletas, juntas demonstrando a força da equipe, chamando a atenção para os uniformes, os detalhes dos cabelos e a ambição de entrar em quadra.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equipe conta com dois patrocinadores oficiais. As atletas recebem ajuda de custo para jogar; bolsa de estudo, moradia, alimentação diária, transporte, além de uniformes completos e tênis.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olhar para essa equipe e ver toda a estrutura que essas meninas conquistaram fiquei intrigada. Nesse espaço há a participação efetiva da mulher nos setores de organização e direção, o que revela posturas de não submissão e passividade e que, num primeiro olhar, me levou a problematizar as tão faladas barreiras discriminatórias no futsal feminino.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Pelo que foi possível observar na aproximação com o universo dessa equipe somos levados a pensar que essas mulheres buscam distintas formas de se fazer ver, possuem excelência técnica e muito conhecimento tático, o que problematiza o Futsal como esporte apropriado somente para os homens. Essas atletas com seus músculos delineados e excelente preparação física revelam outras possibilidades de construção de feminilidade, colocando em questão as mulheres fisicamente frágeis e debilitadas.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Envolvida por essas questões aponto como objetivo geral deste estudo:</w:t>
      </w:r>
    </w:p>
    <w:p>
      <w:pPr>
        <w:spacing w:before="0" w:after="0" w:line="360"/>
        <w:ind w:right="0" w:left="0" w:firstLine="851"/>
        <w:jc w:val="both"/>
        <w:rPr>
          <w:rFonts w:ascii="Times New Roman" w:hAnsi="Times New Roman" w:cs="Times New Roman" w:eastAsia="Times New Roman"/>
          <w:color w:val="auto"/>
          <w:spacing w:val="0"/>
          <w:position w:val="0"/>
          <w:sz w:val="24"/>
          <w:shd w:fill="00FFFF" w:val="clear"/>
        </w:rPr>
      </w:pPr>
      <w:r>
        <w:rPr>
          <w:rFonts w:ascii="Times New Roman" w:hAnsi="Times New Roman" w:cs="Times New Roman" w:eastAsia="Times New Roman"/>
          <w:color w:val="auto"/>
          <w:spacing w:val="0"/>
          <w:position w:val="0"/>
          <w:sz w:val="24"/>
          <w:shd w:fill="auto" w:val="clear"/>
        </w:rPr>
        <w:t xml:space="preserve">Compreender como mulheres, praticantes de um esporte culturalmente masculino, constituíram uma equipe de destaque e referência nacional.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objetivos específicos: Verificar quais os atributos foram importantes para construção do destaque dessa equipe. Reconstruir, a partir de breve narrativa, sua trajetória histórica. Dar visibilidade aos modos pelos quais as atletas da equipe investigada têm se feito ver.</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color w:val="000000"/>
          <w:spacing w:val="0"/>
          <w:position w:val="0"/>
          <w:sz w:val="24"/>
          <w:shd w:fill="auto" w:val="clear"/>
        </w:rPr>
        <w:t xml:space="preserve">fim de atingir esses objetivos busquei suporte teórico nos Estudos de Gênero (</w:t>
      </w:r>
      <w:r>
        <w:rPr>
          <w:rFonts w:ascii="Times New Roman" w:hAnsi="Times New Roman" w:cs="Times New Roman" w:eastAsia="Times New Roman"/>
          <w:color w:val="auto"/>
          <w:spacing w:val="0"/>
          <w:position w:val="0"/>
          <w:sz w:val="24"/>
          <w:shd w:fill="auto" w:val="clear"/>
        </w:rPr>
        <w:t xml:space="preserve">GOELLNER, 2006; </w:t>
      </w:r>
      <w:r>
        <w:rPr>
          <w:rFonts w:ascii="Times New Roman" w:hAnsi="Times New Roman" w:cs="Times New Roman" w:eastAsia="Times New Roman"/>
          <w:color w:val="000000"/>
          <w:spacing w:val="0"/>
          <w:position w:val="0"/>
          <w:sz w:val="24"/>
          <w:shd w:fill="auto" w:val="clear"/>
        </w:rPr>
        <w:t xml:space="preserve">LOURO, 1997 e 2004; MEYER, 2004; WENETZ, 2005), assim como utilizei a</w:t>
      </w:r>
      <w:r>
        <w:rPr>
          <w:rFonts w:ascii="Times New Roman" w:hAnsi="Times New Roman" w:cs="Times New Roman" w:eastAsia="Times New Roman"/>
          <w:color w:val="auto"/>
          <w:spacing w:val="0"/>
          <w:position w:val="0"/>
          <w:sz w:val="24"/>
          <w:shd w:fill="auto" w:val="clear"/>
        </w:rPr>
        <w:t xml:space="preserve">s ferramentas da história oral como estratégias de coleta de dados. Foram realizadas entrevistas em grupo e individual com membros de relevada importância na constituição da equipe, entre eles, a diretora do departamento de futsal feminino, pioneira e remanescente da equipe até os dias de hoje, Sandra Costa; o treinador da equipe, que esteve presente nos principais títulos, Chicão; a capitã do time Cátia e a fixa Pulga, ambas atletas de repercussão nacional e internacional. Paralelo a isto, utilizei outros tipos de fontes que foram auxiliares no processo de construção do texto, como sites da internet e acervos pessoais de integrantes do grupo (nestes acervos encontrei: recortes de jornais, fotografias e folhetos publicitários). Essas fontes, à medida que agregavam novas informações subsidiaram novas entrevistas.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Bem-vindos a capital do futsal feminino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Estância Velha, uma pequena cidade do interior do RS, consagrou-se “A Capital Gaúcha do Futsal Feminino” em 2002. Após ser hexacampeã estadual, a equipe do Chimarrão recebeu do então prefeito uma placa comemorativa, localizada na entrada da cidade, com os dizeres: “Bem-Vindo a Capital Gaúcha do Futsal Feminino”.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2003, ano de glória para a equipe de Futsal Feminino do SERC Chimarrão. “O Melhor do Brasil” (JORNAL SUPLEMENTO, 06 de jun.2003, capa). Neste ano a equipe já era, pela sétima vez, campeã Gaúcha, foi campeã da Liga Canoense, dos Jogos Abertos do RS, conquistou a Taça JAL Internacional (Intercâmbio entre Brasil e Japão) e sagrou-se Campeã do principal campeonato nacional, a Taça Brasil. Foi neste momento de grandes conquistas, que outro decreto foi oficializando. Seis meses após a inauguração da primeira placa de homenagem ao Chimarrão, Estância Velha não mais era a Capital Gaúcha do Futsal Feminino, mas “A Capital Gaúcha e Brasileira”, decreto esse que lhes rendeu um monumento na entrada da cidade pela RS 239, substituindo a, até então, placa existente. O time reconhecido, inicialmente, apenas no Rio Grande do Sul, passou a ser referência para o Brasil inteiro.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Novamente em 2004... Chimarrão é octacampeão do Gauchão, Bicampeão da Taça Brasil e Bicampeão da Taça JAL Internacional conquistando os mesmos e principais torneios disputados. “Nada pode ser maior, o Chimarrão é Bicampeão da Taça Brasil 2004”, apresenta o Jornal Dinâmico em sua capa (6 de jun. 2004).</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Até este momento, poucos eram os torneios existentes no Brasil, os Estaduais, a Taça Brasil e o JAl Internacional. Foi então que, a Confederação Brasileira de Futebol de Salão (CBFS), em 2005, organizou a Liga Nacional de Futsal Feminino, realizada em Londrina </w:t>
      </w:r>
      <w:r>
        <w:rPr>
          <w:rFonts w:ascii="Times New Roman" w:hAnsi="Times New Roman" w:cs="Times New Roman" w:eastAsia="Times New Roman"/>
          <w:color w:val="000000"/>
          <w:spacing w:val="0"/>
          <w:position w:val="0"/>
          <w:sz w:val="24"/>
          <w:shd w:fill="auto" w:val="clear"/>
        </w:rPr>
        <w:t xml:space="preserve">(PR), tendo presente os dez melhores times do Brasil. O clube da casa Unopar/Londrina/Sercomtel era visto como o favorito pela experiência e por ser a equipe com maior número de participações em competições nacionais promovidas pela CBFS, em todas as categorias. Mas como o Chimarrão vinha entusiasmado e aguerrido com as vitórias dos anos passados conseguiu trazer mais um título para o RS, o de Campeão da I Liga Nacional.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Relembrando esses momentos de alegria, Sandra afirma que tudo valeu a pena. Mulher de destacada importância, foi pioneira da equipe. Segundo ela, tudo começou em 1995 com um grupo de amigas que jogavam futsal em Porto Alegre. Do aluguel de quadras, passaram a jogar também, algumas vezes, no ginásio do Chimarrão, até que certo dia o ecônomo da Sociedade sugeriu que as amigas conversassem com o presidente a fim de uma parceria.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Inicialmente pretendiam apenas da disposição da quadra para treinar, mas como as amigas já tinham certa história estampada em fotografias e recortes de jornais, passaram a almejar algo mais, dando início a uma peregrinação na busca de fardamento.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ideia foi agradando os sócios e a comunidade em geral. Começaram as modificações e ampliações no ginásio e as amigas boleiras deram início a estimada equipe que anos mais tarde viria conquistar todos os títulos possíveis para um time de Futsal Feminino no Brasil.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início as mulheres passaram por dificuldades, sendo mal vistas, principalmente, pelas esposas dos membros da diretoria, que na época era composta somente por homens. Segundo Sandra a primeira tarefa da equipe feminina foi convencer estas esposas que elas realmente só queriam jogar futebol e a segunda era atrair o público para assistir um jogo de Futsal Feminino. Felizmente ambas foram alcançadas e o programa da cidade nos sábados a noite, mais precisamente, às 20h00min passou a ser assistir o Futsal Feminino do Chimarrão.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história do SERC Chimarrão nos aponta que apesar da existência do futebol de campo masculino ser anterior à criação do futsal feminino, nas quadras daquele clube, as mulheres são pioneiras. Motivo este que a equipe merece destaque e reconhecimento. Não foi beleza ou simpatia que as mulheres tiveram que demonstrar para construir esta estimada equipe de hoje, mas sim persistência, força de vontade e, principalmente, muita paixão e habilidade com uma bola de futsal. Essas mulheres não só praticam o futebol como também são premiadas por este, que conforme Goellner (2005a) foi designado culturalmente como um esporte não feminino, concebido como prática violenta e viril, portanto, não recomendado para o corpo de mulher.</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Hoje o futsal feminino é o grande representante da Sociedade Chimarrão, exibindo o nome do clube por todo o Brasil e até mesmo para o exterior. Cabe ressaltar também, que os jogos femininos são os que atraem o maior número de torcedores ao ginásio, já tendo presentes até mil pessoas assistindo uma partida. É aceitável que, no início, como expõe Sandra, muitas pessoas foram assistir aos primeiros jogos por serem mulheres jogando, queriam ver se elas realmente entendiam alguma coisa de futebol. De elemento exótico, as mulheres atletas dessa equipe passaram a atrair as pessoas pela qualidade técnica e pelas muitas vitórias conquistadas.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Chicão, treinador do time, lembra que no início da sua carreira, como técnico de um grupo feminino, em 2001, quase desistiu da função na primeira competição. Iniciou o torneio da Taça Brasil perdendo o primeiro jogo de três a zero, “logo surgiu a ideia de pegar um ônibus e abandonar tudo”, segundo palavras dele.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este resultado, Chicão fez uma intensa reunião com as atletas e, a partir de então, o clima revolveu. O grupo começou a ganhar os jogos e disputou, pela primeira vez, a grande final do campeonato, perdendo este título para a Sabesp (SP) ficando assim com o vice-campeonato. Resultado que veio a se repetir em 2002.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Foi esta demonstração de superação das atletas que fez com que o treinador não desistisse de treinar um grupo feminino e já em 2003, na própria Taça Brasil, disputada em Belém do Pará, a equipe passou a ser a principal representante do Futsal Feminino do País. Foram para a competição sem grandes chances, começaram a vencer e passar para as próximas fases até que chegaram à final, onde iriam enfrentar logo aquela que por duas vezes lhes tirou o título da Taça Brasil, considerado o melhor conjunto do Brasil na época, a Sabesp. Sandra lembra que o calor humano dos moradores da cidade era impressionante, metade do ginásio exclamava em alta voz “Chimarrão, Chimarrão” que, para a tristeza de todos iniciou perdendo por 5 a 1. Quando a outra metade do ginásio começou a apoiar, o até então, “time mais fraco”, que as atletas em quadra incentivadas, conseguiram reverter o placar para 5 a 7, conquistando o primeiro título Brasileiro e levando os torcedores ao delírio. Sandra lembra que,</w:t>
      </w:r>
    </w:p>
    <w:p>
      <w:pPr>
        <w:spacing w:before="0" w:after="0" w:line="360"/>
        <w:ind w:right="0" w:left="22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ginásio quase que veio abaixo, nosso voo era logo depois da final, tinha uma ou duas horas para retornar para o hotel e pegar as coisas, nós tivemos que sair escoltadas do ginásio, puxavam as meninas, arrancavam camiseta, meiões, tênis, brincos [...] Daí fomos para o hotel e os carros atrás da gente, colocavam o braço pra fora abanavam, chegamos no hotel tinha dezenas de pessoas lá, entraram nos quartos, roubaram calcinha das gurias, estávamos descendo com as coisas e a torcida entrava. Demorou a cair a ficha que éramos as melhores do Brasil e ainda mais com o calor humano que tivemos em Belém, foi um momento muito emocionante”.</w:t>
      </w:r>
    </w:p>
    <w:p>
      <w:pPr>
        <w:spacing w:before="0" w:after="0" w:line="360"/>
        <w:ind w:right="0" w:left="2268"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oito anos o Chimarrão conseguiu chegar a seu ápice, continuando essa centralidade, praticamente, até 2005. Porém, conforme relata Sandra: “Chegar ao topo é fácil, se manter é que é difícil”,</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após grandes títulos o Chimarrão perdeu algumas jogadoras de referência, por outro lado, conseguiu preservar outras atletas que continuam no clube até hoje, mesmo recebendo, todo o ano, propostas de outros times do Brasil e do exterior. A base de quadra do Chimarrão vem sendo a mesma há aproximadamente sete anos, o que lhes favorece o entrosamento, contudo, isto também dificulta o trabalho de um grupo, pois os adversários passam a conhecer sua forma de jogar e as principais características das jogadoras. Há de pensar que outras equipes têm se estruturado com treinamentos regulares e sistemáticos, disponibilidade de preparação física, nutricionista, fisioterapeuta, etc. Isso tem possibilitado o avanço técnico e físico do futsal feminino, deixando mais concorridos os jogos.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Futsal feminino, atraindo olhares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futsal feminino no nosso País é um esporte que se encontra em construção, isto é, não apresenta uma estruturação que garanta, por exemplo, a realização sistemática de grande número de competições nacionais e regionais, patrocínio abundante, premiações capazes de garantir uma carreira esportiva sólida, entre outras características de um esporte já legitimado (FIGUEIRA, 2008). Por esta razão, busco alcançar as estratégias construídas pelas atletas do Chimarrão, no sentido de desenvolver mecanismos de visibilidade objetivando posicionarem-se como protagonistas deste esporte, tradicionalmente, masculino. Parto do pressuposto de que, a partir do momento em que elas se fazem ver em diferentes espaços como jornais, sites, torneios, eventos, entre tantos outros, estão, de certa forma, utilizando-se destes mecanismos para se posicionarem. Paralelamente, divulgam e exibem o futsal feminino, atraindo, assim, novos olhares, praticantes, torcedores e principalmente patrocinadores, que são, além de outros fatores, auxiliares para a constituição de uma equipe com estrutura física, verbas para viagens, competições, salários, benefícios para atletas, etc.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1996, depois de uma longa peregrinação em busca de parceria, a equipe formada há um ano, conseguiu seu primeiro e duradouro patrocinador, foi uma grande rede de lojas, muito tradicional e conhecida em toda a cidade de Estância Velha. Com o aumento das conquistas, o número de competições aumentava gradualmente e era necessário acrescer o número de colaboradores. No início de 2003, o Departamento Feminino tentou, sem sucesso, a parceria individual, onde o patrocinador poderia adotar o número de atletas que lhe interessava.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Porém, no terceiro trimestre do mesmo ano, com os expressivos títulos conquistados, o reconhecimento no Brasil inteiro e ainda o decreto de “Capital Gaúcha e Brasileira do Futsal Feminino”, o Chimarrão conseguiu atrair o olhar de uma respeitável empresa, que adotou uma atleta visando aproveitá-la para representar a empresa em eventos sociais e realizar atividades esportivas voltadas aos funcionários. Falamos da atleta Cátia Merlini, um dos destaques do clube pela sua excelência técnica e admiráveis conquistas, além de apresentar muito carisma e desembaraço.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sucesso da parceria com a adoção da atleta Cátia, fez com que no início da temporada de 2004, a mesma empresa expandisse seu envolvimento com o clube, tornando-se mais um colaborador do Departamento Feminino do Chimarrão. Esta parceria continua até hoje e recebe o apoio da Prefeitura Municipal de Estância Velha. Elas se deram pela seriedade e comprometimento com que o grupo trabalha, pela referência e prestígio que alcançaram na cidade, no estado e no país, bem como, pela alegria e orgulho que trazem à população apaixonada de Estância Velha.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constituição destes patrocínios, a meu ver, só foi possível pela evidência do grupo, e me possibilitou perceber o quanto essa visibilidade é crucial para a afirmação do futsal feminino.  Dela depende, em grande medida, a consolidação dos campeonatos, dos patrocínios, dos investimentos públicos, da adesão de novas participantes, das premiações e da valorização das atletas.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contexto observado, as jogadoras alcançaram uma valorização que se difere da realidade de muitos atletas do Futsal masculino do interior do RS. As atletas recebem uma ajuda de custo que varia entre R$ 300,00 para iniciantes até R$ 1.200,00 para as mais experientes; bolsa de estudo, moradia - mas algumas optam por morar em suas casas. Ganham ainda alimentação diária, transporte para viagens, uniformes completos de jogo e de treino, abrigos e tênis.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Sandra, se o Chimarrão não dispusesse destes benefícios não conseguiria manter a equipe que tem hoje, pois muitas atletas são referências nacionais, algumas despontam também no cenário internacional representando a Seleção Brasileira de Futsal. Na última convocação, em 2008, três atletas foram selecionadas Cátia, Pulga e Neguinha.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evidência constituída por estas e outras atletas, faz com que todo início de ano a maior preocupação é se o clube vai ter condições de manter estas jogadoras no Chimarrão, o que narra “ser uma tarefa muito difícil”, pois elas recebem propostas atraentes, principalmente do exterior.</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modos através dos quais as atletas deste grupo vêm ampliando espaços de atuação e de projeção, buscando projetar luz sobre o futsal feminino e sobre si mesmas, são inúmeros. Em 2003, após firmar a parceria, Cátia, buscou uma nova maneira de atrair olhares, criou o projeto “Centro de Iniciação de Futsal Feminino” para meninas de 6 a 16 anos, onde o objetivo era oportunizar as crianças, de diversas classes sociais, momentos de lazer através do futsal, formando cidadãs e atletas.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Atualmente o projeto é divulgado nas escolas da cidade, atinge aproximadamente 200 meninas, que ficam ainda mais eufóricas e motivadas ao saber que as aulas são ministradas pelas atletas do Chimarrão.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por um lado é plausível pensarmos estas escolinhas de futsal como possível celeiro de atletas, devemos considerá-las ainda como possíveis mecanismos de divulgação do futsal feminino e reafirmação da imagem do Chimarrão como equipe referência. As escolinhas permitem que meninas vivenciem o esporte e levem para suas casas, para as ruas, para a escola, a alegria de fazer parte de um clube campeão, publicisando o futsal e o Chimarrão em diferentes cenários.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de se fazerem presentes nos ginásios as atletas participam de diversas atividades na cidade, desde eventos tradicionais como Kerbs e rodeios onde, na maioria das vezes, entregam as premiações aos campeões, até mesmo em atividades sociais, como visita a lares de idosos, doação de brinquedos a crianças do lar municipal, participação em festas da comunidade carente, organização de campanhas de solidariedade arrecadando alimentos, roupas, brinquedos, materiais escolares, enfim, diferentes ações em prol da sociedade estanciense, o que transformou o Chimarrão no “xodó da cidade de Estância Velha" (JORNAL SUPLEMENTO, 12 de nov. 2004, p.07).</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os diversos locais de aparição estão empresas e lojas que contratam as atletas para fazerem divulgação do estabelecimento, Cátia conta que passaram, muitas vezes, os sábados inteiros fazendo “embaixadinhas” em frente às lojas, na própria calçada e recebiam para isso. Como elas se tornaram “fenômenos” para aquele povo não tinha quem não parava para assistir ao “espetáculo”.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esforços, a persistência, os treinamentos, os “tombos”, as aprendizagens, foram importantes para a equipe chegar ao reconhecimento e prestígio adquirido. Com certeza tudo isso foi importante para a construção do Futsal Feminino do Chimarrão que se tornou um orgulho para homens, mulheres, crianças, jovens, idosos de uma cidade inteira.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visibilidade constituída fez com que, em 2003, o time recebesse da Câmara de Vereadores de Estância Velha uma importante homenagem. Em outro momento, no Palácio Piratini, a equipe do Chimarrão recebeu do então governador, Germano Rigotto, medalhas de Mérito Rio-Grandense. Atletas e dirigentes em momento de grande evidência.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Essas mulheres atletas investem na divulgação do esporte, na participação de eventos, no desenvolvimento de escolinhas pedagógicas, na conquista de espaços midiáticos, enfim, em uma série de estratégias visando o reconhecimento e valorização do Futsal feminino no Brasil. Esses modos pelos quais as atletas atraem olhares para e si e para a equipe faz com que elas se articulam numa rede que possibilita condições para se sustentar numa prática, tradicionalmente, masculina e que elas se beneficiam com isso, construindo imagens de heroínas, tanto em quadra como fora delas. Mulheres aguerridas e fortes, com suas conquistas, evidenciam que o Futsal não é só para homens.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Aos vinte e nove do segundo tempo...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estudo nunca acaba! Espero que este seja o pontapé inicial para próximas investigações que tematizem o futebol/futsal feminino com olhares que ultrapassam barreiras, discriminações, questões de gênero e evidenciam a mulher, atleta deste esporte. </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decorrer deste estudo, me pegava nas lembranças de quando era jogadora. Sentia-me envolvida a cada treino, a cada história narrada nas entrevistas, nos jogos assistidos, enfim, estava submersa em meio a incríveis mulheres: fortes, guerreiras, batalhadoras, que sabem jogar futsal e por isso fizeram deste esporte uma modo de vida, de sustento e de realização.</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Entendo que as mulheres desta equipe não são vítimas, mas reverenciadas, vitoriosas e aplaudidas por torcedores alviverdes e por amantes do futsal. Estas meninas, pela excelência técnica e tática, pela constante busca por atrair olhares, pela seriedade trabalhada, pela conquista de expressivos títulos, entre outros mecanismos apresentados do decorrer do estudo, constituíram uma equipe de destaque e referência.</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espaço, as mulheres estão presentes tanto nos setores de organização e direção quanto nas quadras, são representantes do Clube. Mesmo este tendo presente equipes masculinas, estas mulheres conquistaram reconhecimento no Futsal brasileiro, carregando no histórico conquistas admiráveis de âmbito estadual, nacional e internacional; a equipe tornou-se uma referência no esporte e levou Estância Velha à “Capital Gaúcha e Brasileira do Futsal Feminino”. As atletas da equipe em questão buscam distintas formas de se fazer ver em diferentes cenários, criando condições que possibilitam sua permanência na prática desse esporte.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Futsal Feminino do Chimarrão é a alegria da cidade de Estância Velha. A população se orgulha em ser representada por mulheres em meio de um esporte que é a paixão do povo brasileiro. Porém, cabe lembrar, que este é o caso do Chimarrão, em outros contextos, as mulheres ainda têm o acesso dificultado para a prática deste esporte.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Escrever sobre esta equipe me mobilizou a enunciar o que as atletas proclamam a cada ação, que o futsal não é só para homens. Desde o início da constituição do time, as mulheres tiveram que mostrar que eram capazes de realizar aquilo que, para muitos, eram inábeis. Elas não só mostraram ser capazes como tornaram-se exemplos e orgulho para muitos, gravando seu nome na história do Futsal Brasileiro e confirmando que o Futsal é para Mulheres!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24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240" w:line="36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Referências Bibliográficas</w:t>
      </w: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ALMEIDA, Thaís Rodrigues. </w:t>
      </w:r>
      <w:r>
        <w:rPr>
          <w:rFonts w:ascii="Times New Roman" w:hAnsi="Times New Roman" w:cs="Times New Roman" w:eastAsia="Times New Roman"/>
          <w:b/>
          <w:color w:val="auto"/>
          <w:spacing w:val="0"/>
          <w:position w:val="0"/>
          <w:sz w:val="24"/>
          <w:shd w:fill="auto" w:val="clear"/>
        </w:rPr>
        <w:t xml:space="preserve">Fortes, aguerridas e femininas: Um olhar etnográfico sobre as mulheres praticantes de </w:t>
      </w:r>
      <w:r>
        <w:rPr>
          <w:rFonts w:ascii="Times New Roman" w:hAnsi="Times New Roman" w:cs="Times New Roman" w:eastAsia="Times New Roman"/>
          <w:b/>
          <w:i/>
          <w:color w:val="auto"/>
          <w:spacing w:val="0"/>
          <w:position w:val="0"/>
          <w:sz w:val="24"/>
          <w:shd w:fill="auto" w:val="clear"/>
        </w:rPr>
        <w:t xml:space="preserve">rugb</w:t>
      </w:r>
      <w:r>
        <w:rPr>
          <w:rFonts w:ascii="Times New Roman" w:hAnsi="Times New Roman" w:cs="Times New Roman" w:eastAsia="Times New Roman"/>
          <w:b/>
          <w:color w:val="auto"/>
          <w:spacing w:val="0"/>
          <w:position w:val="0"/>
          <w:sz w:val="24"/>
          <w:shd w:fill="auto" w:val="clear"/>
        </w:rPr>
        <w:t xml:space="preserve">y em um Clube de Porto Alegre</w:t>
      </w:r>
      <w:r>
        <w:rPr>
          <w:rFonts w:ascii="Times New Roman" w:hAnsi="Times New Roman" w:cs="Times New Roman" w:eastAsia="Times New Roman"/>
          <w:color w:val="auto"/>
          <w:spacing w:val="0"/>
          <w:position w:val="0"/>
          <w:sz w:val="24"/>
          <w:shd w:fill="auto" w:val="clear"/>
        </w:rPr>
        <w:t xml:space="preserve">. Porto Alegre: 2008. 140 p. Tese (Mestrado em Ciências do Movimento Humano), Escola de Educação Física, UFRGS, 2008.</w:t>
      </w: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FIGUEIRA, Márcia Luiza Machado</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Skate para Meninas: </w:t>
      </w:r>
      <w:r>
        <w:rPr>
          <w:rFonts w:ascii="Times New Roman" w:hAnsi="Times New Roman" w:cs="Times New Roman" w:eastAsia="Times New Roman"/>
          <w:color w:val="auto"/>
          <w:spacing w:val="0"/>
          <w:position w:val="0"/>
          <w:sz w:val="24"/>
          <w:shd w:fill="auto" w:val="clear"/>
        </w:rPr>
        <w:t xml:space="preserve">Modos de se fazer ver em um esporte em construção. Porto Alegre: 2008. 247 p. Tese (Doutorado em Ciências do Movimento Humano), Escola de Educação Física, UFRGS, 2008.</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GOELLNER, Silvana Vilodre.</w:t>
      </w:r>
      <w:r>
        <w:rPr>
          <w:rFonts w:ascii="Times New Roman" w:hAnsi="Times New Roman" w:cs="Times New Roman" w:eastAsia="Times New Roman"/>
          <w:b/>
          <w:color w:val="000000"/>
          <w:spacing w:val="0"/>
          <w:position w:val="0"/>
          <w:sz w:val="24"/>
          <w:shd w:fill="auto" w:val="clear"/>
        </w:rPr>
        <w:t xml:space="preserve"> Mulheres e o futebol no Brasil: entre sombras e visibilidades.</w:t>
      </w:r>
      <w:r>
        <w:rPr>
          <w:rFonts w:ascii="Times New Roman" w:hAnsi="Times New Roman" w:cs="Times New Roman" w:eastAsia="Times New Roman"/>
          <w:color w:val="000000"/>
          <w:spacing w:val="0"/>
          <w:position w:val="0"/>
          <w:sz w:val="24"/>
          <w:shd w:fill="auto" w:val="clear"/>
        </w:rPr>
        <w:t xml:space="preserve"> 2005a. Disponível em &lt;</w:t>
      </w:r>
      <w:hyperlink xmlns:r="http://schemas.openxmlformats.org/officeDocument/2006/relationships" r:id="docRId141">
        <w:r>
          <w:rPr>
            <w:rFonts w:ascii="Times New Roman" w:hAnsi="Times New Roman" w:cs="Times New Roman" w:eastAsia="Times New Roman"/>
            <w:color w:val="000000"/>
            <w:spacing w:val="0"/>
            <w:position w:val="0"/>
            <w:sz w:val="24"/>
            <w:u w:val="single"/>
            <w:shd w:fill="auto" w:val="clear"/>
          </w:rPr>
          <w:t xml:space="preserve">http://www.usp.br/eef/rbefe/v19n22005/v19n2p143.pdf</w:t>
        </w:r>
      </w:hyperlink>
      <w:r>
        <w:rPr>
          <w:rFonts w:ascii="Times New Roman" w:hAnsi="Times New Roman" w:cs="Times New Roman" w:eastAsia="Times New Roman"/>
          <w:color w:val="000000"/>
          <w:spacing w:val="0"/>
          <w:position w:val="0"/>
          <w:sz w:val="24"/>
          <w:shd w:fill="auto" w:val="clear"/>
        </w:rPr>
        <w:t xml:space="preserve">&gt; Acessado em: 30/08/2008.</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Mulher e esporte no Brasil: Entre incentivos e interdições elas fazem história.</w:t>
      </w:r>
      <w:r>
        <w:rPr>
          <w:rFonts w:ascii="Times New Roman" w:hAnsi="Times New Roman" w:cs="Times New Roman" w:eastAsia="Times New Roman"/>
          <w:color w:val="000000"/>
          <w:spacing w:val="0"/>
          <w:position w:val="0"/>
          <w:sz w:val="24"/>
          <w:shd w:fill="auto" w:val="clear"/>
        </w:rPr>
        <w:t xml:space="preserve"> 2005b. Disponível em &lt;</w:t>
      </w:r>
      <w:hyperlink xmlns:r="http://schemas.openxmlformats.org/officeDocument/2006/relationships" r:id="docRId142">
        <w:r>
          <w:rPr>
            <w:rFonts w:ascii="Times New Roman" w:hAnsi="Times New Roman" w:cs="Times New Roman" w:eastAsia="Times New Roman"/>
            <w:color w:val="0000FF"/>
            <w:spacing w:val="0"/>
            <w:position w:val="0"/>
            <w:sz w:val="24"/>
            <w:u w:val="single"/>
            <w:shd w:fill="auto" w:val="clear"/>
          </w:rPr>
          <w:t xml:space="preserve">http://www.revistas.ufg.br/index.php/fef/article/view/106/2275</w:t>
        </w:r>
      </w:hyperlink>
      <w:r>
        <w:rPr>
          <w:rFonts w:ascii="Times New Roman" w:hAnsi="Times New Roman" w:cs="Times New Roman" w:eastAsia="Times New Roman"/>
          <w:color w:val="000000"/>
          <w:spacing w:val="0"/>
          <w:position w:val="0"/>
          <w:sz w:val="24"/>
          <w:shd w:fill="auto" w:val="clear"/>
        </w:rPr>
        <w:t xml:space="preserve">&gt; Acessado em: 30/08/2008.</w:t>
      </w:r>
    </w:p>
    <w:p>
      <w:pPr>
        <w:tabs>
          <w:tab w:val="left" w:pos="1843" w:leader="none"/>
        </w:tabs>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As práticas corporais e esportivas e a produção de corpos generificados</w:t>
      </w:r>
      <w:r>
        <w:rPr>
          <w:rFonts w:ascii="Times New Roman" w:hAnsi="Times New Roman" w:cs="Times New Roman" w:eastAsia="Times New Roman"/>
          <w:color w:val="000000"/>
          <w:spacing w:val="0"/>
          <w:position w:val="0"/>
          <w:sz w:val="24"/>
          <w:shd w:fill="auto" w:val="clear"/>
        </w:rPr>
        <w:t xml:space="preserve">. In: SOARES, Guimar Freitas; SILVA, Méri R. Santos da; RIBEIRO, Regina Costa (Orgs.). </w:t>
      </w:r>
      <w:r>
        <w:rPr>
          <w:rFonts w:ascii="Times New Roman" w:hAnsi="Times New Roman" w:cs="Times New Roman" w:eastAsia="Times New Roman"/>
          <w:b/>
          <w:color w:val="000000"/>
          <w:spacing w:val="0"/>
          <w:position w:val="0"/>
          <w:sz w:val="24"/>
          <w:shd w:fill="auto" w:val="clear"/>
        </w:rPr>
        <w:t xml:space="preserve">Corpo, gênero e sexualidade: problematizando práticas educativas e culturais. </w:t>
      </w:r>
      <w:r>
        <w:rPr>
          <w:rFonts w:ascii="Times New Roman" w:hAnsi="Times New Roman" w:cs="Times New Roman" w:eastAsia="Times New Roman"/>
          <w:color w:val="000000"/>
          <w:spacing w:val="0"/>
          <w:position w:val="0"/>
          <w:sz w:val="24"/>
          <w:shd w:fill="auto" w:val="clear"/>
        </w:rPr>
        <w:t xml:space="preserve">Rio Grande: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FURG, 2006.</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HALL, Stuart. </w:t>
      </w:r>
      <w:r>
        <w:rPr>
          <w:rFonts w:ascii="Times New Roman" w:hAnsi="Times New Roman" w:cs="Times New Roman" w:eastAsia="Times New Roman"/>
          <w:b/>
          <w:color w:val="000000"/>
          <w:spacing w:val="0"/>
          <w:position w:val="0"/>
          <w:sz w:val="24"/>
          <w:shd w:fill="auto" w:val="clear"/>
        </w:rPr>
        <w:t xml:space="preserve">A Identidade cultural na Pós-Modernidade</w:t>
      </w:r>
      <w:r>
        <w:rPr>
          <w:rFonts w:ascii="Times New Roman" w:hAnsi="Times New Roman" w:cs="Times New Roman" w:eastAsia="Times New Roman"/>
          <w:color w:val="000000"/>
          <w:spacing w:val="0"/>
          <w:position w:val="0"/>
          <w:sz w:val="24"/>
          <w:shd w:fill="auto" w:val="clear"/>
        </w:rPr>
        <w:t xml:space="preserve">. Rio de Janeiro: DP&amp;A, 2006.</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LOURO, Guacira Lopes. </w:t>
      </w:r>
      <w:r>
        <w:rPr>
          <w:rFonts w:ascii="Times New Roman" w:hAnsi="Times New Roman" w:cs="Times New Roman" w:eastAsia="Times New Roman"/>
          <w:b/>
          <w:color w:val="000000"/>
          <w:spacing w:val="0"/>
          <w:position w:val="0"/>
          <w:sz w:val="24"/>
          <w:shd w:fill="auto" w:val="clear"/>
        </w:rPr>
        <w:t xml:space="preserve">Gênero, sexualidade e educação: uma perspectiva pós-estruturalista.</w:t>
      </w:r>
      <w:r>
        <w:rPr>
          <w:rFonts w:ascii="Times New Roman" w:hAnsi="Times New Roman" w:cs="Times New Roman" w:eastAsia="Times New Roman"/>
          <w:color w:val="000000"/>
          <w:spacing w:val="0"/>
          <w:position w:val="0"/>
          <w:sz w:val="24"/>
          <w:shd w:fill="auto" w:val="clear"/>
        </w:rPr>
        <w:t xml:space="preserve"> Petrópolis: Vozes, 1997.</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 </w:t>
      </w:r>
      <w:r>
        <w:rPr>
          <w:rFonts w:ascii="Times New Roman" w:hAnsi="Times New Roman" w:cs="Times New Roman" w:eastAsia="Times New Roman"/>
          <w:b/>
          <w:color w:val="000000"/>
          <w:spacing w:val="0"/>
          <w:position w:val="0"/>
          <w:sz w:val="24"/>
          <w:shd w:fill="auto" w:val="clear"/>
        </w:rPr>
        <w:t xml:space="preserve">Um corpo estranho</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ensaio sobre sexualidade e teoria queer</w:t>
      </w:r>
      <w:r>
        <w:rPr>
          <w:rFonts w:ascii="Times New Roman" w:hAnsi="Times New Roman" w:cs="Times New Roman" w:eastAsia="Times New Roman"/>
          <w:color w:val="000000"/>
          <w:spacing w:val="0"/>
          <w:position w:val="0"/>
          <w:sz w:val="24"/>
          <w:shd w:fill="auto" w:val="clear"/>
        </w:rPr>
        <w:t xml:space="preserve">. Belo Horizonte: Autêntica, 2004.</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MASOTTI, Ângela. </w:t>
      </w:r>
      <w:r>
        <w:rPr>
          <w:rFonts w:ascii="Times New Roman" w:hAnsi="Times New Roman" w:cs="Times New Roman" w:eastAsia="Times New Roman"/>
          <w:b/>
          <w:color w:val="000000"/>
          <w:spacing w:val="0"/>
          <w:position w:val="0"/>
          <w:sz w:val="24"/>
          <w:shd w:fill="auto" w:val="clear"/>
        </w:rPr>
        <w:t xml:space="preserve">Mulher</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futebol: </w:t>
      </w:r>
      <w:r>
        <w:rPr>
          <w:rFonts w:ascii="Times New Roman" w:hAnsi="Times New Roman" w:cs="Times New Roman" w:eastAsia="Times New Roman"/>
          <w:color w:val="000000"/>
          <w:spacing w:val="0"/>
          <w:position w:val="0"/>
          <w:sz w:val="24"/>
          <w:shd w:fill="auto" w:val="clear"/>
        </w:rPr>
        <w:t xml:space="preserve">uma dupla que dá certo</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Novo Hamburgo, 2006. 88 p. Monografia de Conclusão do Curso de Educação Física - Feevale, 2006. Disponível em &lt;</w:t>
      </w:r>
      <w:hyperlink xmlns:r="http://schemas.openxmlformats.org/officeDocument/2006/relationships" r:id="docRId143">
        <w:r>
          <w:rPr>
            <w:rFonts w:ascii="Times New Roman" w:hAnsi="Times New Roman" w:cs="Times New Roman" w:eastAsia="Times New Roman"/>
            <w:color w:val="0000FF"/>
            <w:spacing w:val="0"/>
            <w:position w:val="0"/>
            <w:sz w:val="24"/>
            <w:u w:val="single"/>
            <w:shd w:fill="auto" w:val="clear"/>
          </w:rPr>
          <w:t xml:space="preserve">http://ged.feevale.br/bibvirtual/Monografia/MonografiaAngelaMasotti.pdf</w:t>
        </w:r>
      </w:hyperlink>
      <w:r>
        <w:rPr>
          <w:rFonts w:ascii="Times New Roman" w:hAnsi="Times New Roman" w:cs="Times New Roman" w:eastAsia="Times New Roman"/>
          <w:color w:val="000000"/>
          <w:spacing w:val="0"/>
          <w:position w:val="0"/>
          <w:sz w:val="24"/>
          <w:shd w:fill="auto" w:val="clear"/>
        </w:rPr>
        <w:t xml:space="preserve">&gt; Acessado em: 21/06/2008.</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MEYER, Dagmar Estermann. Teorias e políticas de gênero: fragmentos históricos e desafios atuais. </w:t>
      </w:r>
      <w:r>
        <w:rPr>
          <w:rFonts w:ascii="Times New Roman" w:hAnsi="Times New Roman" w:cs="Times New Roman" w:eastAsia="Times New Roman"/>
          <w:b/>
          <w:color w:val="000000"/>
          <w:spacing w:val="0"/>
          <w:position w:val="0"/>
          <w:sz w:val="24"/>
          <w:shd w:fill="auto" w:val="clear"/>
        </w:rPr>
        <w:t xml:space="preserve">Revista Brasileira de Enfermagem, </w:t>
      </w:r>
      <w:r>
        <w:rPr>
          <w:rFonts w:ascii="Times New Roman" w:hAnsi="Times New Roman" w:cs="Times New Roman" w:eastAsia="Times New Roman"/>
          <w:color w:val="000000"/>
          <w:spacing w:val="0"/>
          <w:position w:val="0"/>
          <w:sz w:val="24"/>
          <w:shd w:fill="auto" w:val="clear"/>
        </w:rPr>
        <w:t xml:space="preserve">Brasília, v.57, n.1, p. 13-18, jan./fev. 2004.</w:t>
      </w: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NADA pode ser maior, o Chimarrão é bicampeão da Taça Brasil 2004. </w:t>
      </w:r>
      <w:r>
        <w:rPr>
          <w:rFonts w:ascii="Times New Roman" w:hAnsi="Times New Roman" w:cs="Times New Roman" w:eastAsia="Times New Roman"/>
          <w:b/>
          <w:color w:val="auto"/>
          <w:spacing w:val="0"/>
          <w:position w:val="0"/>
          <w:sz w:val="24"/>
          <w:shd w:fill="auto" w:val="clear"/>
        </w:rPr>
        <w:t xml:space="preserve">O Dinâmico, </w:t>
      </w:r>
      <w:r>
        <w:rPr>
          <w:rFonts w:ascii="Times New Roman" w:hAnsi="Times New Roman" w:cs="Times New Roman" w:eastAsia="Times New Roman"/>
          <w:color w:val="auto"/>
          <w:spacing w:val="0"/>
          <w:position w:val="0"/>
          <w:sz w:val="24"/>
          <w:shd w:fill="auto" w:val="clear"/>
        </w:rPr>
        <w:t xml:space="preserve">Estância velha, capa, jun. 2004.</w:t>
      </w: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MELHOR do Brasil. </w:t>
      </w:r>
      <w:r>
        <w:rPr>
          <w:rFonts w:ascii="Times New Roman" w:hAnsi="Times New Roman" w:cs="Times New Roman" w:eastAsia="Times New Roman"/>
          <w:b/>
          <w:color w:val="auto"/>
          <w:spacing w:val="0"/>
          <w:position w:val="0"/>
          <w:sz w:val="24"/>
          <w:shd w:fill="auto" w:val="clear"/>
        </w:rPr>
        <w:t xml:space="preserve">Suplemento, </w:t>
      </w:r>
      <w:r>
        <w:rPr>
          <w:rFonts w:ascii="Times New Roman" w:hAnsi="Times New Roman" w:cs="Times New Roman" w:eastAsia="Times New Roman"/>
          <w:color w:val="auto"/>
          <w:spacing w:val="0"/>
          <w:position w:val="0"/>
          <w:sz w:val="24"/>
          <w:shd w:fill="auto" w:val="clear"/>
        </w:rPr>
        <w:t xml:space="preserve">Estância Velha, capa, 06 jun. 2003.</w:t>
      </w:r>
    </w:p>
    <w:p>
      <w:pPr>
        <w:keepNext w:val="true"/>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PAIM, Maria Cristina Chimelo; STREY, Marlene Neves</w:t>
      </w:r>
      <w:r>
        <w:rPr>
          <w:rFonts w:ascii="Times New Roman" w:hAnsi="Times New Roman" w:cs="Times New Roman" w:eastAsia="Times New Roman"/>
          <w:b/>
          <w:color w:val="000000"/>
          <w:spacing w:val="0"/>
          <w:position w:val="0"/>
          <w:sz w:val="24"/>
          <w:shd w:fill="auto" w:val="clear"/>
        </w:rPr>
        <w:t xml:space="preserve">. Marcas da violência de gênero contra a mulher no contexto esportivo. </w:t>
      </w:r>
      <w:r>
        <w:rPr>
          <w:rFonts w:ascii="Times New Roman" w:hAnsi="Times New Roman" w:cs="Times New Roman" w:eastAsia="Times New Roman"/>
          <w:color w:val="000000"/>
          <w:spacing w:val="0"/>
          <w:position w:val="0"/>
          <w:sz w:val="24"/>
          <w:shd w:fill="auto" w:val="clear"/>
        </w:rPr>
        <w:t xml:space="preserve">2006. Disponível em &lt;</w:t>
      </w:r>
      <w:hyperlink xmlns:r="http://schemas.openxmlformats.org/officeDocument/2006/relationships" r:id="docRId144">
        <w:r>
          <w:rPr>
            <w:rFonts w:ascii="Times New Roman" w:hAnsi="Times New Roman" w:cs="Times New Roman" w:eastAsia="Times New Roman"/>
            <w:color w:val="000000"/>
            <w:spacing w:val="0"/>
            <w:position w:val="0"/>
            <w:sz w:val="24"/>
            <w:u w:val="single"/>
            <w:shd w:fill="auto" w:val="clear"/>
          </w:rPr>
          <w:t xml:space="preserve">http://www.efdeportes.com/efd103/genero.htm</w:t>
        </w:r>
      </w:hyperlink>
      <w:r>
        <w:rPr>
          <w:rFonts w:ascii="Times New Roman" w:hAnsi="Times New Roman" w:cs="Times New Roman" w:eastAsia="Times New Roman"/>
          <w:color w:val="000000"/>
          <w:spacing w:val="0"/>
          <w:position w:val="0"/>
          <w:sz w:val="24"/>
          <w:shd w:fill="auto" w:val="clear"/>
        </w:rPr>
        <w:t xml:space="preserve">&gt; Acessado em: 18/03/2008.</w:t>
      </w: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PARCERIA de sucesso completa um ano.</w:t>
      </w:r>
      <w:r>
        <w:rPr>
          <w:rFonts w:ascii="Times New Roman" w:hAnsi="Times New Roman" w:cs="Times New Roman" w:eastAsia="Times New Roman"/>
          <w:b/>
          <w:color w:val="auto"/>
          <w:spacing w:val="0"/>
          <w:position w:val="0"/>
          <w:sz w:val="24"/>
          <w:shd w:fill="auto" w:val="clear"/>
        </w:rPr>
        <w:t xml:space="preserve"> Suplemento</w:t>
      </w:r>
      <w:r>
        <w:rPr>
          <w:rFonts w:ascii="Times New Roman" w:hAnsi="Times New Roman" w:cs="Times New Roman" w:eastAsia="Times New Roman"/>
          <w:color w:val="auto"/>
          <w:spacing w:val="0"/>
          <w:position w:val="0"/>
          <w:sz w:val="24"/>
          <w:shd w:fill="auto" w:val="clear"/>
        </w:rPr>
        <w:t xml:space="preserve">, Estância Velha, p. 07, 12 nov. 2004.</w:t>
      </w:r>
    </w:p>
    <w:p>
      <w:pPr>
        <w:spacing w:before="0" w:after="24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PRODANOV, Cleber Cristiano. </w:t>
      </w:r>
      <w:r>
        <w:rPr>
          <w:rFonts w:ascii="Times New Roman" w:hAnsi="Times New Roman" w:cs="Times New Roman" w:eastAsia="Times New Roman"/>
          <w:b/>
          <w:color w:val="000000"/>
          <w:spacing w:val="0"/>
          <w:position w:val="0"/>
          <w:sz w:val="24"/>
          <w:shd w:fill="auto" w:val="clear"/>
        </w:rPr>
        <w:t xml:space="preserve">Manual de metodologia científica. </w:t>
      </w:r>
      <w:r>
        <w:rPr>
          <w:rFonts w:ascii="Times New Roman" w:hAnsi="Times New Roman" w:cs="Times New Roman" w:eastAsia="Times New Roman"/>
          <w:color w:val="000000"/>
          <w:spacing w:val="0"/>
          <w:position w:val="0"/>
          <w:sz w:val="24"/>
          <w:shd w:fill="auto" w:val="clear"/>
        </w:rPr>
        <w:t xml:space="preserve">3. ed. Novo Hamburgo: Feevale, 2006.</w:t>
      </w: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SIMÕES, Antônio Carlos; KNIJNIK, Jorge Dorfman; MACEDO, Líbia Lender. </w:t>
      </w:r>
      <w:r>
        <w:rPr>
          <w:rFonts w:ascii="Times New Roman" w:hAnsi="Times New Roman" w:cs="Times New Roman" w:eastAsia="Times New Roman"/>
          <w:b/>
          <w:color w:val="000000"/>
          <w:spacing w:val="0"/>
          <w:position w:val="0"/>
          <w:sz w:val="24"/>
          <w:shd w:fill="auto" w:val="clear"/>
        </w:rPr>
        <w:t xml:space="preserve">O ser mulher no esporte de competição: a mulher e a busca dos limites no esporte</w:t>
      </w:r>
      <w:r>
        <w:rPr>
          <w:rFonts w:ascii="Times New Roman" w:hAnsi="Times New Roman" w:cs="Times New Roman" w:eastAsia="Times New Roman"/>
          <w:b/>
          <w:color w:val="auto"/>
          <w:spacing w:val="0"/>
          <w:position w:val="0"/>
          <w:sz w:val="24"/>
          <w:shd w:fill="auto" w:val="clear"/>
        </w:rPr>
        <w:t xml:space="preserve"> de rendimento</w:t>
      </w:r>
      <w:r>
        <w:rPr>
          <w:rFonts w:ascii="Times New Roman" w:hAnsi="Times New Roman" w:cs="Times New Roman" w:eastAsia="Times New Roman"/>
          <w:color w:val="auto"/>
          <w:spacing w:val="0"/>
          <w:position w:val="0"/>
          <w:sz w:val="24"/>
          <w:shd w:fill="auto" w:val="clear"/>
        </w:rPr>
        <w:t xml:space="preserve">. 2005. Disponível em &lt;</w:t>
      </w:r>
      <w:hyperlink xmlns:r="http://schemas.openxmlformats.org/officeDocument/2006/relationships" r:id="docRId145">
        <w:r>
          <w:rPr>
            <w:rFonts w:ascii="Times New Roman" w:hAnsi="Times New Roman" w:cs="Times New Roman" w:eastAsia="Times New Roman"/>
            <w:color w:val="0000FF"/>
            <w:spacing w:val="0"/>
            <w:position w:val="0"/>
            <w:sz w:val="24"/>
            <w:u w:val="single"/>
            <w:shd w:fill="auto" w:val="clear"/>
          </w:rPr>
          <w:t xml:space="preserve">http://www.mesquitaonline.com.br/artigos.phd</w:t>
        </w:r>
      </w:hyperlink>
      <w:r>
        <w:rPr>
          <w:rFonts w:ascii="Times New Roman" w:hAnsi="Times New Roman" w:cs="Times New Roman" w:eastAsia="Times New Roman"/>
          <w:color w:val="auto"/>
          <w:spacing w:val="0"/>
          <w:position w:val="0"/>
          <w:sz w:val="24"/>
          <w:shd w:fill="auto" w:val="clear"/>
        </w:rPr>
        <w:t xml:space="preserve">&gt; Acessado em: 09/03/2008.</w:t>
      </w:r>
    </w:p>
    <w:p>
      <w:pPr>
        <w:spacing w:before="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WENETZ, Ileana. </w:t>
      </w:r>
      <w:r>
        <w:rPr>
          <w:rFonts w:ascii="Times New Roman" w:hAnsi="Times New Roman" w:cs="Times New Roman" w:eastAsia="Times New Roman"/>
          <w:b/>
          <w:color w:val="auto"/>
          <w:spacing w:val="0"/>
          <w:position w:val="0"/>
          <w:sz w:val="24"/>
          <w:shd w:fill="auto" w:val="clear"/>
        </w:rPr>
        <w:t xml:space="preserve">Gênero e Sexualidade nas Brincadeiras do Recreio</w:t>
      </w:r>
      <w:r>
        <w:rPr>
          <w:rFonts w:ascii="Times New Roman" w:hAnsi="Times New Roman" w:cs="Times New Roman" w:eastAsia="Times New Roman"/>
          <w:color w:val="auto"/>
          <w:spacing w:val="0"/>
          <w:position w:val="0"/>
          <w:sz w:val="24"/>
          <w:shd w:fill="auto" w:val="clear"/>
        </w:rPr>
        <w:t xml:space="preserve">. Porto Alegre: 2005. 204 p. Tese (Mestrado em Ciências do Movimento Humano) - Escola de Educação Física, UFRGS, 2005.</w:t>
      </w:r>
    </w:p>
    <w:p>
      <w:pPr>
        <w:keepNext w:val="true"/>
        <w:spacing w:before="0" w:after="12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69" w:after="0" w:line="240"/>
        <w:ind w:right="1665" w:left="1654"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MULHERES, TABUS, MENSTRUAÇÃO E MÍDIA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480"/>
        <w:ind w:right="2027" w:left="2016" w:hanging="2"/>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Autora: Cláudia Figueiredo Modesto (PPGCom Comunicação e Sociedade – UFJF)</w:t>
      </w:r>
    </w:p>
    <w:p>
      <w:pPr>
        <w:spacing w:before="10" w:after="0" w:line="240"/>
        <w:ind w:right="140" w:left="1827"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Professor-orientador: Márcio de Oliveira Guerra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140" w:left="1181"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11"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Definir o que representa ser o verdadeiro perfil identitário da mulher contemporânea, na verdade, só pode ser compreendido à luz das representações do ser feminino através dos anos, ou seja, é um processo que perpassa por construções históricas ao longo do tempo do que significa ser mulher.</w:t>
      </w:r>
    </w:p>
    <w:p>
      <w:pPr>
        <w:spacing w:before="10" w:after="0" w:line="480"/>
        <w:ind w:right="108"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conceito de identidade feminina é uma construção cultural, que assume diferentes entendimentos nas sociedades. Segundo Beauvoir (1960), “não se nasce mulher, torna-se mulher”. Portanto, o processo de “tornar-se mulher” é permeado por construções sócio-culturais de determinadas sociedades.</w:t>
      </w:r>
    </w:p>
    <w:p>
      <w:pPr>
        <w:spacing w:before="10" w:after="0" w:line="480"/>
        <w:ind w:right="109"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das características mais marcantes que difere o masculino do feminino entre os seres humanos é a potencialidade gestacional da mulher e, portanto, o ciclo reprodutivo feminino onde a menstruação está incluída. Em antigas civilizações, este ciclo não era entendido e, portanto, o sangue expelido recebeu significados atribuídos ao oculto, ao ininteligível, mágico e até sagrado. Tais significados, traduzidos nas sociedades atuais como mitos, tabus e mesmo preconceito, atravessaram diversas gerações através da oralidade, daquilo que se narrava, que se contava. Movida por interesse particular em investigar como mulheres jovens, em idade fértil, tratam a própria menstruação, esta pesquisa se debruçou em identificar quais são as identidades construídas por aquilo que se narra em sociedade e na mídia.</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52" w:after="0" w:line="240"/>
        <w:ind w:right="140" w:left="1181"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09"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objetivos gerais desta pesquisa foram investigar como a identidade da mulher menstruada é construída pelos discursos sociais e midiáticos. O objetivo específico foi perceber qual a percepção feminina a respeito da menstruação.</w:t>
      </w:r>
    </w:p>
    <w:p>
      <w:pPr>
        <w:spacing w:before="15" w:after="0" w:line="240"/>
        <w:ind w:right="140" w:left="1181"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09"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chegar aos resultados desta pesquisa, foi feito um resgate bibliográfico sobre o tema, proporcionando, ainda, o entendimento da forma como as civilizações concebiam a menstruação. Este trabalho manteve interface com conceitos de identidade e mídia, pertinentes aos estudos culturais e midiáticos do final do século 20 e início do século 21, a fim de perceber qual a identidade construída ou reforçada pela mídia em relação à menstruação e ao corpo feminino menstruado.</w:t>
      </w:r>
    </w:p>
    <w:p>
      <w:pPr>
        <w:spacing w:before="10" w:after="0" w:line="480"/>
        <w:ind w:right="109"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Realizou-se ainda uma pesquisa quantitativa através de um questionário estruturado fechado, com jovens universitárias, com idades entre 20 e 29 anos. Foram entrevistadas um total de 100 (cem) estudantes dos cursos de Comunicação Social, Enfermagem, Biomedicina e Educação Física, na cidade de Juiz de Fora, Minas Gerais, entre os dias 1° e 03 de setembro de 2010. Os resultados apontam para a flexibilização de antigos tabus e preconceitos entre mulheres desta faixa etária, porém ainda com uma carga negativa em relação ao sangue menstrual.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numPr>
          <w:ilvl w:val="0"/>
          <w:numId w:val="3675"/>
        </w:numPr>
        <w:tabs>
          <w:tab w:val="left" w:pos="1362" w:leader="none"/>
        </w:tabs>
        <w:spacing w:before="0" w:after="0" w:line="240"/>
        <w:ind w:right="0" w:left="1361" w:hanging="18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Identidade</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09"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Sabe-se, através dos autores que trabalham com o conceito de identidade, como Canclini, Kellner, Castells, Silva, Bauman e Hall, que as identidades são construídas a partir de algo que se narra. Esses sentidos estão contidos em histórias, memórias e imagens que servem de referências, de nexos para a constituição de uma identidade. </w:t>
      </w:r>
    </w:p>
    <w:p>
      <w:pPr>
        <w:spacing w:before="0" w:after="0" w:line="480"/>
        <w:ind w:right="109" w:left="101" w:firstLine="1080"/>
        <w:jc w:val="both"/>
        <w:rPr>
          <w:rFonts w:ascii="Times New Roman" w:hAnsi="Times New Roman" w:cs="Times New Roman" w:eastAsia="Times New Roman"/>
          <w:color w:val="auto"/>
          <w:spacing w:val="0"/>
          <w:position w:val="0"/>
          <w:sz w:val="24"/>
          <w:shd w:fill="auto" w:val="clear"/>
        </w:rPr>
      </w:pPr>
    </w:p>
    <w:p>
      <w:pPr>
        <w:spacing w:before="0" w:after="0" w:line="480"/>
        <w:ind w:right="109"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isso, a discussão em torno da identidade acaba influenciada por questões sobre: lugar, gênero, raça, história, nacionalidade, orientação sexual, crença religiosa e etnia.</w:t>
      </w:r>
    </w:p>
    <w:p>
      <w:pPr>
        <w:spacing w:before="10" w:after="0" w:line="480"/>
        <w:ind w:right="108"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percepção individual ou coletiva da identidade, a cultura exerce um  papel principal para delimitar as diversas personalidades, os padrões de conduta e ainda as características próprias de cada grupo humano. No passado, as identidades eram fixas, conservadas, essenciais e permanentes. Era estabelecido que as pessoas que habitavam certo espaço teriam uma só cultura homogênea e uma só identidade. A cultura se formaria, de acordo com Canclini (1995), em relação a um território e se organizaria em função de coleções de objetos, textos e rituais. A identidade era espacialmente delimitada, de modo que a língua, objetos e costumes diferenciariam uns dos outros de forma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nítida.</w:t>
      </w:r>
    </w:p>
    <w:p>
      <w:pPr>
        <w:spacing w:before="10" w:after="0" w:line="480"/>
        <w:ind w:right="108"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Porém, as mono-identidades foram dissolvidas dando lugar às múltiplas identidades. Este processo é uma das consequências da globalização, que vem ganhando espaço nos estudos contemporâneos e dividindo opiniões. "Para o bem ou para o mal, somos impelidos rumo a uma nova ordem global que ninguém compreende plenamente, mas cujos efeitos se fazem sentir sobre todos nós: a globalização" (GIDDENS, 2000, p.5).</w:t>
      </w:r>
    </w:p>
    <w:p>
      <w:pPr>
        <w:spacing w:before="10" w:after="0" w:line="480"/>
        <w:ind w:right="111"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Stuart Hall (2006) uma identidade cultural enfatiza aspectos relacionados a nossa pertença a culturas étnicas, raciais, linguísticas, religiosas, regionais e/ou nacionais. No entanto, a modernidade propicia a fragmentação da identidade. Desta forma, de acordo com o autor, as paisagens culturais de  classe, gênero, sexualidade, etnia, raça e nacionalidade não mais fornecem localizações sólidas para os indivíduos. </w:t>
      </w:r>
    </w:p>
    <w:p>
      <w:pPr>
        <w:spacing w:before="10" w:after="0" w:line="480"/>
        <w:ind w:right="111" w:left="101" w:firstLine="1132"/>
        <w:jc w:val="both"/>
        <w:rPr>
          <w:rFonts w:ascii="Times New Roman" w:hAnsi="Times New Roman" w:cs="Times New Roman" w:eastAsia="Times New Roman"/>
          <w:color w:val="auto"/>
          <w:spacing w:val="0"/>
          <w:position w:val="0"/>
          <w:sz w:val="24"/>
          <w:shd w:fill="auto" w:val="clear"/>
        </w:rPr>
      </w:pPr>
    </w:p>
    <w:p>
      <w:pPr>
        <w:spacing w:before="10" w:after="0" w:line="480"/>
        <w:ind w:right="111" w:left="101" w:firstLine="1132"/>
        <w:jc w:val="both"/>
        <w:rPr>
          <w:rFonts w:ascii="Times New Roman" w:hAnsi="Times New Roman" w:cs="Times New Roman" w:eastAsia="Times New Roman"/>
          <w:color w:val="auto"/>
          <w:spacing w:val="0"/>
          <w:position w:val="0"/>
          <w:sz w:val="24"/>
          <w:shd w:fill="auto" w:val="clear"/>
        </w:rPr>
      </w:pPr>
    </w:p>
    <w:p>
      <w:pPr>
        <w:spacing w:before="10" w:after="0" w:line="480"/>
        <w:ind w:right="111"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que existe agora é descentramento, deslocamentos e ausência de referentes fixos ou sólidos para as identidades. Canclini (1995, p. 129) afirma que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“hoje, a identidade é poliglota, multiétnica, migrante e feita com elementos mesclados de várias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culturas”.</w:t>
      </w:r>
    </w:p>
    <w:p>
      <w:pPr>
        <w:spacing w:before="10" w:after="0" w:line="480"/>
        <w:ind w:right="110"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antes as identidades eram construídas com base na cultura, nas artes, nos costumes, nos objetos, na língua, no lugar, nas imagens e nos rituais; na atualidade elas são forjadas, principalmente pelos meios de comunicação de massa, ou seja, pela cultura da mídia. “A cultura veiculada pela mídia modela a vida cotidiana e fornece material com que as pessoas forjam suas identidades” (KELLNER, 2001, p. 9).</w:t>
      </w:r>
    </w:p>
    <w:p>
      <w:pPr>
        <w:spacing w:before="10" w:after="0" w:line="480"/>
        <w:ind w:right="109"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Kellner (2001) explica que a cultura da mídia fornece materiais com os quais muitas pessoas constroem seu senso de classe, etnia, raça, nacionalidade, sexualidade, de “nós” e “eles”. A cultura da mídia define valores de bom e  mau, positivo e negativo, moral e imoral. As narrativas e imagens veiculadas fornecem símbolos e mitos que ajudam a constituir modelos para a maioria das pessoas em várias regiões do mundo. A cultura veiculada pela mídia ajuda a criar identidades pelas quais os indivíduos se inserem nas sociedades. A mídia fornece modelos daquilo que significa ser homem ou mulher, bem sucedido ou fracassado, poderoso ou</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impotente.</w:t>
      </w:r>
    </w:p>
    <w:p>
      <w:pPr>
        <w:spacing w:before="10" w:after="0" w:line="480"/>
        <w:ind w:right="109"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entando, para tentar identificar a identidade feminina no período atual, é necessário fazer uma descrição sobre a evolução do conceito do que é ser mulher em cada momento da história do Brasil e do mundo. Bittar e Eufrásio (2008) analisam que a noção de identidade se refere às características da personalidade do gênero humano, que de modo geral pode ser conceituada como um conjunto de características de um indivíduo que vão se construindo mediante as transformações histórico-sociais e culturais no âmbito da sociedade. Compõem esta identidade os valores subjetivos do sujeito, suas características pessoais, étnicas até sua sexualidade. </w:t>
      </w:r>
    </w:p>
    <w:p>
      <w:pPr>
        <w:spacing w:before="10" w:after="0" w:line="480"/>
        <w:ind w:right="109"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possível haver, ainda, uma identidade individual ou coletiva, falsa ou verdadeira, forjada ou real, presumida ou ideal, perdida ou</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resgatada.</w:t>
      </w:r>
    </w:p>
    <w:p>
      <w:pPr>
        <w:spacing w:before="48" w:after="0" w:line="480"/>
        <w:ind w:right="110"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resgate histórico parte da proposta de não só tentar identificar a identidade da mulher ocidental, mas também daquelas que aqui primeiro habitavam antes da chegada dos colonizadores.</w:t>
      </w:r>
    </w:p>
    <w:p>
      <w:pPr>
        <w:numPr>
          <w:ilvl w:val="0"/>
          <w:numId w:val="3683"/>
        </w:numPr>
        <w:tabs>
          <w:tab w:val="left" w:pos="1415" w:leader="none"/>
        </w:tabs>
        <w:spacing w:before="15" w:after="0" w:line="240"/>
        <w:ind w:right="0" w:left="1414" w:hanging="18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Menstruação</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08"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menstruação exerce um papel fundamental na nossa existência. Ela é o fenômeno fisiológico do período fértil da mulher, que ocorre caso não se dê a fecundação do óvulo, permitindo a eliminação periódica do endométrio uterino (ou mucosa uterina). Neste processo dá-se o rompimento de alguns vasos sanguíneos o que leva a que ocorra também um sangramento. O óvulo não é eliminado juntamente com o endométrio, ele permanece na tuba uterina e se degenera após um tempo se esse não for fecundado. Em condições normais e não havendo nada que impeça os ciclos femininos, este fenômeno ocorre em média de 28 em 28 dias e tem uma duração de três a cinco dias.</w:t>
      </w:r>
    </w:p>
    <w:p>
      <w:pPr>
        <w:spacing w:before="10" w:after="0" w:line="480"/>
        <w:ind w:right="108" w:left="101" w:firstLine="107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sangue é um elemento fundamental de vida e está presente em momentos importantes da existência humana, como no nascimento e, muitas vezes, na morte. Por causa disso, tornou-se elemento vital e sagrado ao homem, fazendo parte, em diversas civilizações, de rituais mágicos e de relacionamento com deuses a espíritos. “Esta conotação de vida e morte, de sagrado, mágico e misterioso deu ao sangue um poderoso significado que atravessa o tempo” (GASPERINI, 1999, p. 156). E, por causa do sangramento mensal, a mulher assumiu, “através da história, papéis os mais diversos: vidente, conselheira, bruxa, feiticeira e, atualmente, é considerada, senão uma coitada, pelo menos alguém que sofre de um incômodo” (Idem, p. 157).</w:t>
      </w:r>
    </w:p>
    <w:p>
      <w:pPr>
        <w:spacing w:before="11" w:after="0" w:line="240"/>
        <w:ind w:right="111"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Esta visão da menstruação como algo desagradável e limitante impede que  as mulheres vivam plenamente sua sexualidade e sua feminilidade. Hoje o significado original de poder mágico e misterioso do sangue menstrual modificou-se. Entretanto, prevalece, ainda, a idéia de que a menstruação é impura, atrapalha e deve ser mantida em sigilo. (GASPERINI, 1999, p.</w:t>
      </w:r>
      <w:r>
        <w:rPr>
          <w:rFonts w:ascii="Times New Roman" w:hAnsi="Times New Roman" w:cs="Times New Roman" w:eastAsia="Times New Roman"/>
          <w:color w:val="auto"/>
          <w:spacing w:val="-3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156)</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2" w:after="0" w:line="240"/>
        <w:ind w:right="140" w:left="1181"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2.1 - A menstruação na história</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10"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menstruação era um fenômeno incompreensível e inexplicável, que gerava temor e, portanto, incorporou-se ao terreno do desconhecido, da magia, da feitiçaria e da alquimia. Esta noção encontra-se relatada em várias civilizações pelo mundo.</w:t>
      </w:r>
    </w:p>
    <w:p>
      <w:pPr>
        <w:spacing w:before="11" w:after="0" w:line="240"/>
        <w:ind w:right="111"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pré-história o sangue menstrual aparece como algo mágico e místico. As mulheres, e somente elas, em determinado período de suas vidas, eram possuidoras de algo que fluía espontaneamente durante alguns dias e, inexplicavelmente, não as deixava fracas, não era doloroso e muito menos mortal. (GASPERINI, 1999, p. 156)</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7"/>
          <w:shd w:fill="auto" w:val="clear"/>
        </w:rPr>
      </w:pPr>
    </w:p>
    <w:p>
      <w:pPr>
        <w:spacing w:before="0" w:after="0" w:line="480"/>
        <w:ind w:right="111"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antigüidade, judeus e pagãos acreditavam que o sangue menstrual era venenoso. Plínio, “o velho” (79 DC, apud GASPERINI, 1999, p. 157), em seu tratado  de História Natural, diz que a simples presença de uma mulher menstruada levaria o vinho novo a azedar, as sementes a se tornarem estéreis, os frutos a caírem das árvores e as plantas do jardim a murcharem. Segundo ele, o fluido menstrual podia embotar uma lâmina de aço, matar um enxame de abelhas, enferrujar instantaneamente o ferro e o latão pelo odor ofensivo e, se, por acaso, os cães provassem do mesmo, enlouqueceriam e sua mordida seria venenosa 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incurável.</w:t>
      </w:r>
    </w:p>
    <w:p>
      <w:pPr>
        <w:spacing w:before="10" w:after="0" w:line="480"/>
        <w:ind w:right="109"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muitas civilizações, a mulher permanecia isolada durante o período menstrual. Não se devia vê-la e nem tocá-la, nem ela própria devia tocar-se ou tocar os alimentos. Era proibida de comer. Em alguns casos, a mãe ou a irmã, por meio de um instrumento, alimentavam a menina menstruada.</w:t>
      </w:r>
    </w:p>
    <w:p>
      <w:pPr>
        <w:spacing w:before="10" w:after="0" w:line="480"/>
        <w:ind w:right="110"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da história, as mulheres sempre foram ensinadas a dissimularem cuidadosamente seu sangue menstrual. O coito também era proibido neste período, sob pena do homem ser “contaminado”.</w:t>
      </w:r>
    </w:p>
    <w:p>
      <w:pPr>
        <w:spacing w:before="11" w:after="0" w:line="240"/>
        <w:ind w:right="110"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o mostres à tua mãe, ela morreria. Não o mostres às tuas companheiras, pode haver uma maldosa que se aposse do pano com que to enxugaste e teu casamento seria estéril. Não o mostres a uma mulher má que pegará o pano e colocará em cima de sua cabana... e não poderás mais ter filhos. Não jogues o pano no atalho nem no mato. Uma pessoa ruim pode fazer coisas feias  com ele. Enterra-o no chão. Dissimula o sangue aos olhos de teu pai, de</w:t>
      </w:r>
      <w:r>
        <w:rPr>
          <w:rFonts w:ascii="Times New Roman" w:hAnsi="Times New Roman" w:cs="Times New Roman" w:eastAsia="Times New Roman"/>
          <w:color w:val="auto"/>
          <w:spacing w:val="2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teus</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49" w:after="0" w:line="240"/>
        <w:ind w:right="113"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irmãos e de tuas irmãs. Deixá-lo ver é um pecado. (LÉVI-STRAUSS, apud BEAUVOIR, [s/d], p. 191).</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10"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primitivos costumes dos índios brasileiros e africanos mandavam que as moças prestes a menstruar fossem isoladas numa cabana especial. Depois de terminada  a menstruação, seus corpos eram pintados e, com cantos e danças rituais, elas eram aceitas na comunidade feminina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adulta.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0" w:after="0" w:line="240"/>
        <w:ind w:right="140" w:left="1181"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2.1.1 – Índias brasileiras, gênero e menstruação</w:t>
      </w:r>
    </w:p>
    <w:p>
      <w:pPr>
        <w:spacing w:before="6" w:after="0" w:line="240"/>
        <w:ind w:right="0" w:left="0" w:firstLine="0"/>
        <w:jc w:val="left"/>
        <w:rPr>
          <w:rFonts w:ascii="Times New Roman" w:hAnsi="Times New Roman" w:cs="Times New Roman" w:eastAsia="Times New Roman"/>
          <w:b/>
          <w:i/>
          <w:color w:val="auto"/>
          <w:spacing w:val="0"/>
          <w:position w:val="0"/>
          <w:sz w:val="23"/>
          <w:shd w:fill="auto" w:val="clear"/>
        </w:rPr>
      </w:pPr>
    </w:p>
    <w:p>
      <w:pPr>
        <w:spacing w:before="0" w:after="0" w:line="480"/>
        <w:ind w:right="111"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Raminelli (2000), as índias que aqui habitavam quando da chegada dos portugueses, atingiam a idade adulta depois da primeira mestruação. Este momento era seguido por um rito de passagem.</w:t>
      </w:r>
    </w:p>
    <w:p>
      <w:pPr>
        <w:spacing w:before="11" w:after="0" w:line="240"/>
        <w:ind w:right="108"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Antes da cerimônia, seus cabelos eram cortados rentes à cabeça com uma pedra afiada ou um osso de peixe. Se não houvesse instrumento cortante por perto, os cabelos eram aparados com fogo. Depois, as moças subiam em  uma pedra plana onde os índios faziam-lhe incisões na pele com um dente  de animal, riscando-as das espáduas [ombro, omoplata] às nádegas.Os cortes formavam uma cruz em sentido oblíquo e sua profundidade dependia da robustez ou da resistência das jovens. [...] Com o corpo sangrando, os índios esfregavam em suas costas cinzas provenientes da queima de abóboras selvagens, substância que possuía capacidade corrosiva semelhante à pólvora. Desse modo, as cicatrizes das incisões ficavam à mostra pelo resto de suas vidas. Esse ritual tinha intenção de dar às futuras mães um ventre sadio e filhos bem-formados. (RAMINELLI, 2000, p.</w:t>
      </w:r>
      <w:r>
        <w:rPr>
          <w:rFonts w:ascii="Times New Roman" w:hAnsi="Times New Roman" w:cs="Times New Roman" w:eastAsia="Times New Roman"/>
          <w:color w:val="auto"/>
          <w:spacing w:val="-2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17)</w:t>
      </w:r>
    </w:p>
    <w:p>
      <w:pPr>
        <w:spacing w:before="8"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10"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este ritual, as jovens permaneciam três dias em uma rede de dormir, sem comer, sem beber e sem ser vista por nenhum parente próximo. Depois deste período de isolamento, voltavam para cima da pedra e sofriam novos cortes. Pelo fato  de andarem descalças, as jovens também ficavam proibidam de tocar os pés no chão. Entre inúmeras proibições, não existia, no entando, explicações para elas. Ouvia-se  dizer e repetia-se isso de geração em</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geração.</w:t>
      </w:r>
    </w:p>
    <w:p>
      <w:pPr>
        <w:spacing w:before="10" w:after="0" w:line="480"/>
        <w:ind w:right="110"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ritual de recolhimento e proibições se repetia ainda durante a segunda mestruação da índia. Embora não pareça, o primeiro fluxo mestrual de uma jovem era motivo de festa na tribo, segundo Raminelli, pois ela estaria entrando para o mundo adulto e, em breve, poderia se casar, mas somente depois que seus cabelos voltassem ao</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48" w:after="0" w:line="480"/>
        <w:ind w:right="114" w:left="10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comprimento normal. Neste período, ficavam envoltas em um fio de algodão, como indicação de virgindade. Quando se casavam, eram obrigadas a romper o fio e ficavam proibidas de manter relações sexuais com seus esposos no período mestrual.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numPr>
          <w:ilvl w:val="0"/>
          <w:numId w:val="3716"/>
        </w:numPr>
        <w:tabs>
          <w:tab w:val="left" w:pos="1362" w:leader="none"/>
        </w:tabs>
        <w:spacing w:before="0" w:after="0" w:line="240"/>
        <w:ind w:right="0" w:left="1361" w:hanging="18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Percepção e significado da menstruação nos dias</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atuais</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11"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proibições ou recomendações persistem até os dias atuais. A pesquisa de Maria Clara Estanislau do Amaral, “Percepção e significado da mestruação para as mulheres” (2003), indica que “à menarca foi atribuído o significado de um marco; um rito de passagem de uma condição a outra, comparável a outros momentos inesquecíveis na vida da mulher: o parto, por exemplo”. (AMARAL, 2003, p. 54).</w:t>
      </w:r>
    </w:p>
    <w:p>
      <w:pPr>
        <w:spacing w:before="10" w:after="0" w:line="480"/>
        <w:ind w:right="109" w:left="10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Estudos mostram que, desde a antiguidade, em vários continentes, a questão do sangue menstrual era carregada com uma conotação simbólica repleta de poder e perigo. “Para os persas antigos, penetrar a vagina com sangue menstrual era penetrar o local dos demônios, alimentar o animal entre as pernas da mulher, era pôr em perigo  não só o seu corpo, como também perder a alma” (MILES, 1989, p.</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124)</w:t>
      </w:r>
    </w:p>
    <w:p>
      <w:pPr>
        <w:spacing w:before="11" w:after="0" w:line="240"/>
        <w:ind w:right="110"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menstruação era um sangue misterioso, perigoso, não limpo e ameaçador. A mulheres, devido a menstruação, durante uma quarta parte de sua vida adulta, uma semana em cada quatro, as mulheres nas sociedades tribais eram regularmente estigmatizadas e afastadas, incapacitadas e alijadas da vida em sua sociedade. (SANTOS,  2003, p. 62)</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10"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Outras sociedades tribais também atribuíam sentidos ocultos à mestruação. Em diferentes épocas da história das sociedades, diferentes culturas têm associado a menstruação à ação de espíritos ancestrais, deuses, ou outras forças ditas sobrenaturais.</w:t>
      </w:r>
    </w:p>
    <w:p>
      <w:pPr>
        <w:spacing w:before="10" w:after="0" w:line="480"/>
        <w:ind w:right="111"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Habitantes da Papua, Nova Guiné, os Bimin-Kuskumin acreditavam que o sangue mestrual era a mais perigosa das substâncias femininas. Para eles, o sêmen eram tido como contribuição procriativa masculina, portanto, sagrado, em oposição às contribuições ordinárias e poluentes da mulher (POOLE, 1981, apud SARDENBERG, 1994, p. 317).</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49" w:after="0" w:line="240"/>
        <w:ind w:right="110"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sociedade tribal de Kafe, de Papua, na Nova Guiné; quando a moça tinha a sua primeira menarca, ela era trancada em uma cabana escura durante uma semana, privada de comida, e ensinada que ela era perigosa para si mesma e para os outros se deixasse de respeitar as restrições rituais: seu corpo e sangue fariam um homem vomitar, fariam seu sangue ficar preto, corromperia sua carne, o deixaria com os sentidos confusos e ele definharia até morrer. (MILES, 1989, p. 125)</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08"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de acordo com Miles (1989), nas religiões monoteístas o mito da menstruação estava presente. Na religião Judaica na antiguidade e Idade Média, a elaboração rabínica dos textos bíblicos como o Levítico marcavam a mulher como niddah (impura) por doze dias antes, durante e depois de seu período. A mulher judia menstruada era proibida de dormir na mesma cama que o marido; comer com a família na hora das refeições; ocupar o mesmo cômodo que qualquer outra pessoa; entrar nas sinagogas; tocar no marido; ou sequer passar-lhe qualquer objeto.</w:t>
      </w:r>
    </w:p>
    <w:p>
      <w:pPr>
        <w:spacing w:before="10" w:after="0" w:line="480"/>
        <w:ind w:right="110"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Catolicismo romano medieval e o Islamismo não foi diferente: seguiram práticas semelhantes em relação ao mito da menstruação proibindo qualquer contato das mulheres menstruadas com o resto da sua comunidade.</w:t>
      </w:r>
    </w:p>
    <w:p>
      <w:pPr>
        <w:spacing w:before="10" w:after="0" w:line="480"/>
        <w:ind w:right="109"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verificou Sílvia L. Ferreira (1994, p. 5, apud SARDENBERG, 1994, p. 319) até o início do século XX, “os conhecimentos científicos acumulados sobre o corpo da mulher não vinculavam a mestruação à procriação”.</w:t>
      </w:r>
    </w:p>
    <w:p>
      <w:pPr>
        <w:spacing w:before="11" w:after="0" w:line="240"/>
        <w:ind w:right="112"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Sem dúvida, numa perpectiva transcultural, a mestruação aparece como objeto de interpretações e significados múltiplos, inseridos em ordens culturais das mais diversas, sendo motivo de crenças e costumes aparentemente tão exóticos e díspares quanto a criatividade humana tem se permitido imaginar e pôe em prática em torno de um simples ‘fato da natureza’. Mas isso apenas significa que não se trata de um simples fato biológico, mas de um fenômeno de dimensões sociais e culturais. (SARDENBERG, 1994, p. 320)</w:t>
      </w:r>
    </w:p>
    <w:p>
      <w:pPr>
        <w:spacing w:before="8"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09"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desses registros, é possível verificar ser bastante comum, pelo menos no mundo ocidental, a noção de que o sangue mestrual pertende a uma categoria de sangue diferente daqueçe que corre nas veias, despertando um sentimento de aversão ou  nojo,  e,  consequentemente,  de vergonha para a mulher (SARDENBERG,     1994).</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48" w:after="0" w:line="480"/>
        <w:ind w:right="0" w:left="12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à mulher menstruada é atribuído sentidos de perigo, ocultismo, mistério e poder, a ponto dela interferir na ordem natural das coisas.</w:t>
      </w:r>
    </w:p>
    <w:p>
      <w:pPr>
        <w:spacing w:before="11" w:after="0" w:line="240"/>
        <w:ind w:right="110" w:left="246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Através das crenças, a menstruação reveste-se de um poder misterioso, um significado mágico. A mulher menstruada pode atrair animais, secar o leite das mulheres que amamentam, alterar a qualidade dos alimentos com que entra em contato. O caráter mágico e venenoso do sangue menstrual remonta desde a Idade Média, e era forte no Brasil colonial (DEL PRIORE, 1997), parecendo perdurar nas falas das mulheres de maior faixa etária estudadas. (AMARAL, 2003, p. 72-73)</w:t>
      </w: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480"/>
        <w:ind w:right="107" w:left="121" w:firstLine="1192"/>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Após a menarca</w:t>
      </w:r>
      <w:r>
        <w:rPr>
          <w:rFonts w:ascii="Times New Roman" w:hAnsi="Times New Roman" w:cs="Times New Roman" w:eastAsia="Times New Roman"/>
          <w:color w:val="auto"/>
          <w:spacing w:val="0"/>
          <w:position w:val="11"/>
          <w:sz w:val="16"/>
          <w:shd w:fill="auto" w:val="clear"/>
        </w:rPr>
        <w:t xml:space="preserve">1</w:t>
      </w:r>
      <w:r>
        <w:rPr>
          <w:rFonts w:ascii="Times New Roman" w:hAnsi="Times New Roman" w:cs="Times New Roman" w:eastAsia="Times New Roman"/>
          <w:color w:val="auto"/>
          <w:spacing w:val="0"/>
          <w:position w:val="11"/>
          <w:sz w:val="24"/>
          <w:shd w:fill="auto" w:val="clear"/>
        </w:rPr>
        <w:t xml:space="preserve">, a jovem passa a “oferecer perigo”, pois já pode engravidar. A pesquisa de Amaral (2003) demonstra que, no século 21, pouca coisa ou nada mudou:</w:t>
      </w:r>
    </w:p>
    <w:p>
      <w:pPr>
        <w:spacing w:before="11" w:after="0" w:line="240"/>
        <w:ind w:right="109" w:left="246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partir da menarca, aparece uma vigilância cada vez maior com relação aos passos da menina, e a cobrança da família (velada ou explícita) de um comportamento à altura do novo </w:t>
      </w:r>
      <w:r>
        <w:rPr>
          <w:rFonts w:ascii="Times New Roman" w:hAnsi="Times New Roman" w:cs="Times New Roman" w:eastAsia="Times New Roman"/>
          <w:i/>
          <w:color w:val="auto"/>
          <w:spacing w:val="0"/>
          <w:position w:val="0"/>
          <w:sz w:val="20"/>
          <w:shd w:fill="auto" w:val="clear"/>
        </w:rPr>
        <w:t xml:space="preserve">status </w:t>
      </w:r>
      <w:r>
        <w:rPr>
          <w:rFonts w:ascii="Times New Roman" w:hAnsi="Times New Roman" w:cs="Times New Roman" w:eastAsia="Times New Roman"/>
          <w:color w:val="auto"/>
          <w:spacing w:val="0"/>
          <w:position w:val="0"/>
          <w:sz w:val="20"/>
          <w:shd w:fill="auto" w:val="clear"/>
        </w:rPr>
        <w:t xml:space="preserve">adquirido. O novo comportamento inclui o modo de se sentar, vestir, o manter-se distante dos meninos,  proteger sua “virtude”. Aparece, com força, a palavra de ordem que caracteriza socialmente o papel da moça de família: o recato. Em outros termos, a menina passa a </w:t>
      </w:r>
      <w:r>
        <w:rPr>
          <w:rFonts w:ascii="Times New Roman" w:hAnsi="Times New Roman" w:cs="Times New Roman" w:eastAsia="Times New Roman"/>
          <w:i/>
          <w:color w:val="auto"/>
          <w:spacing w:val="0"/>
          <w:position w:val="0"/>
          <w:sz w:val="20"/>
          <w:shd w:fill="auto" w:val="clear"/>
        </w:rPr>
        <w:t xml:space="preserve">ser </w:t>
      </w:r>
      <w:r>
        <w:rPr>
          <w:rFonts w:ascii="Times New Roman" w:hAnsi="Times New Roman" w:cs="Times New Roman" w:eastAsia="Times New Roman"/>
          <w:color w:val="auto"/>
          <w:spacing w:val="0"/>
          <w:position w:val="0"/>
          <w:sz w:val="20"/>
          <w:shd w:fill="auto" w:val="clear"/>
        </w:rPr>
        <w:t xml:space="preserve">um perigo, e a </w:t>
      </w:r>
      <w:r>
        <w:rPr>
          <w:rFonts w:ascii="Times New Roman" w:hAnsi="Times New Roman" w:cs="Times New Roman" w:eastAsia="Times New Roman"/>
          <w:i/>
          <w:color w:val="auto"/>
          <w:spacing w:val="0"/>
          <w:position w:val="0"/>
          <w:sz w:val="20"/>
          <w:shd w:fill="auto" w:val="clear"/>
        </w:rPr>
        <w:t xml:space="preserve">estar exposta </w:t>
      </w:r>
      <w:r>
        <w:rPr>
          <w:rFonts w:ascii="Times New Roman" w:hAnsi="Times New Roman" w:cs="Times New Roman" w:eastAsia="Times New Roman"/>
          <w:color w:val="auto"/>
          <w:spacing w:val="0"/>
          <w:position w:val="0"/>
          <w:sz w:val="20"/>
          <w:shd w:fill="auto" w:val="clear"/>
        </w:rPr>
        <w:t xml:space="preserve">ao perigo, pelo simples fato de ter menstruado. (AMARAL, 2003, p.</w:t>
      </w:r>
      <w:r>
        <w:rPr>
          <w:rFonts w:ascii="Times New Roman" w:hAnsi="Times New Roman" w:cs="Times New Roman" w:eastAsia="Times New Roman"/>
          <w:color w:val="auto"/>
          <w:spacing w:val="-1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61)</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1" w:after="0" w:line="240"/>
        <w:ind w:right="0" w:left="1201"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 – Eliminação da menstruação</w:t>
      </w:r>
    </w:p>
    <w:p>
      <w:pPr>
        <w:spacing w:before="132" w:after="0" w:line="472"/>
        <w:ind w:right="109" w:left="121" w:firstLine="1132"/>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No final do século 20, a eliminação da mestruação foi considerada um dos dez maiores avanços da medicina. Seja através de injeções de acetato de medroxiprogesterona</w:t>
      </w:r>
      <w:r>
        <w:rPr>
          <w:rFonts w:ascii="Times New Roman" w:hAnsi="Times New Roman" w:cs="Times New Roman" w:eastAsia="Times New Roman"/>
          <w:color w:val="auto"/>
          <w:spacing w:val="0"/>
          <w:position w:val="11"/>
          <w:sz w:val="16"/>
          <w:shd w:fill="auto" w:val="clear"/>
        </w:rPr>
        <w:t xml:space="preserve">2</w:t>
      </w:r>
      <w:r>
        <w:rPr>
          <w:rFonts w:ascii="Times New Roman" w:hAnsi="Times New Roman" w:cs="Times New Roman" w:eastAsia="Times New Roman"/>
          <w:color w:val="auto"/>
          <w:spacing w:val="0"/>
          <w:position w:val="11"/>
          <w:sz w:val="24"/>
          <w:shd w:fill="auto" w:val="clear"/>
        </w:rPr>
        <w:t xml:space="preserve">, pelo uso contínuo anticoncepcionais orais, ou outros métodos como implantes, injetáveis, anéis vaginais, adesivos e dispositivos intra-uterinos, além das pílulas que podem ser administradas também por via vaginal, a amenorréia induzida foi a solução encontrada para mulheres que sofriam de anemia, dismenorréia</w:t>
      </w:r>
      <w:r>
        <w:rPr>
          <w:rFonts w:ascii="Times New Roman" w:hAnsi="Times New Roman" w:cs="Times New Roman" w:eastAsia="Times New Roman"/>
          <w:color w:val="auto"/>
          <w:spacing w:val="0"/>
          <w:position w:val="11"/>
          <w:sz w:val="16"/>
          <w:shd w:fill="auto" w:val="clear"/>
        </w:rPr>
        <w:t xml:space="preserve">3 </w:t>
      </w:r>
      <w:r>
        <w:rPr>
          <w:rFonts w:ascii="Times New Roman" w:hAnsi="Times New Roman" w:cs="Times New Roman" w:eastAsia="Times New Roman"/>
          <w:color w:val="auto"/>
          <w:spacing w:val="0"/>
          <w:position w:val="11"/>
          <w:sz w:val="24"/>
          <w:shd w:fill="auto" w:val="clear"/>
        </w:rPr>
        <w:t xml:space="preserve">e da síndrome pré-menstrual ou por aquelas que, simplesmente, desejavam parar de menstruar. Para tal método há os defensores e também aqueles que vão contra. Na prática, a decisão caberá à mulher.</w:t>
      </w:r>
    </w:p>
    <w:p>
      <w:pPr>
        <w:spacing w:before="50" w:after="0" w:line="243"/>
        <w:ind w:right="0" w:left="121"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1 </w:t>
      </w:r>
      <w:r>
        <w:rPr>
          <w:rFonts w:ascii="Times New Roman" w:hAnsi="Times New Roman" w:cs="Times New Roman" w:eastAsia="Times New Roman"/>
          <w:color w:val="auto"/>
          <w:spacing w:val="0"/>
          <w:position w:val="9"/>
          <w:sz w:val="20"/>
          <w:shd w:fill="auto" w:val="clear"/>
        </w:rPr>
        <w:t xml:space="preserve">Aparecimento do mênstruo.</w:t>
      </w:r>
    </w:p>
    <w:p>
      <w:pPr>
        <w:spacing w:before="0" w:after="0" w:line="243"/>
        <w:ind w:right="0" w:left="121"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2 </w:t>
      </w:r>
      <w:r>
        <w:rPr>
          <w:rFonts w:ascii="Times New Roman" w:hAnsi="Times New Roman" w:cs="Times New Roman" w:eastAsia="Times New Roman"/>
          <w:color w:val="auto"/>
          <w:spacing w:val="0"/>
          <w:position w:val="9"/>
          <w:sz w:val="20"/>
          <w:shd w:fill="auto" w:val="clear"/>
        </w:rPr>
        <w:t xml:space="preserve">Indicado como medicação progestacional e para endometriose. Informações disponíveis em</w:t>
      </w:r>
    </w:p>
    <w:p>
      <w:pPr>
        <w:spacing w:before="0" w:after="0" w:line="240"/>
        <w:ind w:right="0" w:left="172"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&lt; </w:t>
      </w:r>
      <w:hyperlink xmlns:r="http://schemas.openxmlformats.org/officeDocument/2006/relationships" r:id="docRId146">
        <w:r>
          <w:rPr>
            <w:rFonts w:ascii="Times New Roman" w:hAnsi="Times New Roman" w:cs="Times New Roman" w:eastAsia="Times New Roman"/>
            <w:color w:val="0000FF"/>
            <w:spacing w:val="0"/>
            <w:position w:val="0"/>
            <w:sz w:val="20"/>
            <w:u w:val="single"/>
            <w:shd w:fill="auto" w:val="clear"/>
          </w:rPr>
          <w:t xml:space="preserve">http://www.pfizer.com.br/arquivoPdf/DepoProvera50.pdf</w:t>
        </w:r>
      </w:hyperlink>
      <w:r>
        <w:rPr>
          <w:rFonts w:ascii="Times New Roman" w:hAnsi="Times New Roman" w:cs="Times New Roman" w:eastAsia="Times New Roman"/>
          <w:color w:val="auto"/>
          <w:spacing w:val="0"/>
          <w:position w:val="0"/>
          <w:sz w:val="20"/>
          <w:shd w:fill="auto" w:val="clear"/>
        </w:rPr>
        <w:t xml:space="preserve">&gt; Acesso em 13 Junho 2010.</w:t>
      </w:r>
    </w:p>
    <w:p>
      <w:pPr>
        <w:spacing w:before="0" w:after="0" w:line="243"/>
        <w:ind w:right="0" w:left="121"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3 </w:t>
      </w:r>
      <w:r>
        <w:rPr>
          <w:rFonts w:ascii="Times New Roman" w:hAnsi="Times New Roman" w:cs="Times New Roman" w:eastAsia="Times New Roman"/>
          <w:color w:val="auto"/>
          <w:spacing w:val="0"/>
          <w:position w:val="9"/>
          <w:sz w:val="20"/>
          <w:shd w:fill="auto" w:val="clear"/>
        </w:rPr>
        <w:t xml:space="preserve">Cólica menstrual, incômodo, menstruação dolorosa.</w:t>
      </w:r>
    </w:p>
    <w:p>
      <w:pPr>
        <w:spacing w:before="0" w:after="0" w:line="243"/>
        <w:ind w:right="0" w:left="0" w:firstLine="0"/>
        <w:jc w:val="left"/>
        <w:rPr>
          <w:rFonts w:ascii="Times New Roman" w:hAnsi="Times New Roman" w:cs="Times New Roman" w:eastAsia="Times New Roman"/>
          <w:color w:val="auto"/>
          <w:spacing w:val="0"/>
          <w:position w:val="0"/>
          <w:sz w:val="20"/>
          <w:shd w:fill="auto" w:val="clear"/>
        </w:rPr>
      </w:pPr>
    </w:p>
    <w:p>
      <w:pPr>
        <w:spacing w:before="48" w:after="0" w:line="480"/>
        <w:ind w:right="109" w:left="12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pesquisa intitulada “Preferências de mulheres brasileiras quanto a mudanças na menstruação” (2007), realizada pelas pesquisadoras Carmen Porto  Ribeiro; Ellen Hardy e Eliana Maria Hebling, com 420 mulheres em Campinas, São Paulo, pertencentes a três grupos de idade (18-20, 25-34 e 45-49 anos), e em dois  grupos de escolaridade (menor que oito séries e maior que 12 séries de estudo), concluiu que “as mulheres gostariam de menstruar em intervalos maiores do que um mês ou até gostariam de nunca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menstruar”.</w:t>
      </w:r>
    </w:p>
    <w:p>
      <w:pPr>
        <w:spacing w:before="11" w:after="0" w:line="240"/>
        <w:ind w:right="110" w:left="246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amostra estudada, quase dois terços (62%) relataram sentir dor e desconforto durante o período menstrual, sendo que 20,5% tinham dor ou desconforto durante mais de três dias em cada ciclo menstrual. Mais da metade considerou a dor e o desconforto como sendo fortes e a mesma proporção fazia uso de medicação. Mais de um terço (36,2%) das mulheres declararam que a dor ou o desconforto interferia nas suas atividades e mais que a quinta parte informou que a menstruação provocava gastos ou esforços significantes para elas. (RIBEIRO; HARDY; HEBLING, 2007)</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70"/>
        <w:ind w:right="110" w:left="121" w:firstLine="1077"/>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Ainda de acordo com a pesquisa (2007), os resultados coincidem “com estudos realizados em outros países, os quais revelam que a mulher moderna tem tendência a preferir intervalos longos e, ainda, a amenorréia</w:t>
      </w:r>
      <w:r>
        <w:rPr>
          <w:rFonts w:ascii="Times New Roman" w:hAnsi="Times New Roman" w:cs="Times New Roman" w:eastAsia="Times New Roman"/>
          <w:color w:val="auto"/>
          <w:spacing w:val="0"/>
          <w:position w:val="11"/>
          <w:sz w:val="16"/>
          <w:shd w:fill="auto" w:val="clear"/>
        </w:rPr>
        <w:t xml:space="preserve">4</w:t>
      </w:r>
      <w:r>
        <w:rPr>
          <w:rFonts w:ascii="Times New Roman" w:hAnsi="Times New Roman" w:cs="Times New Roman" w:eastAsia="Times New Roman"/>
          <w:color w:val="auto"/>
          <w:spacing w:val="0"/>
          <w:position w:val="11"/>
          <w:sz w:val="24"/>
          <w:shd w:fill="auto" w:val="clear"/>
        </w:rPr>
        <w:t xml:space="preserve">, em lugar do intervalo natural entre as menstruações”.</w:t>
      </w:r>
    </w:p>
    <w:p>
      <w:pPr>
        <w:spacing w:before="21" w:after="0" w:line="480"/>
        <w:ind w:right="110" w:left="12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além de fatores biológicos, o desejo das mulheres por menstruar em intervalos maiores ou até nem menstruar também passa por aspectos culturais. No Brasil, o assunto também gera mitos, crenças e tabus, afinal, a sexualidade também é uma construção cultural, a partir das vivências individuais, dos valores, das crenças, dos mitos e dos preconceitos, construídos ao longo da socialização das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p>
    <w:p>
      <w:pPr>
        <w:spacing w:before="10" w:after="11" w:line="480"/>
        <w:ind w:right="108" w:left="12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Ressel e Gualda (2003) pesquisaram o assunto com um grupo de onze mulheres de uma comunidade rural, no interior do Rio Grande do Sul. Em seus estudos, puderam concluir que as mulheres que tiveram boas experiências com a menarca, vivenciavam sem preconceito o seu período menstrual e mantinham normalmente suas atividades, inclusive as sexuais. “Elas entendiam que a menarca representava um rito de</w:t>
      </w:r>
    </w:p>
    <w:p>
      <w:pPr>
        <w:spacing w:before="0" w:after="0" w:line="240"/>
        <w:ind w:right="0" w:left="115" w:firstLine="0"/>
        <w:jc w:val="left"/>
        <w:rPr>
          <w:rFonts w:ascii="Times New Roman" w:hAnsi="Times New Roman" w:cs="Times New Roman" w:eastAsia="Times New Roman"/>
          <w:color w:val="auto"/>
          <w:spacing w:val="0"/>
          <w:position w:val="0"/>
          <w:sz w:val="2"/>
          <w:shd w:fill="auto" w:val="clear"/>
        </w:rPr>
      </w:pPr>
    </w:p>
    <w:p>
      <w:pPr>
        <w:spacing w:before="71" w:after="0" w:line="240"/>
        <w:ind w:right="0" w:left="121"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4 </w:t>
      </w:r>
      <w:r>
        <w:rPr>
          <w:rFonts w:ascii="Times New Roman" w:hAnsi="Times New Roman" w:cs="Times New Roman" w:eastAsia="Times New Roman"/>
          <w:color w:val="auto"/>
          <w:spacing w:val="0"/>
          <w:position w:val="9"/>
          <w:sz w:val="20"/>
          <w:shd w:fill="auto" w:val="clear"/>
        </w:rPr>
        <w:t xml:space="preserve">Interrupção ou suspensão do fluxo menstrual na mulher ainda em idade de ser regrada.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48" w:after="0" w:line="480"/>
        <w:ind w:right="112" w:left="10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passagem para a vida adulta e a possibilidade da maternidade” (RESSEL; GUALDA, 2003). Já as outras que vinculavam o sangramento menstrual à sujidade, à nojeira, à repugnância, o que era mais comum, eram levadas à abstenção sexual nesse período e a outros impedimentos, tais como: não lavar a cabeça, não comer alimentos gelados, não preparar maionese, não ordenhar, dentre outras atividades.</w:t>
      </w:r>
    </w:p>
    <w:p>
      <w:pPr>
        <w:spacing w:before="11" w:after="0" w:line="240"/>
        <w:ind w:right="110" w:left="226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Crenças e proibições semelhantes foram registradas em várias partes do país, fazendo também parte da cultura popular brasileira a noção de que, durante os dias de fluxo, a mulher deve evitar preparar determinados alimentos – como, por exemplo, bater bolo, mexer mingau, e outros tantos que requerem manipulação semelhante -, uma vez que poderá fazê-los ‘desandar’, ou seja, não atingirem ‘o ponto’ de preparação desejado. (SARDENBERG, 1994, p. 324)</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11"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pesquisa da Amaral (2003), muitas mulheres descreveram regras de comportamento, muito similares, que foram recebidas a partir da menarca.</w:t>
      </w:r>
    </w:p>
    <w:p>
      <w:pPr>
        <w:spacing w:before="11" w:after="0" w:line="240"/>
        <w:ind w:right="109"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geral, essas regras – ou tabus da menstruação – referem-se a proibições alimentares, bem como a cuidados com relação a hábitos diários e de higiene. Hábitos que são tabus à época da menstruação têm a ver com o temor ao frio. [...] Lavar a cabeça, molhar a barriga, andar descalça, tomar sereno, coisas geladas – são coisas a evitar a todo custo. As conseqüências referidas vão do perigo das dores (de cabeça e cólica, principalmente) até a loucura, o retardo mental, a morte. (AMARAL, 2003, p.</w:t>
      </w:r>
      <w:r>
        <w:rPr>
          <w:rFonts w:ascii="Times New Roman" w:hAnsi="Times New Roman" w:cs="Times New Roman" w:eastAsia="Times New Roman"/>
          <w:color w:val="auto"/>
          <w:spacing w:val="-2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66-67)</w:t>
      </w:r>
    </w:p>
    <w:p>
      <w:pPr>
        <w:spacing w:before="8"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09"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Muitos outros tabus sobre a mulher mestruada são observados pelo Brasil, registrados pela literatura antropológica. No campo da religiosidade, tanto na tradição islâmica, quanto na judaica, quanto na Igreja Católica, “a mulher mestruada é considerada impura e perigosa” (SARDENBERG, 1994, p. 325).</w:t>
      </w:r>
    </w:p>
    <w:p>
      <w:pPr>
        <w:spacing w:before="11" w:after="0" w:line="240"/>
        <w:ind w:right="109"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Para além do interesse puramente etnográfico e das especulações sobre as possíveis origens e funções dos tabus mestruais, registram-se poucas  análises comparativas das práticas e crenças referentes à mestruação, sobretudo em termos da sua relação com as construções sociais em torno das identidades de gênero. (idem, p.</w:t>
      </w:r>
      <w:r>
        <w:rPr>
          <w:rFonts w:ascii="Times New Roman" w:hAnsi="Times New Roman" w:cs="Times New Roman" w:eastAsia="Times New Roman"/>
          <w:color w:val="auto"/>
          <w:spacing w:val="-1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326)</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3767"/>
        </w:numPr>
        <w:tabs>
          <w:tab w:val="left" w:pos="1360" w:leader="none"/>
        </w:tabs>
        <w:spacing w:before="0" w:after="0" w:line="240"/>
        <w:ind w:right="0" w:left="1359" w:hanging="18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Identidades midiáticas das mulheres</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menstruadas</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10"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que pensar, então, das identidades forjadas pela mídia, em especial, pelas propagandas publicitárias de absorventes íntimos? Quais “identificações" sugerem a publicidade brasileira, particularmente aquelas permeadas pelas construções de gênero e sexualidade, estão sendo realizadas quando o assunto é o fluxo menstrual?</w:t>
      </w:r>
    </w:p>
    <w:p>
      <w:pPr>
        <w:spacing w:before="0" w:after="0" w:line="480"/>
        <w:ind w:right="0" w:left="0" w:firstLine="0"/>
        <w:jc w:val="both"/>
        <w:rPr>
          <w:rFonts w:ascii="Times New Roman" w:hAnsi="Times New Roman" w:cs="Times New Roman" w:eastAsia="Times New Roman"/>
          <w:color w:val="auto"/>
          <w:spacing w:val="0"/>
          <w:position w:val="0"/>
          <w:sz w:val="22"/>
          <w:shd w:fill="auto" w:val="clear"/>
        </w:rPr>
      </w:pPr>
    </w:p>
    <w:p>
      <w:pPr>
        <w:spacing w:before="48" w:after="0" w:line="480"/>
        <w:ind w:right="108"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Até surgirem os primeiros absorventes íntimos, como se comportavam as mulheres? Alguns antropólogos justificam o isolamento da mulher no período mestrual em civilizações antigas, pelo simples fato de não saberem que destino dar ao fluxo. Ao longo dos séculos, as mulheres em suas diferentes culturas, se utilizaram dos mais diversos métodos para contenção dos fluxos menstruais: algodão, esponjas, lã, tiras de roupas usadas e tiras de panos que eram lavadas para reutilização.</w:t>
      </w:r>
    </w:p>
    <w:p>
      <w:pPr>
        <w:spacing w:before="11" w:after="0" w:line="240"/>
        <w:ind w:right="110"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primeiras propagandas veiculadas para o produto, em 1921, pela Kotex, destacavam que os absorventes descartáveis eram muito mais limpos e assépticos, além de confortáveis. Depois que o preço dos absorventes se tornou mais acessível e, desse modo, seu uso mais democrático, as propagandas tinham como foco quebrar a timidez das moças: havia tanta vergonha de se comprar um absorvente que muitas preferiam continuar usando as velhas tiras de pano mesmo que detestassem. (SANTOS, P., 2008)</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10"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Priscilla Santos (2008), os cartazes da Kotex buscavam convencer as consumidoras das vantagens do produto descartável, apresentando milhares de mulheres felizes com o novo produto, que tinha, inclusive, a promessa da diminuição do mau odor no período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menstrual.</w:t>
      </w:r>
    </w:p>
    <w:p>
      <w:pPr>
        <w:spacing w:before="10" w:after="0" w:line="480"/>
        <w:ind w:right="111"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Amaral (2003) percebeu em sua pesquisa que o relato de algumas mulheres associa o que se come ao odor do fluxo menstrual. Por este motivo então, passado oralmente de avós/mães/tias para a jovem da família, era recomendando não comer ovo, repolho, feijão, carne de porco nem peixe. Sem comprovação científica-medicinal, este comportamento é algo construído pelos relatos de mulheres, passados de geração em geração.</w:t>
      </w:r>
    </w:p>
    <w:p>
      <w:pPr>
        <w:spacing w:before="10" w:after="0" w:line="480"/>
        <w:ind w:right="109" w:left="10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discurso geracional é percebido também pelo publicitário Lula Vieira (2003, p. 9) quando argumenta que “antigamente, quando não era de bom tom referir-se à menstruação com palavras diretas, a propaganda utilizava a mesma metáfora da linguagem coloquial, chamando o período menstrual de incômodo”.</w:t>
      </w:r>
    </w:p>
    <w:p>
      <w:pPr>
        <w:spacing w:before="11" w:after="0" w:line="240"/>
        <w:ind w:right="111"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Nos anos 50, os folhetos informativos voltaram com força total. Todas as marcas ofereciam livretos gratuitos que falavam sobre o ciclo menstrual, a anatomia feminina, mitos sobre a menstruação e expunham algumas dicas e cuidados que nenhuma mulher tinha coragem de perguntar. As  propagandas</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49" w:after="0" w:line="240"/>
        <w:ind w:right="109"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desse período mostram mulheres fabulosas, ricamente vestidas, na velha associação de um produto com a prosperidade que dele pode vir. Nas  capitais brasileiras, a difusão da marca Modess seria tão forte que o nome viraria sinônimo do objeto como Coca é sinônimo de refrigerante. Por aqui, a solução para atender aos chamados da mídia e driblar a timidez foram os famosos papeizinhos; as mulheres chegavam ao balcão e não diziam nada para o vendedor que devia ser discreto na leitura e atendimento do pedido. (SANTOS, P.,</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2008)</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480"/>
        <w:ind w:right="109"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década de 60, a liberdade dos movimentos passou a ser pelo anunciantes de tampões e absorventes higiênicos. Nos anos 70, a inovação foi o uso de adesivos auto-colantes nos absorventes em forma de almofada, que aderiam à calcinha dispensando recursos como o uso de duas lingeries, cintos ou outras formas de contenção do tal produto.</w:t>
      </w:r>
    </w:p>
    <w:p>
      <w:pPr>
        <w:spacing w:before="11" w:after="0" w:line="240"/>
        <w:ind w:right="110" w:left="244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Ter pouco ou nenhum contato com o sangramento, viver a vida como nos dias comuns, eram esses os chamarizes do Tampax e do OB. [...] Correr, pedalar, ir à praia, jogar tênis eram algumas das atividades que sugeriam as propagandas da época como se todas as mulheres em dias menstruais fossem acometidas por um furor esportivo irresistível. (idem)</w:t>
      </w:r>
    </w:p>
    <w:p>
      <w:pPr>
        <w:spacing w:before="10"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480"/>
        <w:ind w:right="109"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 anos 90, se viu um inumerável acervo de “modelos” tomando conta do mercado que tornaram os absorventes externos mais confortáveis, “seguros”,  “discretos” com curvas que acompanham a anatomia feminina. Novos enchimentos,  com “absorção instantânea, mais limpa e seca” (Always), “mais suaves” (Intimus gel), “ultra fino” (Sempre livre), também passaram a ser usados e foram criadas as abas laterais. Cultuava-se o conforto 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discrição.</w:t>
      </w:r>
    </w:p>
    <w:p>
      <w:pPr>
        <w:spacing w:before="10" w:after="0" w:line="480"/>
        <w:ind w:right="111"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lá pra cá, os absorventes diminuíram, ganharam embalagens coloridas e as campanhas pela televisão abandonaram a compulsão esportista em prol de um foco leve e tranquilo, com bastante céu azul, nuvens e atrizes despojadas” (ibidem).</w:t>
      </w:r>
    </w:p>
    <w:p>
      <w:pPr>
        <w:numPr>
          <w:ilvl w:val="0"/>
          <w:numId w:val="3786"/>
        </w:numPr>
        <w:tabs>
          <w:tab w:val="left" w:pos="1415" w:leader="none"/>
        </w:tabs>
        <w:spacing w:before="15" w:after="0" w:line="240"/>
        <w:ind w:right="0" w:left="1414" w:hanging="18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Pesquisa e</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resultados</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11" w:left="101" w:firstLine="107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realizada com jovens universitárias, com idade entre 20 e 29  anos, teve como um dos objetivos perceber qual a construção social sobre a  menstruação está sendo realizada nos dias atuais através dos relatos passados de geração em  geração. </w:t>
      </w:r>
    </w:p>
    <w:p>
      <w:pPr>
        <w:spacing w:before="0" w:after="0" w:line="480"/>
        <w:ind w:right="111" w:left="101" w:firstLine="1079"/>
        <w:jc w:val="both"/>
        <w:rPr>
          <w:rFonts w:ascii="Times New Roman" w:hAnsi="Times New Roman" w:cs="Times New Roman" w:eastAsia="Times New Roman"/>
          <w:color w:val="auto"/>
          <w:spacing w:val="0"/>
          <w:position w:val="0"/>
          <w:sz w:val="24"/>
          <w:shd w:fill="auto" w:val="clear"/>
        </w:rPr>
      </w:pPr>
    </w:p>
    <w:p>
      <w:pPr>
        <w:spacing w:before="0" w:after="0" w:line="480"/>
        <w:ind w:right="111" w:left="101" w:firstLine="1079"/>
        <w:jc w:val="both"/>
        <w:rPr>
          <w:rFonts w:ascii="Times New Roman" w:hAnsi="Times New Roman" w:cs="Times New Roman" w:eastAsia="Times New Roman"/>
          <w:color w:val="auto"/>
          <w:spacing w:val="0"/>
          <w:position w:val="0"/>
          <w:sz w:val="24"/>
          <w:shd w:fill="auto" w:val="clear"/>
        </w:rPr>
      </w:pPr>
    </w:p>
    <w:p>
      <w:pPr>
        <w:spacing w:before="0" w:after="0" w:line="480"/>
        <w:ind w:right="111" w:left="101" w:firstLine="107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Foram  entrevistadas  100  (cem) estudantes  dos  cursos  de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Comunicação Social, Enfermagem, Biomedicina e Educação Física, na cidade de Juiz de Fora, Minas Gerais, entre os dias 01 e 03 de setembro de 2010.</w:t>
      </w:r>
    </w:p>
    <w:p>
      <w:pPr>
        <w:spacing w:before="10" w:after="0" w:line="472"/>
        <w:ind w:right="229" w:left="221" w:firstLine="1080"/>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Os resultados apontam que a mãe ainda é a grande responsável por educar as filhas a respeito da menstruação. Com maior incidência de mães com, no máximo, ensino médio completo, e renda familiar de até cinco salários mínimos</w:t>
      </w:r>
      <w:r>
        <w:rPr>
          <w:rFonts w:ascii="Times New Roman" w:hAnsi="Times New Roman" w:cs="Times New Roman" w:eastAsia="Times New Roman"/>
          <w:color w:val="auto"/>
          <w:spacing w:val="0"/>
          <w:position w:val="11"/>
          <w:sz w:val="16"/>
          <w:shd w:fill="auto" w:val="clear"/>
        </w:rPr>
        <w:t xml:space="preserve">5</w:t>
      </w:r>
      <w:r>
        <w:rPr>
          <w:rFonts w:ascii="Times New Roman" w:hAnsi="Times New Roman" w:cs="Times New Roman" w:eastAsia="Times New Roman"/>
          <w:color w:val="auto"/>
          <w:spacing w:val="0"/>
          <w:position w:val="11"/>
          <w:sz w:val="24"/>
          <w:shd w:fill="auto" w:val="clear"/>
        </w:rPr>
        <w:t xml:space="preserve">, 80 por cento  das entrevistadas disseram ter sido a mãe a responsável pelos ensinamentos a respeito  do assunto, seguida pela escola (dez por cento) e parentes (avó, tia, irmã, etc.) – seis</w:t>
      </w:r>
      <w:r>
        <w:rPr>
          <w:rFonts w:ascii="Times New Roman" w:hAnsi="Times New Roman" w:cs="Times New Roman" w:eastAsia="Times New Roman"/>
          <w:color w:val="auto"/>
          <w:spacing w:val="20"/>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por</w:t>
      </w:r>
    </w:p>
    <w:p>
      <w:pPr>
        <w:spacing w:before="18" w:after="18" w:line="480"/>
        <w:ind w:right="230" w:left="22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cento. E para 94 por cento das estudantes, tais instruções foram tranqüilas e naturais, contra seis por cento que afirmaram que os ensinamentos foram permeados por tabus e preconceitos.</w:t>
      </w:r>
    </w:p>
    <w:tbl>
      <w:tblPr>
        <w:tblInd w:w="108" w:type="dxa"/>
      </w:tblPr>
      <w:tblGrid>
        <w:gridCol w:w="1176"/>
        <w:gridCol w:w="1063"/>
        <w:gridCol w:w="1130"/>
        <w:gridCol w:w="1133"/>
        <w:gridCol w:w="1063"/>
        <w:gridCol w:w="1042"/>
        <w:gridCol w:w="1066"/>
        <w:gridCol w:w="1046"/>
      </w:tblGrid>
      <w:tr>
        <w:trPr>
          <w:trHeight w:val="562" w:hRule="auto"/>
          <w:jc w:val="left"/>
        </w:trPr>
        <w:tc>
          <w:tcPr>
            <w:tcW w:w="117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54"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Escolaridade da mãe</w:t>
            </w:r>
          </w:p>
        </w:tc>
        <w:tc>
          <w:tcPr>
            <w:tcW w:w="10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Analfabeta</w:t>
            </w:r>
          </w:p>
        </w:tc>
        <w:tc>
          <w:tcPr>
            <w:tcW w:w="113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82"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Ensino Fundamental incompleto</w:t>
            </w:r>
          </w:p>
        </w:tc>
        <w:tc>
          <w:tcPr>
            <w:tcW w:w="113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84"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Ensino Fundamental completo</w:t>
            </w:r>
          </w:p>
        </w:tc>
        <w:tc>
          <w:tcPr>
            <w:tcW w:w="10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75"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Ensino Médio incompleto</w:t>
            </w:r>
          </w:p>
        </w:tc>
        <w:tc>
          <w:tcPr>
            <w:tcW w:w="104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86"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Ensino Médio completo</w:t>
            </w:r>
          </w:p>
        </w:tc>
        <w:tc>
          <w:tcPr>
            <w:tcW w:w="10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59"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Superior Incompleto</w:t>
            </w:r>
          </w:p>
        </w:tc>
        <w:tc>
          <w:tcPr>
            <w:tcW w:w="104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47"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16"/>
                <w:shd w:fill="auto" w:val="clear"/>
              </w:rPr>
              <w:t xml:space="preserve">Superior Completo</w:t>
            </w:r>
          </w:p>
        </w:tc>
      </w:tr>
      <w:tr>
        <w:trPr>
          <w:trHeight w:val="288" w:hRule="auto"/>
          <w:jc w:val="left"/>
        </w:trPr>
        <w:tc>
          <w:tcPr>
            <w:tcW w:w="117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10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113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82"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113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84"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0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04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286"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0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159" w:left="106"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4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247" w:left="107"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tbl>
      <w:tblPr>
        <w:tblInd w:w="108" w:type="dxa"/>
      </w:tblPr>
      <w:tblGrid>
        <w:gridCol w:w="1176"/>
        <w:gridCol w:w="972"/>
        <w:gridCol w:w="1116"/>
        <w:gridCol w:w="1068"/>
        <w:gridCol w:w="1116"/>
        <w:gridCol w:w="1066"/>
        <w:gridCol w:w="1056"/>
        <w:gridCol w:w="1150"/>
      </w:tblGrid>
      <w:tr>
        <w:trPr>
          <w:trHeight w:val="562" w:hRule="auto"/>
          <w:jc w:val="left"/>
        </w:trPr>
        <w:tc>
          <w:tcPr>
            <w:tcW w:w="117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29"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Quem a instruiu</w:t>
            </w:r>
          </w:p>
        </w:tc>
        <w:tc>
          <w:tcPr>
            <w:tcW w:w="97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Mãe</w:t>
            </w:r>
          </w:p>
        </w:tc>
        <w:tc>
          <w:tcPr>
            <w:tcW w:w="111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Parente</w:t>
            </w:r>
          </w:p>
        </w:tc>
        <w:tc>
          <w:tcPr>
            <w:tcW w:w="106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4"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Escola</w:t>
            </w:r>
          </w:p>
        </w:tc>
        <w:tc>
          <w:tcPr>
            <w:tcW w:w="111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4"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Amigas</w:t>
            </w:r>
          </w:p>
        </w:tc>
        <w:tc>
          <w:tcPr>
            <w:tcW w:w="10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159" w:left="105"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Livros</w:t>
            </w:r>
          </w:p>
        </w:tc>
        <w:tc>
          <w:tcPr>
            <w:tcW w:w="105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6"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Internet</w:t>
            </w:r>
          </w:p>
        </w:tc>
        <w:tc>
          <w:tcPr>
            <w:tcW w:w="11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Ninguém</w:t>
            </w:r>
          </w:p>
        </w:tc>
      </w:tr>
      <w:tr>
        <w:trPr>
          <w:trHeight w:val="286" w:hRule="auto"/>
          <w:jc w:val="left"/>
        </w:trPr>
        <w:tc>
          <w:tcPr>
            <w:tcW w:w="117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97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c>
          <w:tcPr>
            <w:tcW w:w="111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06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11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0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159"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105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6"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115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6"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Ind w:w="108" w:type="dxa"/>
      </w:tblPr>
      <w:tblGrid>
        <w:gridCol w:w="2880"/>
        <w:gridCol w:w="2882"/>
        <w:gridCol w:w="2882"/>
      </w:tblGrid>
      <w:tr>
        <w:trPr>
          <w:trHeight w:val="562" w:hRule="auto"/>
          <w:jc w:val="left"/>
        </w:trPr>
        <w:tc>
          <w:tcPr>
            <w:tcW w:w="28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Como foi?</w:t>
            </w:r>
          </w:p>
        </w:tc>
        <w:tc>
          <w:tcPr>
            <w:tcW w:w="288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500" w:left="104"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Tranqüilo e natural</w:t>
            </w:r>
          </w:p>
        </w:tc>
        <w:tc>
          <w:tcPr>
            <w:tcW w:w="288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500" w:left="103" w:firstLine="3"/>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Permeado por tabus e preconceitos</w:t>
            </w:r>
          </w:p>
        </w:tc>
      </w:tr>
      <w:tr>
        <w:trPr>
          <w:trHeight w:val="288" w:hRule="auto"/>
          <w:jc w:val="left"/>
        </w:trPr>
        <w:tc>
          <w:tcPr>
            <w:tcW w:w="28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288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500"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94%</w:t>
            </w:r>
          </w:p>
        </w:tc>
        <w:tc>
          <w:tcPr>
            <w:tcW w:w="288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500" w:left="106"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69" w:after="18" w:line="480"/>
        <w:ind w:right="230" w:left="22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para 40 por cento das universitárias, o sangue menstrual foi considerado “nojento”. Vinte e quatro por cento delas o consideraram “limpo” (puro),  18 por cento, acham que o sangue da menstruação é igual ao que corre nas veias e para 14 por cento delas, ele é “sujo”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(impuro).</w:t>
      </w:r>
    </w:p>
    <w:p>
      <w:pPr>
        <w:spacing w:before="5"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50" w:after="0" w:line="240"/>
        <w:ind w:right="0" w:left="221"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9"/>
          <w:sz w:val="13"/>
          <w:shd w:fill="auto" w:val="clear"/>
        </w:rPr>
        <w:t xml:space="preserve">5 </w:t>
      </w:r>
      <w:r>
        <w:rPr>
          <w:rFonts w:ascii="Times New Roman" w:hAnsi="Times New Roman" w:cs="Times New Roman" w:eastAsia="Times New Roman"/>
          <w:color w:val="auto"/>
          <w:spacing w:val="0"/>
          <w:position w:val="9"/>
          <w:sz w:val="20"/>
          <w:shd w:fill="auto" w:val="clear"/>
        </w:rPr>
        <w:t xml:space="preserve">Salário mínimo vigente de R$ 510,00 (Quinhentos e dez Reais).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Ind w:w="108" w:type="dxa"/>
      </w:tblPr>
      <w:tblGrid>
        <w:gridCol w:w="1608"/>
        <w:gridCol w:w="1121"/>
        <w:gridCol w:w="1291"/>
        <w:gridCol w:w="1356"/>
        <w:gridCol w:w="1205"/>
        <w:gridCol w:w="1135"/>
        <w:gridCol w:w="1003"/>
      </w:tblGrid>
      <w:tr>
        <w:trPr>
          <w:trHeight w:val="1390" w:hRule="auto"/>
          <w:jc w:val="left"/>
        </w:trPr>
        <w:tc>
          <w:tcPr>
            <w:tcW w:w="160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74" w:left="103"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O sangue da menstruação é:</w:t>
            </w:r>
          </w:p>
        </w:tc>
        <w:tc>
          <w:tcPr>
            <w:tcW w:w="112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54"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Igual ao que corre nas veias</w:t>
            </w:r>
          </w:p>
        </w:tc>
        <w:tc>
          <w:tcPr>
            <w:tcW w:w="1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Nojento</w:t>
            </w:r>
          </w:p>
        </w:tc>
        <w:tc>
          <w:tcPr>
            <w:tcW w:w="135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74"/>
              <w:ind w:right="30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Sujo (impuro)</w:t>
            </w:r>
          </w:p>
        </w:tc>
        <w:tc>
          <w:tcPr>
            <w:tcW w:w="120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74"/>
              <w:ind w:right="392"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Limpo (puro)</w:t>
            </w:r>
          </w:p>
        </w:tc>
        <w:tc>
          <w:tcPr>
            <w:tcW w:w="11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02" w:left="103" w:firstLine="0"/>
              <w:jc w:val="left"/>
              <w:rPr>
                <w:color w:val="auto"/>
                <w:position w:val="0"/>
                <w:shd w:fill="auto" w:val="clear"/>
              </w:rPr>
            </w:pPr>
            <w:r>
              <w:rPr>
                <w:rFonts w:ascii="Times New Roman" w:hAnsi="Times New Roman" w:cs="Times New Roman" w:eastAsia="Times New Roman"/>
                <w:b/>
                <w:color w:val="auto"/>
                <w:spacing w:val="0"/>
                <w:position w:val="0"/>
                <w:sz w:val="24"/>
                <w:shd w:fill="auto" w:val="clear"/>
              </w:rPr>
              <w:t xml:space="preserve">Nojento e Sujo </w:t>
            </w:r>
            <w:r>
              <w:rPr>
                <w:rFonts w:ascii="Times New Roman" w:hAnsi="Times New Roman" w:cs="Times New Roman" w:eastAsia="Times New Roman"/>
                <w:b/>
                <w:color w:val="auto"/>
                <w:spacing w:val="-1"/>
                <w:position w:val="0"/>
                <w:sz w:val="24"/>
                <w:shd w:fill="auto" w:val="clear"/>
              </w:rPr>
              <w:t xml:space="preserve">(impuro)</w:t>
            </w:r>
          </w:p>
        </w:tc>
        <w:tc>
          <w:tcPr>
            <w:tcW w:w="100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74"/>
              <w:ind w:right="84"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Não marcou</w:t>
            </w:r>
          </w:p>
        </w:tc>
      </w:tr>
      <w:tr>
        <w:trPr>
          <w:trHeight w:val="286" w:hRule="auto"/>
          <w:jc w:val="left"/>
        </w:trPr>
        <w:tc>
          <w:tcPr>
            <w:tcW w:w="160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112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154" w:left="16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35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30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20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392" w:left="106"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1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6"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w:t>
            </w:r>
          </w:p>
        </w:tc>
        <w:tc>
          <w:tcPr>
            <w:tcW w:w="100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84" w:left="107"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w:t>
            </w:r>
          </w:p>
        </w:tc>
      </w:tr>
    </w:tbl>
    <w:p>
      <w:pPr>
        <w:spacing w:before="3" w:after="0" w:line="240"/>
        <w:ind w:right="0" w:left="0" w:firstLine="0"/>
        <w:jc w:val="left"/>
        <w:rPr>
          <w:rFonts w:ascii="Times New Roman" w:hAnsi="Times New Roman" w:cs="Times New Roman" w:eastAsia="Times New Roman"/>
          <w:color w:val="auto"/>
          <w:spacing w:val="0"/>
          <w:position w:val="0"/>
          <w:sz w:val="25"/>
          <w:shd w:fill="auto" w:val="clear"/>
        </w:rPr>
      </w:pPr>
    </w:p>
    <w:p>
      <w:pPr>
        <w:spacing w:before="69" w:after="18" w:line="480"/>
        <w:ind w:right="228" w:left="22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resultados mostram ainda que, durante a menstruação, muitas das entrevistadas deixam de praticar algumas atividades. Abrir mão de ir à piscina ou à  praia foi citada por 40 mulheres, seguida por andar descalça (citada por 14 delas). Não molhar a barriga e comer alimentos como peixe, pimenta, ovo, repolho, carne de porco também receberam dez votos cada um. Algumas estudantes marcaram mais de uma opção, revelando que deixam de praticar mais de uma atividade considerada corriqueira, como beber gelado (oito citações) e lavar a cabeça (seis votos). No entanto, mais da metade das mulheres (54 respostas) afirma que não deixa de praticar nenhuma das atividades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relacionadas.</w:t>
      </w:r>
    </w:p>
    <w:tbl>
      <w:tblPr>
        <w:tblInd w:w="108" w:type="dxa"/>
      </w:tblPr>
      <w:tblGrid>
        <w:gridCol w:w="4322"/>
        <w:gridCol w:w="4322"/>
      </w:tblGrid>
      <w:tr>
        <w:trPr>
          <w:trHeight w:val="562"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Quais atividades deixa de praticar quando menstruada</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77"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 citado por X mulheres (podia- se marcar mais de uma opção)</w:t>
            </w:r>
          </w:p>
        </w:tc>
      </w:tr>
      <w:tr>
        <w:trPr>
          <w:trHeight w:val="288"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Andar descalça</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Lavar cabeça</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Bater bolo/preparar minguau</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Beber gelado</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Molhar barriga</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Ir à praia/piscina</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r>
        <w:trPr>
          <w:trHeight w:val="562"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17"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Comer alimentos como peixe, pimenta, ovo, repolho, carne de porco</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288"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8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Nenhuma das anteriores</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69" w:after="18" w:line="480"/>
        <w:ind w:right="229" w:left="22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questionadas se praticam relações sexuais quando menstruadas, 72 por cento das universitárias disseram que não, seguidas por 22 por cento que afirmam praticar e seis por cento que ainda não tiveram experiência sexual (penetração).</w:t>
      </w:r>
    </w:p>
    <w:tbl>
      <w:tblPr>
        <w:tblInd w:w="108" w:type="dxa"/>
      </w:tblPr>
      <w:tblGrid>
        <w:gridCol w:w="2422"/>
        <w:gridCol w:w="2098"/>
        <w:gridCol w:w="2100"/>
        <w:gridCol w:w="2100"/>
      </w:tblGrid>
      <w:tr>
        <w:trPr>
          <w:trHeight w:val="562" w:hRule="auto"/>
          <w:jc w:val="left"/>
        </w:trPr>
        <w:tc>
          <w:tcPr>
            <w:tcW w:w="24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582"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Faz sexo quando menstruada</w:t>
            </w:r>
          </w:p>
        </w:tc>
        <w:tc>
          <w:tcPr>
            <w:tcW w:w="209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Sim</w:t>
            </w:r>
          </w:p>
        </w:tc>
        <w:tc>
          <w:tcPr>
            <w:tcW w:w="210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600" w:left="104"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Não</w:t>
            </w:r>
          </w:p>
        </w:tc>
        <w:tc>
          <w:tcPr>
            <w:tcW w:w="210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600" w:left="103" w:firstLine="2"/>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Ainda não praticou sexo</w:t>
            </w:r>
          </w:p>
        </w:tc>
      </w:tr>
      <w:tr>
        <w:trPr>
          <w:trHeight w:val="425" w:hRule="auto"/>
          <w:jc w:val="left"/>
        </w:trPr>
        <w:tc>
          <w:tcPr>
            <w:tcW w:w="24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582"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209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210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00"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w:t>
            </w:r>
          </w:p>
        </w:tc>
        <w:tc>
          <w:tcPr>
            <w:tcW w:w="210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0"/>
              <w:ind w:right="60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69" w:after="0" w:line="480"/>
        <w:ind w:right="230" w:left="221"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também mostrou que há uma preferência das jovens em menstruar (mensalmente ou em intervalos superiores a um mês, que somados atingem 56 por cento) do que nunca menstruar (44 por</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cento).</w:t>
      </w:r>
    </w:p>
    <w:p>
      <w:pPr>
        <w:spacing w:before="69" w:after="0" w:line="480"/>
        <w:ind w:right="230" w:left="221" w:firstLine="1080"/>
        <w:jc w:val="both"/>
        <w:rPr>
          <w:rFonts w:ascii="Times New Roman" w:hAnsi="Times New Roman" w:cs="Times New Roman" w:eastAsia="Times New Roman"/>
          <w:color w:val="auto"/>
          <w:spacing w:val="0"/>
          <w:position w:val="0"/>
          <w:sz w:val="24"/>
          <w:shd w:fill="auto" w:val="clear"/>
        </w:rPr>
      </w:pPr>
    </w:p>
    <w:tbl>
      <w:tblPr>
        <w:tblInd w:w="108" w:type="dxa"/>
      </w:tblPr>
      <w:tblGrid>
        <w:gridCol w:w="2160"/>
        <w:gridCol w:w="2162"/>
        <w:gridCol w:w="2160"/>
        <w:gridCol w:w="2162"/>
      </w:tblGrid>
      <w:tr>
        <w:trPr>
          <w:trHeight w:val="1116" w:hRule="auto"/>
          <w:jc w:val="left"/>
        </w:trPr>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9"/>
              <w:ind w:right="22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Você gostaria de</w:t>
            </w:r>
          </w:p>
        </w:tc>
        <w:tc>
          <w:tcPr>
            <w:tcW w:w="2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683" w:left="103" w:firstLine="1"/>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Menstruar mensalmente</w:t>
            </w:r>
          </w:p>
        </w:tc>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387"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Menstruar em intervalos superiores a um mês</w:t>
            </w:r>
          </w:p>
        </w:tc>
        <w:tc>
          <w:tcPr>
            <w:tcW w:w="2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9"/>
              <w:ind w:right="10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Nunca menstruar</w:t>
            </w:r>
          </w:p>
        </w:tc>
      </w:tr>
      <w:tr>
        <w:trPr>
          <w:trHeight w:val="286" w:hRule="auto"/>
          <w:jc w:val="left"/>
        </w:trPr>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4"/>
              <w:ind w:right="22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2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4"/>
              <w:ind w:right="683"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4"/>
              <w:ind w:right="220"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2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4"/>
              <w:ind w:right="683" w:left="106"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0" w:after="18" w:line="480"/>
        <w:ind w:right="230" w:left="22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jovens também relataram desconforto em relação aos sintomas que vêm junto com a menstruação como dor de cabeça, cólica, nervosismo, inchaço, desânimo, fome, compulsão por doce, alteração do humor e cansaço. Das 100 mulheres entrevistadas, apenas duas disseram nunca terem percebido alterações de comportamento durante a fase menstrual. As demais, ou seja, 98 por cento das universitárias queixaram-se de pelo menos um sintoma. A cólica lidera o ranking das queixas, seguida pela alteração do humor, em segundo lugar; inchaço, em terceiro e nervosismo, em quarto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lugar.</w:t>
      </w:r>
    </w:p>
    <w:tbl>
      <w:tblPr>
        <w:tblInd w:w="108" w:type="dxa"/>
      </w:tblPr>
      <w:tblGrid>
        <w:gridCol w:w="4322"/>
        <w:gridCol w:w="4322"/>
      </w:tblGrid>
      <w:tr>
        <w:trPr>
          <w:trHeight w:val="562"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277"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Desconforto durante menstruação</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77"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 citado por X mulheres (podia- se marcar mais de uma opção)</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Dor de cabeça</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64</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Cólica</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88</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Nervosismo</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Inchaço</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74</w:t>
            </w:r>
          </w:p>
        </w:tc>
      </w:tr>
      <w:tr>
        <w:trPr>
          <w:trHeight w:val="288"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Desânimo</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Fome</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Compulsão por doce</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Alteração do humor</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r>
      <w:tr>
        <w:trPr>
          <w:trHeight w:val="286"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Cansaço</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r>
        <w:trPr>
          <w:trHeight w:val="288" w:hRule="auto"/>
          <w:jc w:val="left"/>
        </w:trPr>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Nunca percebi alteração nesta fase</w:t>
            </w:r>
          </w:p>
        </w:tc>
        <w:tc>
          <w:tcPr>
            <w:tcW w:w="432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1"/>
          <w:shd w:fill="auto" w:val="clear"/>
        </w:rPr>
      </w:pPr>
    </w:p>
    <w:p>
      <w:pPr>
        <w:spacing w:before="69" w:after="16" w:line="480"/>
        <w:ind w:right="229" w:left="22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às mensagens publicitárias dos anúncios de absorventes íntimos, 60 por cento das jovens consideram que a ideia principal transmitida é de limpeza, seguida por segurança (30 por cento) e liberdade (10 por cento).</w:t>
      </w:r>
    </w:p>
    <w:tbl>
      <w:tblPr>
        <w:tblInd w:w="108" w:type="dxa"/>
      </w:tblPr>
      <w:tblGrid>
        <w:gridCol w:w="2335"/>
        <w:gridCol w:w="2244"/>
        <w:gridCol w:w="2256"/>
        <w:gridCol w:w="1884"/>
      </w:tblGrid>
      <w:tr>
        <w:trPr>
          <w:trHeight w:val="1116" w:hRule="auto"/>
          <w:jc w:val="left"/>
        </w:trPr>
        <w:tc>
          <w:tcPr>
            <w:tcW w:w="23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69"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As propagandas de absorventes íntimos passam qual ideia do produto</w:t>
            </w:r>
          </w:p>
        </w:tc>
        <w:tc>
          <w:tcPr>
            <w:tcW w:w="224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Liberdade</w:t>
            </w:r>
          </w:p>
        </w:tc>
        <w:tc>
          <w:tcPr>
            <w:tcW w:w="225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4"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Segurança</w:t>
            </w:r>
          </w:p>
        </w:tc>
        <w:tc>
          <w:tcPr>
            <w:tcW w:w="18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3"/>
              <w:ind w:right="0" w:left="105"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Limpeza</w:t>
            </w:r>
          </w:p>
        </w:tc>
      </w:tr>
      <w:tr>
        <w:trPr>
          <w:trHeight w:val="286" w:hRule="auto"/>
          <w:jc w:val="left"/>
        </w:trPr>
        <w:tc>
          <w:tcPr>
            <w:tcW w:w="23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169"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224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25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8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0" w:left="107"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r>
    </w:tbl>
    <w:p>
      <w:pPr>
        <w:spacing w:before="48" w:after="0" w:line="480"/>
        <w:ind w:right="110" w:left="221" w:firstLine="1077"/>
        <w:jc w:val="both"/>
        <w:rPr>
          <w:rFonts w:ascii="Times New Roman" w:hAnsi="Times New Roman" w:cs="Times New Roman" w:eastAsia="Times New Roman"/>
          <w:color w:val="auto"/>
          <w:spacing w:val="0"/>
          <w:position w:val="0"/>
          <w:sz w:val="24"/>
          <w:shd w:fill="auto" w:val="clear"/>
        </w:rPr>
      </w:pPr>
    </w:p>
    <w:p>
      <w:pPr>
        <w:spacing w:before="48" w:after="0" w:line="480"/>
        <w:ind w:right="110" w:left="22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as participantes da pesquisa, os anúncios de absorventes íntimos reforçam que é “melhor” evitar o contato direto com o sangue. Somente 10 por cento  das estudantes acreditam que a mensagem reforçada pela mídia é de que o sangue menstrual é o mesmo que corre nas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veias.</w:t>
      </w:r>
    </w:p>
    <w:p>
      <w:pPr>
        <w:spacing w:before="6" w:after="1" w:line="240"/>
        <w:ind w:right="0" w:left="0" w:firstLine="0"/>
        <w:jc w:val="left"/>
        <w:rPr>
          <w:rFonts w:ascii="Times New Roman" w:hAnsi="Times New Roman" w:cs="Times New Roman" w:eastAsia="Times New Roman"/>
          <w:color w:val="auto"/>
          <w:spacing w:val="0"/>
          <w:position w:val="0"/>
          <w:sz w:val="25"/>
          <w:shd w:fill="auto" w:val="clear"/>
        </w:rPr>
      </w:pPr>
    </w:p>
    <w:tbl>
      <w:tblPr>
        <w:tblInd w:w="108" w:type="dxa"/>
      </w:tblPr>
      <w:tblGrid>
        <w:gridCol w:w="2160"/>
        <w:gridCol w:w="2162"/>
        <w:gridCol w:w="2160"/>
      </w:tblGrid>
      <w:tr>
        <w:trPr>
          <w:trHeight w:val="1114" w:hRule="auto"/>
          <w:jc w:val="left"/>
        </w:trPr>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39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Qual ideia as propagandas de absorventes passam a você</w:t>
            </w:r>
          </w:p>
        </w:tc>
        <w:tc>
          <w:tcPr>
            <w:tcW w:w="2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103"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Que o sangue é o mesmo que corre nas veias, portanto é natural</w:t>
            </w:r>
          </w:p>
        </w:tc>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20" w:left="103"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Que menstruação é suja (impura), portanto deve-se evitar o contato</w:t>
            </w:r>
          </w:p>
        </w:tc>
      </w:tr>
      <w:tr>
        <w:trPr>
          <w:trHeight w:val="288" w:hRule="auto"/>
          <w:jc w:val="left"/>
        </w:trPr>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220"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Resultado</w:t>
            </w:r>
          </w:p>
        </w:tc>
        <w:tc>
          <w:tcPr>
            <w:tcW w:w="216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683" w:left="104"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16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8"/>
              <w:ind w:right="220"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69" w:after="0" w:line="240"/>
        <w:ind w:right="0" w:left="1299"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Conclusão</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480"/>
        <w:ind w:right="108" w:left="22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possível chegar a várias conclusões a respeito deste estudo. O primeiro deles é que a mãe, não importa qual seu grau de escolaridade, ainda é a principal responsável por passar ensinamentos à respeito da menstruação às suas filhas. Mesmo  na modernidade, com maior acesso à informação através dos meios de comunicação e internet, a mãe desempenha um papel de segurança e confiabilidade. Tanto isso é verdade que para 94 por cento das entrevistadas, o processo de aprendizagem sobre a menstruação foi considerado tranquilo 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natural.</w:t>
      </w:r>
    </w:p>
    <w:p>
      <w:pPr>
        <w:spacing w:before="10" w:after="0" w:line="480"/>
        <w:ind w:right="108" w:left="22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Porém, ainda é inegável que as jovens ainda atribuem significados nada nobres ao sangue da menstruação, como “nojento” e/ou “sujo”, impuro, somando 56 por cento das respostas, contra 42 por cento que o consideram “puro” (limpo) e/ou “igual ao que corre nas veias” e dois por cento de abstenções. O que nos leva a concluir que motivos de repugnação levam 72 por cento das jovens a não praticar atividades sexuais quando menstruadas, evitando um contato direto com o sangue menstrual.</w:t>
      </w:r>
    </w:p>
    <w:p>
      <w:pPr>
        <w:spacing w:before="8" w:after="0" w:line="480"/>
        <w:ind w:right="111" w:left="221" w:firstLine="10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desconforto causado por outros sintomas agregados à menstruação como dor de cabeça, inchaço, nervosismo e outros citados ainda fazem com que 72% das entrevistadas não gostem de menstruar.</w:t>
      </w:r>
    </w:p>
    <w:p>
      <w:pPr>
        <w:spacing w:before="48" w:after="0" w:line="480"/>
        <w:ind w:right="111"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que diz respeito aos padrões utilizados pela cultura da mídia, nos dias de hoje, para simbolizar a menstruação, podemos concluir que eles indicam:</w:t>
      </w:r>
    </w:p>
    <w:p>
      <w:pPr>
        <w:numPr>
          <w:ilvl w:val="0"/>
          <w:numId w:val="4000"/>
        </w:numPr>
        <w:tabs>
          <w:tab w:val="left" w:pos="1501" w:leader="none"/>
        </w:tabs>
        <w:spacing w:before="10" w:after="0" w:line="480"/>
        <w:ind w:right="112" w:left="101" w:firstLine="113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discrição, ou seja, o período menstrual é algo que não precisa ser notado, que precisa ficar</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escondido;</w:t>
      </w:r>
    </w:p>
    <w:p>
      <w:pPr>
        <w:numPr>
          <w:ilvl w:val="0"/>
          <w:numId w:val="4000"/>
        </w:numPr>
        <w:tabs>
          <w:tab w:val="left" w:pos="1494" w:leader="none"/>
        </w:tabs>
        <w:spacing w:before="10" w:after="0" w:line="240"/>
        <w:ind w:right="0" w:left="1493" w:hanging="25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segurança, como se a mulher ficasse insegura nesta</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fase;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003"/>
        </w:numPr>
        <w:tabs>
          <w:tab w:val="left" w:pos="1552" w:leader="none"/>
        </w:tabs>
        <w:spacing w:before="0" w:after="0" w:line="480"/>
        <w:ind w:right="111" w:left="101" w:firstLine="113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limpeza, pois até mesmo a representação do fluxo menstrual é azul, talvez porque o vermelho certamente remeteria ao sangue que, proveniente do útero feminino, agregaria conceitos negativos como impureza, aversão e</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nojo;</w:t>
      </w:r>
    </w:p>
    <w:p>
      <w:pPr>
        <w:numPr>
          <w:ilvl w:val="0"/>
          <w:numId w:val="4003"/>
        </w:numPr>
        <w:tabs>
          <w:tab w:val="left" w:pos="1542" w:leader="none"/>
        </w:tabs>
        <w:spacing w:before="10" w:after="0" w:line="480"/>
        <w:ind w:right="112" w:left="101" w:firstLine="113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melhor absorção, como se o contato com o sangue proveniente de si mesma fosse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repulsivo.</w:t>
      </w:r>
    </w:p>
    <w:p>
      <w:pPr>
        <w:spacing w:before="10" w:after="0" w:line="480"/>
        <w:ind w:right="108" w:left="101"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por último, é possível concluir que muitos mitos, tabus e preconceitos estão sendo desconstruídos na medida em que mais da metade das jovens entrevistadas afirmaram não abrir mão de hábitos comportamentais adquiridos durante o período menstrual, como lavar a cabeça, comer determinados alimentos, bater bolos ou preparar mingau. Mesmo porque não há comprovações científicas sobre a relação entre a prática de certas atividades durante o período menstrual e o comprometimento da saúde da mulher. E, claro, nunca é demais lembrar que a menstruação regular na mulher é sempre um sinal de saúde. Abrir mão de sua presença mensal é também uma questão de comportamento da mulher moderna, facilitada pelos avanços na medicina e na tecnologia.</w:t>
      </w:r>
    </w:p>
    <w:p>
      <w:pPr>
        <w:spacing w:before="15" w:after="0" w:line="240"/>
        <w:ind w:right="140" w:left="1182"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Bibliográficas</w:t>
      </w: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240"/>
        <w:ind w:right="140"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AMARAL, Maria Clara Estanislau do. </w:t>
      </w:r>
      <w:r>
        <w:rPr>
          <w:rFonts w:ascii="Times New Roman" w:hAnsi="Times New Roman" w:cs="Times New Roman" w:eastAsia="Times New Roman"/>
          <w:b/>
          <w:color w:val="auto"/>
          <w:spacing w:val="0"/>
          <w:position w:val="0"/>
          <w:sz w:val="24"/>
          <w:shd w:fill="auto" w:val="clear"/>
        </w:rPr>
        <w:t xml:space="preserve">Percepção e significado da mestruação para as mulheres</w:t>
      </w:r>
      <w:r>
        <w:rPr>
          <w:rFonts w:ascii="Times New Roman" w:hAnsi="Times New Roman" w:cs="Times New Roman" w:eastAsia="Times New Roman"/>
          <w:color w:val="auto"/>
          <w:spacing w:val="0"/>
          <w:position w:val="0"/>
          <w:sz w:val="24"/>
          <w:shd w:fill="auto" w:val="clear"/>
        </w:rPr>
        <w:t xml:space="preserve">. Dissertação de mestrado apresentada à Pós-Graduação da Faculdade de Ciências Médicas da Universidade Estadual de Campinas. Campinas, SP: [s.n.], 2003. BEAUVOIR, S. </w:t>
      </w:r>
      <w:r>
        <w:rPr>
          <w:rFonts w:ascii="Times New Roman" w:hAnsi="Times New Roman" w:cs="Times New Roman" w:eastAsia="Times New Roman"/>
          <w:b/>
          <w:color w:val="auto"/>
          <w:spacing w:val="0"/>
          <w:position w:val="0"/>
          <w:sz w:val="24"/>
          <w:shd w:fill="auto" w:val="clear"/>
        </w:rPr>
        <w:t xml:space="preserve">O segundo sexo - a experiência vivida</w:t>
      </w:r>
      <w:r>
        <w:rPr>
          <w:rFonts w:ascii="Times New Roman" w:hAnsi="Times New Roman" w:cs="Times New Roman" w:eastAsia="Times New Roman"/>
          <w:color w:val="auto"/>
          <w:spacing w:val="0"/>
          <w:position w:val="0"/>
          <w:sz w:val="24"/>
          <w:shd w:fill="auto" w:val="clear"/>
        </w:rPr>
        <w:t xml:space="preserve">. (S. Milliet, Trad.). São Paulo: Difusão Européia do Livro.</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1960.</w:t>
      </w:r>
    </w:p>
    <w:p>
      <w:pPr>
        <w:spacing w:before="0" w:after="0" w:line="240"/>
        <w:ind w:right="164"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ANDERSON, P. </w:t>
      </w:r>
      <w:r>
        <w:rPr>
          <w:rFonts w:ascii="Times New Roman" w:hAnsi="Times New Roman" w:cs="Times New Roman" w:eastAsia="Times New Roman"/>
          <w:b/>
          <w:color w:val="auto"/>
          <w:spacing w:val="0"/>
          <w:position w:val="0"/>
          <w:sz w:val="24"/>
          <w:shd w:fill="auto" w:val="clear"/>
        </w:rPr>
        <w:t xml:space="preserve">As Origens da Pós-Modernidade. </w:t>
      </w:r>
      <w:r>
        <w:rPr>
          <w:rFonts w:ascii="Times New Roman" w:hAnsi="Times New Roman" w:cs="Times New Roman" w:eastAsia="Times New Roman"/>
          <w:color w:val="auto"/>
          <w:spacing w:val="0"/>
          <w:position w:val="0"/>
          <w:sz w:val="24"/>
          <w:shd w:fill="auto" w:val="clear"/>
        </w:rPr>
        <w:t xml:space="preserve">Rio de Janeiro: Jorge Zahar, 1999. BITTAR, Cíntia Letícia; EUFRÁSIO, Marcelo Alves. Identidade e gênero em esperança – PB: abordagem histórico-social das relações do mercado de trabalho</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p>
    <w:p>
      <w:pPr>
        <w:spacing w:before="48" w:after="0" w:line="240"/>
        <w:ind w:right="926"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âmbito local. In: </w:t>
      </w:r>
      <w:r>
        <w:rPr>
          <w:rFonts w:ascii="Times New Roman" w:hAnsi="Times New Roman" w:cs="Times New Roman" w:eastAsia="Times New Roman"/>
          <w:b/>
          <w:color w:val="auto"/>
          <w:spacing w:val="0"/>
          <w:position w:val="0"/>
          <w:sz w:val="24"/>
          <w:shd w:fill="auto" w:val="clear"/>
        </w:rPr>
        <w:t xml:space="preserve">Alpharrabios </w:t>
      </w:r>
      <w:r>
        <w:rPr>
          <w:rFonts w:ascii="Times New Roman" w:hAnsi="Times New Roman" w:cs="Times New Roman" w:eastAsia="Times New Roman"/>
          <w:color w:val="auto"/>
          <w:spacing w:val="0"/>
          <w:position w:val="0"/>
          <w:sz w:val="24"/>
          <w:shd w:fill="auto" w:val="clear"/>
        </w:rPr>
        <w:t xml:space="preserve">– Revista do Curso de História da Universidade Estadual da Paraíba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Vol. 2. N. 1. 2008. Disponível em</w:t>
      </w:r>
    </w:p>
    <w:p>
      <w:pPr>
        <w:spacing w:before="0" w:after="0" w:line="240"/>
        <w:ind w:right="504"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47">
        <w:r>
          <w:rPr>
            <w:rFonts w:ascii="Times New Roman" w:hAnsi="Times New Roman" w:cs="Times New Roman" w:eastAsia="Times New Roman"/>
            <w:color w:val="0000FF"/>
            <w:spacing w:val="0"/>
            <w:position w:val="0"/>
            <w:sz w:val="24"/>
            <w:u w:val="single"/>
            <w:shd w:fill="auto" w:val="clear"/>
          </w:rPr>
          <w:t xml:space="preserve">http://eduep.uepb.edu.br/alpharrabios/v2-</w:t>
        </w:r>
        <w:r>
          <w:rPr>
            <w:rFonts w:ascii="Times New Roman" w:hAnsi="Times New Roman" w:cs="Times New Roman" w:eastAsia="Times New Roman"/>
            <w:color w:val="0000FF"/>
            <w:spacing w:val="0"/>
            <w:position w:val="0"/>
            <w:sz w:val="24"/>
            <w:u w:val="single"/>
            <w:shd w:fill="auto" w:val="clear"/>
          </w:rPr>
          <w:t xml:space="preserve"> n1/pdf/IDENTIDADE_E_GENERO_EM_ESPERANCA.pdf</w:t>
        </w:r>
      </w:hyperlink>
      <w:r>
        <w:rPr>
          <w:rFonts w:ascii="Times New Roman" w:hAnsi="Times New Roman" w:cs="Times New Roman" w:eastAsia="Times New Roman"/>
          <w:color w:val="auto"/>
          <w:spacing w:val="0"/>
          <w:position w:val="0"/>
          <w:sz w:val="24"/>
          <w:shd w:fill="auto" w:val="clear"/>
        </w:rPr>
        <w:t xml:space="preserve">&gt; Acesso em 10 Junho 2010.</w:t>
      </w:r>
    </w:p>
    <w:p>
      <w:pPr>
        <w:spacing w:before="0" w:after="0" w:line="240"/>
        <w:ind w:right="419"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CANCLINI, Néstor Garcia. </w:t>
      </w:r>
      <w:r>
        <w:rPr>
          <w:rFonts w:ascii="Times New Roman" w:hAnsi="Times New Roman" w:cs="Times New Roman" w:eastAsia="Times New Roman"/>
          <w:b/>
          <w:color w:val="auto"/>
          <w:spacing w:val="0"/>
          <w:position w:val="0"/>
          <w:sz w:val="24"/>
          <w:shd w:fill="auto" w:val="clear"/>
        </w:rPr>
        <w:t xml:space="preserve">Consumidores e cidadãos: conflitos multiculturais da globalização. </w:t>
      </w:r>
      <w:r>
        <w:rPr>
          <w:rFonts w:ascii="Times New Roman" w:hAnsi="Times New Roman" w:cs="Times New Roman" w:eastAsia="Times New Roman"/>
          <w:color w:val="auto"/>
          <w:spacing w:val="0"/>
          <w:position w:val="0"/>
          <w:sz w:val="24"/>
          <w:shd w:fill="auto" w:val="clear"/>
        </w:rPr>
        <w:t xml:space="preserve">Rio de Janeiro: Editora UFRJ, 1995.</w:t>
      </w:r>
    </w:p>
    <w:p>
      <w:pPr>
        <w:spacing w:before="0" w:after="0" w:line="240"/>
        <w:ind w:right="107"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GASPERINI, Maria Inês Pagano. Sangue e sexo: menstruação e comportamento sexual. In: </w:t>
      </w:r>
      <w:r>
        <w:rPr>
          <w:rFonts w:ascii="Times New Roman" w:hAnsi="Times New Roman" w:cs="Times New Roman" w:eastAsia="Times New Roman"/>
          <w:b/>
          <w:color w:val="auto"/>
          <w:spacing w:val="0"/>
          <w:position w:val="0"/>
          <w:sz w:val="24"/>
          <w:shd w:fill="auto" w:val="clear"/>
        </w:rPr>
        <w:t xml:space="preserve">Revista Brasileira de Sexualidade Humana</w:t>
      </w:r>
      <w:r>
        <w:rPr>
          <w:rFonts w:ascii="Times New Roman" w:hAnsi="Times New Roman" w:cs="Times New Roman" w:eastAsia="Times New Roman"/>
          <w:color w:val="auto"/>
          <w:spacing w:val="0"/>
          <w:position w:val="0"/>
          <w:sz w:val="24"/>
          <w:shd w:fill="auto" w:val="clear"/>
        </w:rPr>
        <w:t xml:space="preserve">, vol 10, n° 2, 1999. ISSN 0103-6122. GIDDENS, A. </w:t>
      </w:r>
      <w:r>
        <w:rPr>
          <w:rFonts w:ascii="Times New Roman" w:hAnsi="Times New Roman" w:cs="Times New Roman" w:eastAsia="Times New Roman"/>
          <w:b/>
          <w:color w:val="auto"/>
          <w:spacing w:val="0"/>
          <w:position w:val="0"/>
          <w:sz w:val="24"/>
          <w:shd w:fill="auto" w:val="clear"/>
        </w:rPr>
        <w:t xml:space="preserve">Mundo em descontrole - o que a globalização está fazendo de nós</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926"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Rio de Janeiro: Record. 2000</w:t>
      </w:r>
    </w:p>
    <w:p>
      <w:pPr>
        <w:spacing w:before="0" w:after="0" w:line="240"/>
        <w:ind w:right="359"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HALL, Stuart. </w:t>
      </w:r>
      <w:r>
        <w:rPr>
          <w:rFonts w:ascii="Times New Roman" w:hAnsi="Times New Roman" w:cs="Times New Roman" w:eastAsia="Times New Roman"/>
          <w:b/>
          <w:color w:val="auto"/>
          <w:spacing w:val="0"/>
          <w:position w:val="0"/>
          <w:sz w:val="24"/>
          <w:shd w:fill="auto" w:val="clear"/>
        </w:rPr>
        <w:t xml:space="preserve">A Identidade Cultural na Pós-Modernidade</w:t>
      </w:r>
      <w:r>
        <w:rPr>
          <w:rFonts w:ascii="Times New Roman" w:hAnsi="Times New Roman" w:cs="Times New Roman" w:eastAsia="Times New Roman"/>
          <w:color w:val="auto"/>
          <w:spacing w:val="0"/>
          <w:position w:val="0"/>
          <w:sz w:val="24"/>
          <w:shd w:fill="auto" w:val="clear"/>
        </w:rPr>
        <w:t xml:space="preserve">. 11ª ed. Rio de Janeiro: DP&amp;A, 2006.</w:t>
      </w:r>
    </w:p>
    <w:p>
      <w:pPr>
        <w:spacing w:before="0" w:after="0" w:line="240"/>
        <w:ind w:right="926"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KELLNER, Douglas. </w:t>
      </w:r>
      <w:r>
        <w:rPr>
          <w:rFonts w:ascii="Times New Roman" w:hAnsi="Times New Roman" w:cs="Times New Roman" w:eastAsia="Times New Roman"/>
          <w:b/>
          <w:color w:val="auto"/>
          <w:spacing w:val="0"/>
          <w:position w:val="0"/>
          <w:sz w:val="24"/>
          <w:shd w:fill="auto" w:val="clear"/>
        </w:rPr>
        <w:t xml:space="preserve">A Cultura da Mídia</w:t>
      </w:r>
      <w:r>
        <w:rPr>
          <w:rFonts w:ascii="Times New Roman" w:hAnsi="Times New Roman" w:cs="Times New Roman" w:eastAsia="Times New Roman"/>
          <w:color w:val="auto"/>
          <w:spacing w:val="0"/>
          <w:position w:val="0"/>
          <w:sz w:val="24"/>
          <w:shd w:fill="auto" w:val="clear"/>
        </w:rPr>
        <w:t xml:space="preserve">. Bauru: EDUSC, 2001.</w:t>
      </w:r>
    </w:p>
    <w:p>
      <w:pPr>
        <w:spacing w:before="0" w:after="0" w:line="240"/>
        <w:ind w:right="1220"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LIMA, Raymundo de. Para entender o pós-modernismo. In: </w:t>
      </w:r>
      <w:r>
        <w:rPr>
          <w:rFonts w:ascii="Times New Roman" w:hAnsi="Times New Roman" w:cs="Times New Roman" w:eastAsia="Times New Roman"/>
          <w:b/>
          <w:color w:val="auto"/>
          <w:spacing w:val="0"/>
          <w:position w:val="0"/>
          <w:sz w:val="24"/>
          <w:shd w:fill="auto" w:val="clear"/>
        </w:rPr>
        <w:t xml:space="preserve">Revista Espaço Acadêmico</w:t>
      </w:r>
      <w:r>
        <w:rPr>
          <w:rFonts w:ascii="Times New Roman" w:hAnsi="Times New Roman" w:cs="Times New Roman" w:eastAsia="Times New Roman"/>
          <w:color w:val="auto"/>
          <w:spacing w:val="0"/>
          <w:position w:val="0"/>
          <w:sz w:val="24"/>
          <w:shd w:fill="auto" w:val="clear"/>
        </w:rPr>
        <w:t xml:space="preserve">. N° 35 – abril/2004. Mensal. Disponível em</w:t>
      </w:r>
    </w:p>
    <w:p>
      <w:pPr>
        <w:spacing w:before="0" w:after="0" w:line="240"/>
        <w:ind w:right="282"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48">
        <w:r>
          <w:rPr>
            <w:rFonts w:ascii="Times New Roman" w:hAnsi="Times New Roman" w:cs="Times New Roman" w:eastAsia="Times New Roman"/>
            <w:color w:val="0000FF"/>
            <w:spacing w:val="0"/>
            <w:position w:val="0"/>
            <w:sz w:val="24"/>
            <w:u w:val="single"/>
            <w:shd w:fill="auto" w:val="clear"/>
          </w:rPr>
          <w:t xml:space="preserve">http://www.espacoacademico.com.br</w:t>
        </w:r>
      </w:hyperlink>
      <w:r>
        <w:rPr>
          <w:rFonts w:ascii="Times New Roman" w:hAnsi="Times New Roman" w:cs="Times New Roman" w:eastAsia="Times New Roman"/>
          <w:color w:val="auto"/>
          <w:spacing w:val="0"/>
          <w:position w:val="0"/>
          <w:sz w:val="24"/>
          <w:shd w:fill="auto" w:val="clear"/>
        </w:rPr>
        <w:t xml:space="preserve">&gt;. Acesso em: 09 junho 2010. ISSN 1519.6186. MILES, Rosalind. </w:t>
      </w:r>
      <w:r>
        <w:rPr>
          <w:rFonts w:ascii="Times New Roman" w:hAnsi="Times New Roman" w:cs="Times New Roman" w:eastAsia="Times New Roman"/>
          <w:b/>
          <w:color w:val="auto"/>
          <w:spacing w:val="0"/>
          <w:position w:val="0"/>
          <w:sz w:val="24"/>
          <w:shd w:fill="auto" w:val="clear"/>
        </w:rPr>
        <w:t xml:space="preserve">A História do Mundo pela Mulher</w:t>
      </w:r>
      <w:r>
        <w:rPr>
          <w:rFonts w:ascii="Times New Roman" w:hAnsi="Times New Roman" w:cs="Times New Roman" w:eastAsia="Times New Roman"/>
          <w:color w:val="auto"/>
          <w:spacing w:val="0"/>
          <w:position w:val="0"/>
          <w:sz w:val="24"/>
          <w:shd w:fill="auto" w:val="clear"/>
        </w:rPr>
        <w:t xml:space="preserve">. Rio de Janeiro: Casa Maria Editorial/LTC, 1989</w:t>
      </w:r>
    </w:p>
    <w:p>
      <w:pPr>
        <w:spacing w:before="0" w:after="0" w:line="240"/>
        <w:ind w:right="132"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RAMINELLI, Ronald. Eva Tupinambá. In: </w:t>
      </w:r>
      <w:r>
        <w:rPr>
          <w:rFonts w:ascii="Times New Roman" w:hAnsi="Times New Roman" w:cs="Times New Roman" w:eastAsia="Times New Roman"/>
          <w:b/>
          <w:color w:val="auto"/>
          <w:spacing w:val="0"/>
          <w:position w:val="0"/>
          <w:sz w:val="24"/>
          <w:shd w:fill="auto" w:val="clear"/>
        </w:rPr>
        <w:t xml:space="preserve">História das mulheres no Brasil</w:t>
      </w:r>
      <w:r>
        <w:rPr>
          <w:rFonts w:ascii="Times New Roman" w:hAnsi="Times New Roman" w:cs="Times New Roman" w:eastAsia="Times New Roman"/>
          <w:color w:val="auto"/>
          <w:spacing w:val="0"/>
          <w:position w:val="0"/>
          <w:sz w:val="24"/>
          <w:shd w:fill="auto" w:val="clear"/>
        </w:rPr>
        <w:t xml:space="preserve">. Mary Del Priori (org.); Carla Bassanezi (coord. De textos). 3. Ed. São Paulo : Contexto, 2000. RESSEL, Lúcia Beatriz; GUALDA, Dulce Maria Rosa. </w:t>
      </w:r>
      <w:r>
        <w:rPr>
          <w:rFonts w:ascii="Times New Roman" w:hAnsi="Times New Roman" w:cs="Times New Roman" w:eastAsia="Times New Roman"/>
          <w:b/>
          <w:color w:val="auto"/>
          <w:spacing w:val="0"/>
          <w:position w:val="0"/>
          <w:sz w:val="24"/>
          <w:shd w:fill="auto" w:val="clear"/>
        </w:rPr>
        <w:t xml:space="preserve">A sexualidade como uma construção cultural: reflexões sobre preconceitos e mitos inerentes a um grupo de mulheres rurais</w:t>
      </w:r>
      <w:r>
        <w:rPr>
          <w:rFonts w:ascii="Times New Roman" w:hAnsi="Times New Roman" w:cs="Times New Roman" w:eastAsia="Times New Roman"/>
          <w:color w:val="auto"/>
          <w:spacing w:val="0"/>
          <w:position w:val="0"/>
          <w:sz w:val="24"/>
          <w:shd w:fill="auto" w:val="clear"/>
        </w:rPr>
        <w:t xml:space="preserve">. Rev. esc. enferm. USP,  São Paulo,  v. 37,  n. 3, Sept.  2003</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324" w:left="10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Disponível em &lt;</w:t>
      </w:r>
      <w:hyperlink xmlns:r="http://schemas.openxmlformats.org/officeDocument/2006/relationships" r:id="docRId149">
        <w:r>
          <w:rPr>
            <w:rFonts w:ascii="Times New Roman" w:hAnsi="Times New Roman" w:cs="Times New Roman" w:eastAsia="Times New Roman"/>
            <w:color w:val="0000FF"/>
            <w:spacing w:val="0"/>
            <w:position w:val="0"/>
            <w:sz w:val="24"/>
            <w:u w:val="single"/>
            <w:shd w:fill="auto" w:val="clear"/>
          </w:rPr>
          <w:t xml:space="preserve">http://www.scielo.br/</w:t>
        </w:r>
      </w:hyperlink>
      <w:r>
        <w:rPr>
          <w:rFonts w:ascii="Times New Roman" w:hAnsi="Times New Roman" w:cs="Times New Roman" w:eastAsia="Times New Roman"/>
          <w:color w:val="auto"/>
          <w:spacing w:val="0"/>
          <w:position w:val="0"/>
          <w:sz w:val="24"/>
          <w:shd w:fill="auto" w:val="clear"/>
        </w:rPr>
        <w:t xml:space="preserve">&gt;. Acesso em 10 Junho 2010. ISSN 0080-6234. RIBEIRO, Carmen Porto; HARDY, Ellen; HEBLING, Eliana Maria. </w:t>
      </w:r>
      <w:r>
        <w:rPr>
          <w:rFonts w:ascii="Times New Roman" w:hAnsi="Times New Roman" w:cs="Times New Roman" w:eastAsia="Times New Roman"/>
          <w:b/>
          <w:color w:val="auto"/>
          <w:spacing w:val="0"/>
          <w:position w:val="0"/>
          <w:sz w:val="24"/>
          <w:shd w:fill="auto" w:val="clear"/>
        </w:rPr>
        <w:t xml:space="preserve">Preferências de mulheres brasileiras quanto a mudanças na menstruação</w:t>
      </w:r>
      <w:r>
        <w:rPr>
          <w:rFonts w:ascii="Times New Roman" w:hAnsi="Times New Roman" w:cs="Times New Roman" w:eastAsia="Times New Roman"/>
          <w:color w:val="auto"/>
          <w:spacing w:val="0"/>
          <w:position w:val="0"/>
          <w:sz w:val="24"/>
          <w:shd w:fill="auto" w:val="clear"/>
        </w:rPr>
        <w:t xml:space="preserve">. Rev. Bras. Ginecol.</w:t>
      </w:r>
    </w:p>
    <w:p>
      <w:pPr>
        <w:spacing w:before="0" w:after="0" w:line="240"/>
        <w:ind w:right="926"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Obstet.,  Rio de Janeiro,  v. 29,  n. 2, Feb.  2007 .   Disponível em</w:t>
      </w:r>
    </w:p>
    <w:p>
      <w:pPr>
        <w:spacing w:before="0" w:after="0" w:line="240"/>
        <w:ind w:right="225"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50">
        <w:r>
          <w:rPr>
            <w:rFonts w:ascii="Times New Roman" w:hAnsi="Times New Roman" w:cs="Times New Roman" w:eastAsia="Times New Roman"/>
            <w:color w:val="0000FF"/>
            <w:spacing w:val="0"/>
            <w:position w:val="0"/>
            <w:sz w:val="24"/>
            <w:u w:val="single"/>
            <w:shd w:fill="auto" w:val="clear"/>
          </w:rPr>
          <w:t xml:space="preserve">http://www.scielo.br/scielo</w:t>
        </w:r>
      </w:hyperlink>
      <w:r>
        <w:rPr>
          <w:rFonts w:ascii="Times New Roman" w:hAnsi="Times New Roman" w:cs="Times New Roman" w:eastAsia="Times New Roman"/>
          <w:color w:val="auto"/>
          <w:spacing w:val="0"/>
          <w:position w:val="0"/>
          <w:sz w:val="24"/>
          <w:shd w:fill="auto" w:val="clear"/>
        </w:rPr>
        <w:t xml:space="preserve">&gt;. Acesso em 10 Junho  2010.  ISSN 0100-7203. SANTOS, Priscilla. </w:t>
      </w:r>
      <w:r>
        <w:rPr>
          <w:rFonts w:ascii="Times New Roman" w:hAnsi="Times New Roman" w:cs="Times New Roman" w:eastAsia="Times New Roman"/>
          <w:b/>
          <w:color w:val="auto"/>
          <w:spacing w:val="0"/>
          <w:position w:val="0"/>
          <w:sz w:val="24"/>
          <w:shd w:fill="auto" w:val="clear"/>
        </w:rPr>
        <w:t xml:space="preserve">A publicidade e a higiene íntima feminina</w:t>
      </w:r>
      <w:r>
        <w:rPr>
          <w:rFonts w:ascii="Times New Roman" w:hAnsi="Times New Roman" w:cs="Times New Roman" w:eastAsia="Times New Roman"/>
          <w:color w:val="auto"/>
          <w:spacing w:val="0"/>
          <w:position w:val="0"/>
          <w:sz w:val="24"/>
          <w:shd w:fill="auto" w:val="clear"/>
        </w:rPr>
        <w:t xml:space="preserve">. 2008. Disponível em</w:t>
      </w:r>
    </w:p>
    <w:p>
      <w:pPr>
        <w:spacing w:before="0" w:after="0" w:line="240"/>
        <w:ind w:right="543"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51">
        <w:r>
          <w:rPr>
            <w:rFonts w:ascii="Times New Roman" w:hAnsi="Times New Roman" w:cs="Times New Roman" w:eastAsia="Times New Roman"/>
            <w:color w:val="0000FF"/>
            <w:spacing w:val="0"/>
            <w:position w:val="0"/>
            <w:sz w:val="24"/>
            <w:u w:val="single"/>
            <w:shd w:fill="auto" w:val="clear"/>
          </w:rPr>
          <w:t xml:space="preserve">http://obviousmag.org/archives/2008/10/publicidade_higiene.html</w:t>
        </w:r>
      </w:hyperlink>
      <w:r>
        <w:rPr>
          <w:rFonts w:ascii="Times New Roman" w:hAnsi="Times New Roman" w:cs="Times New Roman" w:eastAsia="Times New Roman"/>
          <w:color w:val="auto"/>
          <w:spacing w:val="0"/>
          <w:position w:val="0"/>
          <w:sz w:val="24"/>
          <w:shd w:fill="auto" w:val="clear"/>
        </w:rPr>
        <w:t xml:space="preserve">&gt; Acesso em 10 Junho 2010.</w:t>
      </w:r>
    </w:p>
    <w:p>
      <w:pPr>
        <w:spacing w:before="0" w:after="0" w:line="240"/>
        <w:ind w:right="400"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Sidney Francisco Reis dos. </w:t>
      </w:r>
      <w:r>
        <w:rPr>
          <w:rFonts w:ascii="Times New Roman" w:hAnsi="Times New Roman" w:cs="Times New Roman" w:eastAsia="Times New Roman"/>
          <w:b/>
          <w:color w:val="auto"/>
          <w:spacing w:val="0"/>
          <w:position w:val="0"/>
          <w:sz w:val="24"/>
          <w:shd w:fill="auto" w:val="clear"/>
        </w:rPr>
        <w:t xml:space="preserve">Os direitos humanos das mulheres visto através de um olhar pluralista e interdisciplinar. </w:t>
      </w:r>
      <w:r>
        <w:rPr>
          <w:rFonts w:ascii="Times New Roman" w:hAnsi="Times New Roman" w:cs="Times New Roman" w:eastAsia="Times New Roman"/>
          <w:color w:val="auto"/>
          <w:spacing w:val="0"/>
          <w:position w:val="0"/>
          <w:sz w:val="24"/>
          <w:shd w:fill="auto" w:val="clear"/>
        </w:rPr>
        <w:t xml:space="preserve">Tese de doutorado em Direito da Faculdade Federal de Santa Catarina. Disponível em</w:t>
      </w:r>
    </w:p>
    <w:p>
      <w:pPr>
        <w:spacing w:before="0" w:after="0" w:line="240"/>
        <w:ind w:right="680"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52">
        <w:r>
          <w:rPr>
            <w:rFonts w:ascii="Times New Roman" w:hAnsi="Times New Roman" w:cs="Times New Roman" w:eastAsia="Times New Roman"/>
            <w:color w:val="0000FF"/>
            <w:spacing w:val="0"/>
            <w:position w:val="0"/>
            <w:sz w:val="24"/>
            <w:u w:val="single"/>
            <w:shd w:fill="auto" w:val="clear"/>
          </w:rPr>
          <w:t xml:space="preserve">http://www.tede.ufsc.br/teses/PDPC0627.pdf</w:t>
        </w:r>
      </w:hyperlink>
      <w:r>
        <w:rPr>
          <w:rFonts w:ascii="Times New Roman" w:hAnsi="Times New Roman" w:cs="Times New Roman" w:eastAsia="Times New Roman"/>
          <w:color w:val="auto"/>
          <w:spacing w:val="0"/>
          <w:position w:val="0"/>
          <w:sz w:val="24"/>
          <w:shd w:fill="auto" w:val="clear"/>
        </w:rPr>
        <w:t xml:space="preserve">&gt; Acesso em 09 junho 2010. 2003 SARDENBERG, Cecília M. B. De sangrias, tabus e poderes: a menstruação numa perspectiva sócio-antropológica. In: </w:t>
      </w:r>
      <w:r>
        <w:rPr>
          <w:rFonts w:ascii="Times New Roman" w:hAnsi="Times New Roman" w:cs="Times New Roman" w:eastAsia="Times New Roman"/>
          <w:b/>
          <w:color w:val="auto"/>
          <w:spacing w:val="0"/>
          <w:position w:val="0"/>
          <w:sz w:val="24"/>
          <w:shd w:fill="auto" w:val="clear"/>
        </w:rPr>
        <w:t xml:space="preserve">Revista Estudos Feministas. </w:t>
      </w:r>
      <w:r>
        <w:rPr>
          <w:rFonts w:ascii="Times New Roman" w:hAnsi="Times New Roman" w:cs="Times New Roman" w:eastAsia="Times New Roman"/>
          <w:color w:val="auto"/>
          <w:spacing w:val="0"/>
          <w:position w:val="0"/>
          <w:sz w:val="24"/>
          <w:shd w:fill="auto" w:val="clear"/>
        </w:rPr>
        <w:t xml:space="preserve">Vol. 2. N. 2.</w:t>
      </w:r>
    </w:p>
    <w:p>
      <w:pPr>
        <w:spacing w:before="0" w:after="0" w:line="240"/>
        <w:ind w:right="95"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Disponível em &lt; </w:t>
      </w:r>
      <w:hyperlink xmlns:r="http://schemas.openxmlformats.org/officeDocument/2006/relationships" r:id="docRId153">
        <w:r>
          <w:rPr>
            <w:rFonts w:ascii="Times New Roman" w:hAnsi="Times New Roman" w:cs="Times New Roman" w:eastAsia="Times New Roman"/>
            <w:color w:val="0000FF"/>
            <w:spacing w:val="0"/>
            <w:position w:val="0"/>
            <w:sz w:val="24"/>
            <w:u w:val="single"/>
            <w:shd w:fill="auto" w:val="clear"/>
          </w:rPr>
          <w:t xml:space="preserve">http://www.ieg.ufsc.br/revista</w:t>
        </w:r>
      </w:hyperlink>
      <w:r>
        <w:rPr>
          <w:rFonts w:ascii="Times New Roman" w:hAnsi="Times New Roman" w:cs="Times New Roman" w:eastAsia="Times New Roman"/>
          <w:color w:val="auto"/>
          <w:spacing w:val="0"/>
          <w:position w:val="0"/>
          <w:sz w:val="24"/>
          <w:shd w:fill="auto" w:val="clear"/>
        </w:rPr>
        <w:t xml:space="preserve">&gt; Acesso em 10 junho 2010. ISSN 0104- 026X. 1994.</w:t>
      </w:r>
    </w:p>
    <w:p>
      <w:pPr>
        <w:spacing w:before="0" w:after="0" w:line="240"/>
        <w:ind w:right="972" w:left="101"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VATTINO, Gianni. </w:t>
      </w:r>
      <w:r>
        <w:rPr>
          <w:rFonts w:ascii="Times New Roman" w:hAnsi="Times New Roman" w:cs="Times New Roman" w:eastAsia="Times New Roman"/>
          <w:b/>
          <w:color w:val="auto"/>
          <w:spacing w:val="0"/>
          <w:position w:val="0"/>
          <w:sz w:val="24"/>
          <w:shd w:fill="auto" w:val="clear"/>
        </w:rPr>
        <w:t xml:space="preserve">O fim da modernidade</w:t>
      </w:r>
      <w:r>
        <w:rPr>
          <w:rFonts w:ascii="Times New Roman" w:hAnsi="Times New Roman" w:cs="Times New Roman" w:eastAsia="Times New Roman"/>
          <w:color w:val="auto"/>
          <w:spacing w:val="0"/>
          <w:position w:val="0"/>
          <w:sz w:val="24"/>
          <w:shd w:fill="auto" w:val="clear"/>
        </w:rPr>
        <w:t xml:space="preserve">. São Paulo: Martins Fontes, 2001. VIEIRA, Lula. </w:t>
      </w:r>
      <w:r>
        <w:rPr>
          <w:rFonts w:ascii="Times New Roman" w:hAnsi="Times New Roman" w:cs="Times New Roman" w:eastAsia="Times New Roman"/>
          <w:b/>
          <w:color w:val="auto"/>
          <w:spacing w:val="0"/>
          <w:position w:val="0"/>
          <w:sz w:val="24"/>
          <w:shd w:fill="auto" w:val="clear"/>
        </w:rPr>
        <w:t xml:space="preserve">Incomodada ficava a sua avó</w:t>
      </w:r>
      <w:r>
        <w:rPr>
          <w:rFonts w:ascii="Times New Roman" w:hAnsi="Times New Roman" w:cs="Times New Roman" w:eastAsia="Times New Roman"/>
          <w:color w:val="auto"/>
          <w:spacing w:val="0"/>
          <w:position w:val="0"/>
          <w:sz w:val="24"/>
          <w:shd w:fill="auto" w:val="clear"/>
        </w:rPr>
        <w:t xml:space="preserve">. Rio de Janeiro: Ediouro, 2003.</w:t>
      </w:r>
    </w:p>
    <w:p>
      <w:pPr>
        <w:spacing w:before="0" w:after="12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12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58" w:after="0" w:line="360"/>
        <w:ind w:right="113"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MULHERES INVISÍVEIS E ESQUECIDAS: A CONDIÇÃO DE VIDA DAQUELAS QUE ESTÃO PRIVADAS DA LIBERDADE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240"/>
        <w:ind w:right="2167" w:left="4090" w:firstLine="0"/>
        <w:jc w:val="left"/>
        <w:rPr>
          <w:rFonts w:ascii="Times New Roman" w:hAnsi="Times New Roman" w:cs="Times New Roman" w:eastAsia="Times New Roman"/>
          <w:color w:val="auto"/>
          <w:spacing w:val="0"/>
          <w:position w:val="9"/>
          <w:sz w:val="24"/>
          <w:shd w:fill="auto" w:val="clear"/>
        </w:rPr>
      </w:pPr>
      <w:r>
        <w:rPr>
          <w:rFonts w:ascii="Times New Roman" w:hAnsi="Times New Roman" w:cs="Times New Roman" w:eastAsia="Times New Roman"/>
          <w:color w:val="auto"/>
          <w:spacing w:val="0"/>
          <w:position w:val="0"/>
          <w:sz w:val="24"/>
          <w:shd w:fill="auto" w:val="clear"/>
        </w:rPr>
        <w:t xml:space="preserve">Raquel Cristina Pereira Duarte</w:t>
      </w:r>
      <w:r>
        <w:rPr>
          <w:rFonts w:ascii="Times New Roman" w:hAnsi="Times New Roman" w:cs="Times New Roman" w:eastAsia="Times New Roman"/>
          <w:color w:val="auto"/>
          <w:spacing w:val="0"/>
          <w:position w:val="9"/>
          <w:sz w:val="14"/>
          <w:shd w:fill="auto" w:val="clear"/>
        </w:rPr>
        <w:t xml:space="preserve">1 </w:t>
      </w:r>
      <w:r>
        <w:rPr>
          <w:rFonts w:ascii="Times New Roman" w:hAnsi="Times New Roman" w:cs="Times New Roman" w:eastAsia="Times New Roman"/>
          <w:color w:val="auto"/>
          <w:spacing w:val="0"/>
          <w:position w:val="9"/>
          <w:sz w:val="24"/>
          <w:shd w:fill="auto" w:val="clear"/>
        </w:rPr>
        <w:t xml:space="preserve">Universidade de Caxias do Sul</w:t>
      </w:r>
    </w:p>
    <w:p>
      <w:pPr>
        <w:spacing w:before="0" w:after="0" w:line="240"/>
        <w:ind w:right="149" w:left="4090" w:firstLine="0"/>
        <w:jc w:val="left"/>
        <w:rPr>
          <w:rFonts w:ascii="Times New Roman" w:hAnsi="Times New Roman" w:cs="Times New Roman" w:eastAsia="Times New Roman"/>
          <w:color w:val="auto"/>
          <w:spacing w:val="0"/>
          <w:position w:val="9"/>
          <w:sz w:val="14"/>
          <w:shd w:fill="auto" w:val="clear"/>
        </w:rPr>
      </w:pPr>
      <w:r>
        <w:rPr>
          <w:rFonts w:ascii="Times New Roman" w:hAnsi="Times New Roman" w:cs="Times New Roman" w:eastAsia="Times New Roman"/>
          <w:color w:val="auto"/>
          <w:spacing w:val="0"/>
          <w:position w:val="0"/>
          <w:sz w:val="24"/>
          <w:shd w:fill="auto" w:val="clear"/>
        </w:rPr>
        <w:t xml:space="preserve">Orientadora: Raquel Fabiana Lopes Sparemberger</w:t>
      </w:r>
      <w:r>
        <w:rPr>
          <w:rFonts w:ascii="Times New Roman" w:hAnsi="Times New Roman" w:cs="Times New Roman" w:eastAsia="Times New Roman"/>
          <w:color w:val="auto"/>
          <w:spacing w:val="0"/>
          <w:position w:val="9"/>
          <w:sz w:val="14"/>
          <w:shd w:fill="auto" w:val="clear"/>
        </w:rPr>
        <w:t xml:space="preserve">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035"/>
        </w:numPr>
        <w:tabs>
          <w:tab w:val="left" w:pos="1440" w:leader="none"/>
        </w:tabs>
        <w:spacing w:before="138" w:after="0" w:line="240"/>
        <w:ind w:right="0" w:left="1440" w:hanging="24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inserção da mulher no universo criminal não é um fenômeno recente, sempre esteve presente em todos os países. No entanto, na última década, cresceu absurdamente o número de mulheres submetidas à pena privativa de liberdade.</w:t>
      </w:r>
    </w:p>
    <w:p>
      <w:pPr>
        <w:spacing w:before="5" w:after="0" w:line="360"/>
        <w:ind w:right="109"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aumento na população carcerária feminina leva a uma série de questionamentos. A escolha do tema em questão, deve-se à consciência de que a mulher presa está submetida a um tratamento diverso daquele vivenciado pelo homem encarcerado.</w:t>
      </w:r>
    </w:p>
    <w:p>
      <w:pPr>
        <w:spacing w:before="5"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criminalidade feminina, embora esteja aumentando, ainda é numericamente inferior à masculina e talvez aí resida uma das razões de estar negligenciada e pouco  estudada. Vive-se em uma sociedade onde a Constituição Federal assegura abstratamente direitos iguais a homens e mulheres, mas, no plano das relações sociais concretas, a mulher é constantemente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discriminada.</w:t>
      </w:r>
    </w:p>
    <w:p>
      <w:pPr>
        <w:spacing w:before="5" w:after="0" w:line="360"/>
        <w:ind w:right="114"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esta razão, a criminalidade feminina merece uma análise diferenciada, a qual não pode ser feita sob o prisma da criminalidade masculina, portanto, as condições humanas de encarceramento devem ser analisadas de forma diferente em relação a homens e mulheres. Garantir a igualdade é entender que homens e mulheres são biologicamente diferentes, mas socialmente iguais.</w:t>
      </w:r>
    </w:p>
    <w:p>
      <w:pPr>
        <w:spacing w:before="5" w:after="0" w:line="360"/>
        <w:ind w:right="110"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mulher, culturalmente, é alvo de uma série de preconceitos fora dos muros da prisão, e dentro dele, vai encontrar uma situação ainda pior. A partir desta constatação, surgiu o interesse em conhecer melhor essa temática de forma a ter subsídios, para retratar a realidade da vida a que essas mulheres estão</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submetidas.</w:t>
      </w:r>
    </w:p>
    <w:p>
      <w:pPr>
        <w:spacing w:before="5" w:after="0" w:line="360"/>
        <w:ind w:right="111"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estudo sobre a criminalidade feminina passa por uma análise histórica pouco debatida, há de se dizer, relegada pela própria História. </w:t>
      </w:r>
    </w:p>
    <w:p>
      <w:pPr>
        <w:spacing w:before="4"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28" w:after="0" w:line="240"/>
        <w:ind w:right="121" w:left="120" w:firstLine="0"/>
        <w:jc w:val="both"/>
        <w:rPr>
          <w:rFonts w:ascii="Times New Roman" w:hAnsi="Times New Roman" w:cs="Times New Roman" w:eastAsia="Times New Roman"/>
          <w:color w:val="auto"/>
          <w:spacing w:val="0"/>
          <w:position w:val="8"/>
          <w:sz w:val="20"/>
          <w:shd w:fill="auto" w:val="clear"/>
        </w:rPr>
      </w:pPr>
      <w:r>
        <w:rPr>
          <w:rFonts w:ascii="Times New Roman" w:hAnsi="Times New Roman" w:cs="Times New Roman" w:eastAsia="Times New Roman"/>
          <w:color w:val="auto"/>
          <w:spacing w:val="0"/>
          <w:position w:val="8"/>
          <w:sz w:val="11"/>
          <w:shd w:fill="auto" w:val="clear"/>
        </w:rPr>
        <w:t xml:space="preserve">1 </w:t>
      </w:r>
      <w:r>
        <w:rPr>
          <w:rFonts w:ascii="Times New Roman" w:hAnsi="Times New Roman" w:cs="Times New Roman" w:eastAsia="Times New Roman"/>
          <w:color w:val="auto"/>
          <w:spacing w:val="0"/>
          <w:position w:val="8"/>
          <w:sz w:val="20"/>
          <w:shd w:fill="auto" w:val="clear"/>
        </w:rPr>
        <w:t xml:space="preserve">Graduada em Direito pela Universidade de Caxias do Sul. Assessora jurídica. Pós-graduanda em Direito  Público pela Universidade Anhanguera –</w:t>
      </w:r>
      <w:r>
        <w:rPr>
          <w:rFonts w:ascii="Times New Roman" w:hAnsi="Times New Roman" w:cs="Times New Roman" w:eastAsia="Times New Roman"/>
          <w:color w:val="auto"/>
          <w:spacing w:val="-12"/>
          <w:position w:val="8"/>
          <w:sz w:val="20"/>
          <w:shd w:fill="auto" w:val="clear"/>
        </w:rPr>
        <w:t xml:space="preserve"> </w:t>
      </w:r>
      <w:r>
        <w:rPr>
          <w:rFonts w:ascii="Times New Roman" w:hAnsi="Times New Roman" w:cs="Times New Roman" w:eastAsia="Times New Roman"/>
          <w:color w:val="auto"/>
          <w:spacing w:val="0"/>
          <w:position w:val="8"/>
          <w:sz w:val="20"/>
          <w:shd w:fill="auto" w:val="clear"/>
        </w:rPr>
        <w:t xml:space="preserve">UNIDERP.</w:t>
      </w:r>
    </w:p>
    <w:p>
      <w:pPr>
        <w:spacing w:before="2" w:after="0" w:line="240"/>
        <w:ind w:right="119" w:left="120" w:firstLine="0"/>
        <w:jc w:val="both"/>
        <w:rPr>
          <w:rFonts w:ascii="Times New Roman" w:hAnsi="Times New Roman" w:cs="Times New Roman" w:eastAsia="Times New Roman"/>
          <w:color w:val="auto"/>
          <w:spacing w:val="0"/>
          <w:position w:val="8"/>
          <w:sz w:val="20"/>
          <w:shd w:fill="auto" w:val="clear"/>
        </w:rPr>
      </w:pPr>
      <w:r>
        <w:rPr>
          <w:rFonts w:ascii="Times New Roman" w:hAnsi="Times New Roman" w:cs="Times New Roman" w:eastAsia="Times New Roman"/>
          <w:color w:val="auto"/>
          <w:spacing w:val="0"/>
          <w:position w:val="8"/>
          <w:sz w:val="11"/>
          <w:shd w:fill="auto" w:val="clear"/>
        </w:rPr>
        <w:t xml:space="preserve">2 </w:t>
      </w:r>
      <w:r>
        <w:rPr>
          <w:rFonts w:ascii="Times New Roman" w:hAnsi="Times New Roman" w:cs="Times New Roman" w:eastAsia="Times New Roman"/>
          <w:color w:val="auto"/>
          <w:spacing w:val="0"/>
          <w:position w:val="8"/>
          <w:sz w:val="20"/>
          <w:shd w:fill="auto" w:val="clear"/>
        </w:rPr>
        <w:t xml:space="preserve">Pós-doutora pela Universidade Federal de Santa Catarina, doutora e mestre em Direito pela Universidade Federal do Paraná, ex-professora da Universidade de Caxias do Sul e atualmente professora da Universidade Católica de Pelotas.</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58" w:after="0" w:line="360"/>
        <w:ind w:right="162"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Resgatar a história do encarceramento feminino não é uma tarefa fácil, uma vez que, todos os olhares sempre estiveram voltados apenas para o universo masculino da criminalidade.</w:t>
      </w:r>
    </w:p>
    <w:p>
      <w:pPr>
        <w:spacing w:before="5" w:after="0" w:line="360"/>
        <w:ind w:right="106"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razão para tal negligência histórica não está motivada apenas pelo número radicalmente inferior de mulheres encarceradas, levando-se em consideração os homens na mesma situação, e também não se baseia na longevidade do encarceramento deste gênero. É preciso lembrar que a primeira penitenciária feminina de que se tem conhecimento surgiu apenas dois anos após o primeiro presídio masculino, oficialmente registrado em 1595 na Holanda, enquanto o feminino foi instalado no mesmo país em 1597, portanto, nesta seara, ambos os gêneros têm um longínquo e tenebroso passado. (FARIAS JÚNIOR, 2008, p. 367).</w:t>
      </w:r>
    </w:p>
    <w:p>
      <w:pPr>
        <w:spacing w:before="5" w:after="0" w:line="360"/>
        <w:ind w:right="108"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Percebe-se, portanto, que as razões são muito mais profundas e baseadas nas teorias que inferiorizam a mulher, estigmatizando-a como um ser doméstico e incapaz de praticar delitos, a não ser por uma “anormalidade”, por uma</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patologia.</w:t>
      </w:r>
    </w:p>
    <w:p>
      <w:pPr>
        <w:spacing w:before="5" w:after="0" w:line="360"/>
        <w:ind w:right="108"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teoria do italiano Cesare Lombroso (2007) é mundialmente conhecida por todos os estudiosos da criminologia. O referido autor acredita existirem características físicas, biológicas, como justificativa para a inserção do indivíduo na criminalidade. No entanto, seu entendimento sobre a criminalidade feminina, é pouco difundido. O mesmo acontece com as teorias de Sigmund Freud (1996) e Franco Ferracuti (1975) no que tange à mulher delinqüente.</w:t>
      </w:r>
    </w:p>
    <w:p>
      <w:pPr>
        <w:spacing w:before="5" w:after="0" w:line="360"/>
        <w:ind w:right="107"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Césare Lombroso, em 1895, dizia que a mulher se encontrava em um estado inferior, menos evoluído que o homem, e por isto, apresentava uma menor capacidade para delinqüir. Afirmava ainda, que a criminalidade feminina resultava de um comportamento masculinizado e, portanto, impróprio em relação à sua verdadeira natureza, vindo a se tornar um ser aberrante ao praticar um crime.</w:t>
      </w:r>
    </w:p>
    <w:p>
      <w:pPr>
        <w:spacing w:before="5" w:after="0" w:line="360"/>
        <w:ind w:right="112"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mesmo sentido, o psicanalista Sigmund Freud, alegava que a mulher delinqüente é um ser anormal pelo simples ato de praticar a agressividade, permitida somente ao homem, e que por isto apresentava desenvolvimento incompleto e desequilibrado de seu “ego”.</w:t>
      </w:r>
    </w:p>
    <w:p>
      <w:pPr>
        <w:spacing w:before="5" w:after="0" w:line="360"/>
        <w:ind w:right="107"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Avançando no tempo, não mais se aceitam essas teorias de cunho claramente machista e preconceituoso, entretanto, é irrefutável sua influência e interferência em relação ao descaso e falta de aprofundamento no estudo sobre a criminalidade feminina, objeto deste artigo</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acadêmico.</w:t>
      </w:r>
    </w:p>
    <w:p>
      <w:pPr>
        <w:spacing w:before="5" w:after="0" w:line="360"/>
        <w:ind w:right="110"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desenvolvimento deste estudo, enfoca-se a questão da delinqüência feminina, e procura-se estabelecer um perfil da mulher criminosa nos dias de hoje e os crimes mais praticados  por  elas. </w:t>
      </w:r>
    </w:p>
    <w:p>
      <w:pPr>
        <w:spacing w:before="5" w:after="0" w:line="360"/>
        <w:ind w:right="110" w:left="100" w:firstLine="1080"/>
        <w:jc w:val="both"/>
        <w:rPr>
          <w:rFonts w:ascii="Times New Roman" w:hAnsi="Times New Roman" w:cs="Times New Roman" w:eastAsia="Times New Roman"/>
          <w:color w:val="auto"/>
          <w:spacing w:val="0"/>
          <w:position w:val="0"/>
          <w:sz w:val="24"/>
          <w:shd w:fill="auto" w:val="clear"/>
        </w:rPr>
      </w:pPr>
    </w:p>
    <w:p>
      <w:pPr>
        <w:spacing w:before="5" w:after="0" w:line="360"/>
        <w:ind w:right="110"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Este  perfil  é  essencial  para  compreender  o  alto  índice  de  mulheres inseridas no submundo do crime, fato que leva inclusive, à superlotação dos presídios destinados às mulheres.</w:t>
      </w:r>
    </w:p>
    <w:p>
      <w:pPr>
        <w:spacing w:before="5" w:after="0" w:line="360"/>
        <w:ind w:right="108"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seguir, analisam-se os direitos humanos das mulheres encarceradas e apontam- se as principais violações à que estão submetidas, verificando as condições de suas relações familiares, das visitas íntimas, do acesso à saúde e finalmente aborda-se a violência no cárcere.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056"/>
        </w:numPr>
        <w:tabs>
          <w:tab w:val="left" w:pos="1440" w:leader="none"/>
        </w:tabs>
        <w:spacing w:before="143" w:after="0" w:line="240"/>
        <w:ind w:right="0" w:left="1440" w:hanging="24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110"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anteriormente mencionado, quando se discute o sistema prisional brasileiro, geralmente os olhares estão voltados aos presídios masculinos. A mulher presa raramente está contemplada nas pesquisas, estudos e políticas públicas e assim, alguns aspectos do comportamento criminoso peculiares do elemento feminino têm sido sistematicamente negligenciados.</w:t>
      </w:r>
    </w:p>
    <w:p>
      <w:pPr>
        <w:spacing w:before="5"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elaboração deste trabalho tem por objetivo principal analisar a condição  feminina nos presídios brasileiros, verificando as condições de encarceramento a que está submetida a apenada no</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w:t>
      </w:r>
    </w:p>
    <w:p>
      <w:pPr>
        <w:spacing w:before="5" w:after="0" w:line="360"/>
        <w:ind w:right="113"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este estudo pretende destacar a situação atual dos direitos humanos das mulheres encarceradas no Brasil além de desvendar o perfil da mulher criminosa em nossa sociedade contemporânea nominando os crimes de maior incidência no universo feminino.</w:t>
      </w:r>
    </w:p>
    <w:p>
      <w:pPr>
        <w:spacing w:before="5" w:after="0" w:line="240"/>
        <w:ind w:right="149" w:left="12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são algumas das questões que este artigo pretende analisar.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063"/>
        </w:numPr>
        <w:tabs>
          <w:tab w:val="left" w:pos="1440" w:leader="none"/>
        </w:tabs>
        <w:spacing w:before="0" w:after="0" w:line="240"/>
        <w:ind w:right="0" w:left="1440" w:hanging="24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113"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 concretização da pesquisa, a metodologia de abordagem utilizada será a </w:t>
      </w:r>
      <w:r>
        <w:rPr>
          <w:rFonts w:ascii="Times New Roman" w:hAnsi="Times New Roman" w:cs="Times New Roman" w:eastAsia="Times New Roman"/>
          <w:i/>
          <w:color w:val="auto"/>
          <w:spacing w:val="0"/>
          <w:position w:val="0"/>
          <w:sz w:val="24"/>
          <w:shd w:fill="auto" w:val="clear"/>
        </w:rPr>
        <w:t xml:space="preserve">fenomenologia hermenêutica</w:t>
      </w:r>
      <w:r>
        <w:rPr>
          <w:rFonts w:ascii="Times New Roman" w:hAnsi="Times New Roman" w:cs="Times New Roman" w:eastAsia="Times New Roman"/>
          <w:color w:val="auto"/>
          <w:spacing w:val="0"/>
          <w:position w:val="0"/>
          <w:sz w:val="24"/>
          <w:shd w:fill="auto" w:val="clear"/>
        </w:rPr>
        <w:t xml:space="preserve">, a partir da qual se compreende que a determinação do Direito, ao invés de mero ato passivo de subsunção, é um ato criativo que implica o próprio sujeito. Este horizonte compreensivo foi o que se mostrou suficientemente fértil e adequado para a discussão da temática objeto desta investigação.</w:t>
      </w:r>
    </w:p>
    <w:p>
      <w:pPr>
        <w:spacing w:before="5" w:after="0" w:line="360"/>
        <w:ind w:right="109" w:left="120" w:firstLine="1080"/>
        <w:jc w:val="both"/>
        <w:rPr>
          <w:rFonts w:ascii="Times New Roman" w:hAnsi="Times New Roman" w:cs="Times New Roman" w:eastAsia="Times New Roman"/>
          <w:color w:val="auto"/>
          <w:spacing w:val="0"/>
          <w:position w:val="9"/>
          <w:sz w:val="24"/>
          <w:shd w:fill="auto" w:val="clear"/>
        </w:rPr>
      </w:pPr>
      <w:r>
        <w:rPr>
          <w:rFonts w:ascii="Times New Roman" w:hAnsi="Times New Roman" w:cs="Times New Roman" w:eastAsia="Times New Roman"/>
          <w:color w:val="auto"/>
          <w:spacing w:val="0"/>
          <w:position w:val="0"/>
          <w:sz w:val="24"/>
          <w:shd w:fill="auto" w:val="clear"/>
        </w:rPr>
        <w:t xml:space="preserve">Portanto, o fio condutor da pesquisa será o “método” fenomenológico</w:t>
      </w:r>
      <w:r>
        <w:rPr>
          <w:rFonts w:ascii="Times New Roman" w:hAnsi="Times New Roman" w:cs="Times New Roman" w:eastAsia="Times New Roman"/>
          <w:color w:val="auto"/>
          <w:spacing w:val="0"/>
          <w:position w:val="9"/>
          <w:sz w:val="14"/>
          <w:shd w:fill="auto" w:val="clear"/>
        </w:rPr>
        <w:t xml:space="preserve">3</w:t>
      </w:r>
      <w:r>
        <w:rPr>
          <w:rFonts w:ascii="Times New Roman" w:hAnsi="Times New Roman" w:cs="Times New Roman" w:eastAsia="Times New Roman"/>
          <w:color w:val="auto"/>
          <w:spacing w:val="0"/>
          <w:position w:val="9"/>
          <w:sz w:val="24"/>
          <w:shd w:fill="auto" w:val="clear"/>
        </w:rPr>
        <w:t xml:space="preserve">, compreendido como “interpretação ou hermenêutica universal”, isto é, como revisão crítica dos temas centrais transmitidos pela tradição filosófica através da linguagem, como destruição</w:t>
      </w:r>
    </w:p>
    <w:p>
      <w:pPr>
        <w:spacing w:before="6"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28" w:after="0" w:line="242"/>
        <w:ind w:right="149" w:left="120" w:firstLine="0"/>
        <w:jc w:val="left"/>
        <w:rPr>
          <w:rFonts w:ascii="Times New Roman" w:hAnsi="Times New Roman" w:cs="Times New Roman" w:eastAsia="Times New Roman"/>
          <w:color w:val="auto"/>
          <w:spacing w:val="0"/>
          <w:position w:val="8"/>
          <w:sz w:val="20"/>
          <w:shd w:fill="auto" w:val="clear"/>
        </w:rPr>
      </w:pPr>
      <w:r>
        <w:rPr>
          <w:rFonts w:ascii="Times New Roman" w:hAnsi="Times New Roman" w:cs="Times New Roman" w:eastAsia="Times New Roman"/>
          <w:color w:val="auto"/>
          <w:spacing w:val="0"/>
          <w:position w:val="8"/>
          <w:sz w:val="11"/>
          <w:shd w:fill="auto" w:val="clear"/>
        </w:rPr>
        <w:t xml:space="preserve">3 </w:t>
      </w:r>
      <w:r>
        <w:rPr>
          <w:rFonts w:ascii="Times New Roman" w:hAnsi="Times New Roman" w:cs="Times New Roman" w:eastAsia="Times New Roman"/>
          <w:color w:val="auto"/>
          <w:spacing w:val="0"/>
          <w:position w:val="8"/>
          <w:sz w:val="20"/>
          <w:shd w:fill="auto" w:val="clear"/>
        </w:rPr>
        <w:t xml:space="preserve">Nesse sentido ver obra de STRECK, Lênio Luiz. </w:t>
      </w:r>
      <w:r>
        <w:rPr>
          <w:rFonts w:ascii="Times New Roman" w:hAnsi="Times New Roman" w:cs="Times New Roman" w:eastAsia="Times New Roman"/>
          <w:b/>
          <w:color w:val="auto"/>
          <w:spacing w:val="0"/>
          <w:position w:val="8"/>
          <w:sz w:val="20"/>
          <w:shd w:fill="auto" w:val="clear"/>
        </w:rPr>
        <w:t xml:space="preserve">Hermenêutica Jurídica e(m) Crise</w:t>
      </w:r>
      <w:r>
        <w:rPr>
          <w:rFonts w:ascii="Times New Roman" w:hAnsi="Times New Roman" w:cs="Times New Roman" w:eastAsia="Times New Roman"/>
          <w:color w:val="auto"/>
          <w:spacing w:val="0"/>
          <w:position w:val="8"/>
          <w:sz w:val="20"/>
          <w:shd w:fill="auto" w:val="clear"/>
        </w:rPr>
        <w:t xml:space="preserve">. Porto Alegre: Livraria  do Advogado, 1999.</w:t>
      </w:r>
    </w:p>
    <w:p>
      <w:pPr>
        <w:spacing w:before="0" w:after="0" w:line="242"/>
        <w:ind w:right="0" w:left="0" w:firstLine="0"/>
        <w:jc w:val="left"/>
        <w:rPr>
          <w:rFonts w:ascii="Times New Roman" w:hAnsi="Times New Roman" w:cs="Times New Roman" w:eastAsia="Times New Roman"/>
          <w:color w:val="auto"/>
          <w:spacing w:val="0"/>
          <w:position w:val="0"/>
          <w:sz w:val="20"/>
          <w:shd w:fill="auto" w:val="clear"/>
        </w:rPr>
      </w:pPr>
    </w:p>
    <w:p>
      <w:pPr>
        <w:spacing w:before="58" w:after="0" w:line="360"/>
        <w:ind w:right="107"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revolvimento do chão lingüístico da metafísica ocidental. Por meio dele, é possível  descobrir um indisfarçável projeto de analítica da linguagem, numa imediata proximidade  com a </w:t>
      </w:r>
      <w:r>
        <w:rPr>
          <w:rFonts w:ascii="Times New Roman" w:hAnsi="Times New Roman" w:cs="Times New Roman" w:eastAsia="Times New Roman"/>
          <w:i/>
          <w:color w:val="auto"/>
          <w:spacing w:val="0"/>
          <w:position w:val="0"/>
          <w:sz w:val="24"/>
          <w:shd w:fill="auto" w:val="clear"/>
        </w:rPr>
        <w:t xml:space="preserve">práxis </w:t>
      </w:r>
      <w:r>
        <w:rPr>
          <w:rFonts w:ascii="Times New Roman" w:hAnsi="Times New Roman" w:cs="Times New Roman" w:eastAsia="Times New Roman"/>
          <w:color w:val="auto"/>
          <w:spacing w:val="0"/>
          <w:position w:val="0"/>
          <w:sz w:val="24"/>
          <w:shd w:fill="auto" w:val="clear"/>
        </w:rPr>
        <w:t xml:space="preserve">humana, como existência e faticidade, em que a linguagem – o sentido, a denotação – não é analisada a partir de um sistema fechado de</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referências.</w:t>
      </w:r>
    </w:p>
    <w:p>
      <w:pPr>
        <w:spacing w:before="5" w:after="0" w:line="360"/>
        <w:ind w:right="107"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 método de procedimento, na presente pesquisa utilizar-se-á o método comparativo. Tal método realiza comparações com a finalidade de verificar semelhanças e explicar divergências. Assim, quanto à forma de abordagem do problema trata-se de uma pesquisa qualitativa que considera que há uma relação dinâmica entre o mundo real e o sujeito, isto é, um vínculo indissociável entre o mundo objetivo e a subjetividade do sujeito. A interpretação dos fenômenos e a atribuição de significados são básicas no processo de pesquisa qualitativa. O ambiente natural é a fonte direta para a coleta de dados e o  pesquisador é o instrumento-chave. É descritiva. O processo e seus significados são os focos principais de abordagem. Do ponto de vista dos procedimentos técnicos trata-se de uma pesquisa de documentação indireta, especificamente bibliográfica elaborada a partir da literatura já publicada sobre a temática. As informações serão coletadas a partir do levantamento de indicadores presentes nos diversos órgãos estatísticos e de segurança</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pública.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073"/>
        </w:numPr>
        <w:tabs>
          <w:tab w:val="left" w:pos="1418" w:leader="none"/>
        </w:tabs>
        <w:spacing w:before="143" w:after="0" w:line="240"/>
        <w:ind w:right="0" w:left="1418" w:hanging="24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Retrato do cárcere: o perfil atual da mulher</w:t>
      </w:r>
      <w:r>
        <w:rPr>
          <w:rFonts w:ascii="Times New Roman" w:hAnsi="Times New Roman" w:cs="Times New Roman" w:eastAsia="Times New Roman"/>
          <w:b/>
          <w:color w:val="auto"/>
          <w:spacing w:val="-14"/>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presa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107"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Importante ressaltar que, no que tange a este tema, são muito restritas as informações disponibilizadas nos bancos de dados nacionais oficiais. É fácil constatar que a criminalidade feminina aumentou na última década. De outro lado, é difícil compreender suas razões, o que dificulta a elaboração de um perfil da criminalidade feminina. Embora nem sempre contempladas nas pesquisas oficiais, busca-se um perfil psicológico, social, cultural e educacional, das mulheres envolvidas no mundo do crime.</w:t>
      </w:r>
    </w:p>
    <w:p>
      <w:pPr>
        <w:spacing w:before="5" w:after="0" w:line="360"/>
        <w:ind w:right="107"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pesquisas realizadas pelo Departamento Penitenciário Nacional, informam que a mulher encarcerada no Brasil hoje, é em sua grande maioria, jovem, com filhos, solteira e afro-descendente. Antes de serem presas, essas mulheres moravam com seus filhos e filhas, diferentemente dos homens, que na maioria dos casos moraram com suas esposas ou mães (MINISTÉRIO DA JUSTIÇA, 2007, p. 16.). </w:t>
      </w:r>
    </w:p>
    <w:p>
      <w:pPr>
        <w:spacing w:before="5" w:after="0" w:line="360"/>
        <w:ind w:right="107" w:left="100" w:firstLine="1080"/>
        <w:jc w:val="both"/>
        <w:rPr>
          <w:rFonts w:ascii="Times New Roman" w:hAnsi="Times New Roman" w:cs="Times New Roman" w:eastAsia="Times New Roman"/>
          <w:color w:val="auto"/>
          <w:spacing w:val="0"/>
          <w:position w:val="9"/>
          <w:sz w:val="14"/>
          <w:shd w:fill="auto" w:val="clear"/>
        </w:rPr>
      </w:pPr>
      <w:r>
        <w:rPr>
          <w:rFonts w:ascii="Times New Roman" w:hAnsi="Times New Roman" w:cs="Times New Roman" w:eastAsia="Times New Roman"/>
          <w:color w:val="auto"/>
          <w:spacing w:val="0"/>
          <w:position w:val="0"/>
          <w:sz w:val="24"/>
          <w:shd w:fill="auto" w:val="clear"/>
        </w:rPr>
        <w:t xml:space="preserve">A ministra da Secretaria Especial de Políticas para as Mulheres, Nilcéia Freire, em entrevista à Pastoral Carcerária, apresentou um perfil da mulher presa no País, como tendo “entre 20 e 35 anos de idade, é chefe de família, tem mais de dois filhos, tem baixa escolaridade, cometeu delitos de menor gravidade e ocupa posições de menor prestígio social.”</w:t>
      </w:r>
      <w:r>
        <w:rPr>
          <w:rFonts w:ascii="Times New Roman" w:hAnsi="Times New Roman" w:cs="Times New Roman" w:eastAsia="Times New Roman"/>
          <w:color w:val="auto"/>
          <w:spacing w:val="0"/>
          <w:position w:val="9"/>
          <w:sz w:val="14"/>
          <w:shd w:fill="auto" w:val="clear"/>
        </w:rPr>
        <w:t xml:space="preserve">4</w:t>
      </w:r>
    </w:p>
    <w:p>
      <w:pPr>
        <w:spacing w:before="4" w:after="0" w:line="360"/>
        <w:ind w:right="106"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pesquisa realizada na Penitenciária Feminina Madre Pelletier, em Porto Alegre – RS, apresenta as seguintes informações quanto ao perfil da mulher presa: a maioria são apenadas jovens, com faixa etária entre 23 e 28 anos; quanto à escolaridade, 62,65% possui ensino fundamental incompleto; quase 50% realizam trabalhos domésticos ou são do lar, ou seja, sem profissão remunerada; 69,7% são solteiras; apenas 17,12% não tem filhos; 84,43% se consideram católicas; não foi pesquisada a etnia das presas (DEPARTAMENTO PENITENCIÁRIO NACIONAL, 2007, p. 42-51.).</w:t>
      </w:r>
    </w:p>
    <w:p>
      <w:pPr>
        <w:spacing w:before="5" w:after="0" w:line="360"/>
        <w:ind w:right="109" w:left="120" w:firstLine="1080"/>
        <w:jc w:val="both"/>
        <w:rPr>
          <w:rFonts w:ascii="Times New Roman" w:hAnsi="Times New Roman" w:cs="Times New Roman" w:eastAsia="Times New Roman"/>
          <w:color w:val="auto"/>
          <w:spacing w:val="0"/>
          <w:position w:val="9"/>
          <w:sz w:val="24"/>
          <w:shd w:fill="auto" w:val="clear"/>
        </w:rPr>
      </w:pPr>
      <w:r>
        <w:rPr>
          <w:rFonts w:ascii="Times New Roman" w:hAnsi="Times New Roman" w:cs="Times New Roman" w:eastAsia="Times New Roman"/>
          <w:color w:val="auto"/>
          <w:spacing w:val="0"/>
          <w:position w:val="0"/>
          <w:sz w:val="24"/>
          <w:shd w:fill="auto" w:val="clear"/>
        </w:rPr>
        <w:t xml:space="preserve">No Estado de São Paulo, a realidade carcerária não é diferente. De acordo com pesquisa realizada pelo Censo Penitenciário de 2002, conduzido pela FUNAP (2010)</w:t>
      </w:r>
      <w:r>
        <w:rPr>
          <w:rFonts w:ascii="Times New Roman" w:hAnsi="Times New Roman" w:cs="Times New Roman" w:eastAsia="Times New Roman"/>
          <w:color w:val="auto"/>
          <w:spacing w:val="0"/>
          <w:position w:val="9"/>
          <w:sz w:val="14"/>
          <w:shd w:fill="auto" w:val="clear"/>
        </w:rPr>
        <w:t xml:space="preserve">5 </w:t>
      </w:r>
      <w:r>
        <w:rPr>
          <w:rFonts w:ascii="Times New Roman" w:hAnsi="Times New Roman" w:cs="Times New Roman" w:eastAsia="Times New Roman"/>
          <w:color w:val="auto"/>
          <w:spacing w:val="0"/>
          <w:position w:val="9"/>
          <w:sz w:val="24"/>
          <w:shd w:fill="auto" w:val="clear"/>
        </w:rPr>
        <w:t xml:space="preserve">surgiram as seguintes informações: 75% das mulheres tinham ente 18 e 34 anos; 47% eram brancas; 7% analfabetas e aproximadamente 65% não tinham completado o ensino fundamental. (HOWAR, 2006, p. 23).</w:t>
      </w:r>
    </w:p>
    <w:p>
      <w:pPr>
        <w:spacing w:before="5"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Estado do Rio de Janeiro, no ano de 2002, conforme os dados estatísticos, 76,1% das mulheres encarceradas tinham entre 18 e 39 anos de idade e 56,4% eram não- brancas, ou seja, de outras etnias. Quanto à escolaridade, 69% não tinham sequer concluído o ensino fundamental e apenas 16,6% tinham instrução igual ou superior ao ensino médio completo (CENTRO DE ESTUDOS DE SEGURANÇA E CIDADANIA, 2002).</w:t>
      </w:r>
    </w:p>
    <w:p>
      <w:pPr>
        <w:spacing w:before="5" w:after="0" w:line="360"/>
        <w:ind w:right="106"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Esses dados estatísticos refletem a realidade das mulheres encarceradas em todo o país podendo ocorrer pequeno aumento ou diminuição nas porcentagens conforme a população carcerária de cada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Estado.</w:t>
      </w:r>
    </w:p>
    <w:p>
      <w:pPr>
        <w:spacing w:before="5" w:after="0" w:line="360"/>
        <w:ind w:right="108"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aos crimes mais cometidos por mulheres surgem os seguintes levantamentos: no Estado de São Paulo, 18% foram presas por tráfico ilícito de drogas; 7,6% por furto; 7% por homicídio e 2,7 por latrocínio. (HOWAR, 2006, p. 23).</w:t>
      </w:r>
    </w:p>
    <w:p>
      <w:pPr>
        <w:spacing w:before="5" w:after="0" w:line="360"/>
        <w:ind w:right="104" w:left="12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Constata-se que, se até os anos 70, o crime de furto era o mais praticado pelas mulheres, tal realidade se alterou ao longo do tempo, e nos dias atuais, as praticantes de tráfico ilícito de drogas superlotam 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prisões.</w:t>
      </w:r>
    </w:p>
    <w:p>
      <w:pPr>
        <w:spacing w:before="5" w:after="0" w:line="360"/>
        <w:ind w:right="112" w:left="12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Confirmando esses dados, uma reportagem da Revista Veja (SCHIVARTCH, 2000), afere o crescimento do número de mulheres presas pelo crime de tráfico ilícito de drogas e apresenta algumas peculiaridades: “elas exercem as funções menos perigosas e quase</w:t>
      </w:r>
    </w:p>
    <w:p>
      <w:pPr>
        <w:spacing w:before="4"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28" w:after="0" w:line="242"/>
        <w:ind w:right="111" w:left="120" w:firstLine="0"/>
        <w:jc w:val="left"/>
        <w:rPr>
          <w:rFonts w:ascii="Times New Roman" w:hAnsi="Times New Roman" w:cs="Times New Roman" w:eastAsia="Times New Roman"/>
          <w:color w:val="auto"/>
          <w:spacing w:val="0"/>
          <w:position w:val="8"/>
          <w:sz w:val="20"/>
          <w:shd w:fill="auto" w:val="clear"/>
        </w:rPr>
      </w:pPr>
      <w:r>
        <w:rPr>
          <w:rFonts w:ascii="Times New Roman" w:hAnsi="Times New Roman" w:cs="Times New Roman" w:eastAsia="Times New Roman"/>
          <w:color w:val="auto"/>
          <w:spacing w:val="0"/>
          <w:position w:val="8"/>
          <w:sz w:val="11"/>
          <w:shd w:fill="auto" w:val="clear"/>
        </w:rPr>
        <w:t xml:space="preserve">4 </w:t>
      </w:r>
      <w:r>
        <w:rPr>
          <w:rFonts w:ascii="Times New Roman" w:hAnsi="Times New Roman" w:cs="Times New Roman" w:eastAsia="Times New Roman"/>
          <w:color w:val="auto"/>
          <w:spacing w:val="0"/>
          <w:position w:val="8"/>
          <w:sz w:val="20"/>
          <w:shd w:fill="auto" w:val="clear"/>
        </w:rPr>
        <w:t xml:space="preserve">Informações disponíveis no site &lt;</w:t>
      </w:r>
      <w:hyperlink xmlns:r="http://schemas.openxmlformats.org/officeDocument/2006/relationships" r:id="docRId154">
        <w:r>
          <w:rPr>
            <w:rFonts w:ascii="Times New Roman" w:hAnsi="Times New Roman" w:cs="Times New Roman" w:eastAsia="Times New Roman"/>
            <w:color w:val="0000FF"/>
            <w:spacing w:val="0"/>
            <w:position w:val="8"/>
            <w:sz w:val="20"/>
            <w:u w:val="single"/>
            <w:shd w:fill="auto" w:val="clear"/>
          </w:rPr>
          <w:t xml:space="preserve">http://conexaoto.com.br/noticia/mulheres-sao-presas-junto-com-homens-ha-</w:t>
        </w:r>
        <w:r>
          <w:rPr>
            <w:rFonts w:ascii="Times New Roman" w:hAnsi="Times New Roman" w:cs="Times New Roman" w:eastAsia="Times New Roman"/>
            <w:color w:val="0000FF"/>
            <w:spacing w:val="0"/>
            <w:position w:val="8"/>
            <w:sz w:val="20"/>
            <w:u w:val="single"/>
            <w:shd w:fill="auto" w:val="clear"/>
          </w:rPr>
          <w:t xml:space="preserve"> anos-diz-pastoral/957</w:t>
        </w:r>
      </w:hyperlink>
      <w:r>
        <w:rPr>
          <w:rFonts w:ascii="Times New Roman" w:hAnsi="Times New Roman" w:cs="Times New Roman" w:eastAsia="Times New Roman"/>
          <w:color w:val="auto"/>
          <w:spacing w:val="0"/>
          <w:position w:val="8"/>
          <w:sz w:val="20"/>
          <w:shd w:fill="auto" w:val="clear"/>
        </w:rPr>
        <w:t xml:space="preserve">&gt; Acesso em 26 jun. 2010.</w:t>
      </w:r>
    </w:p>
    <w:p>
      <w:pPr>
        <w:spacing w:before="0" w:after="0" w:line="242"/>
        <w:ind w:right="149" w:left="12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8"/>
          <w:sz w:val="11"/>
          <w:shd w:fill="auto" w:val="clear"/>
        </w:rPr>
        <w:t xml:space="preserve">5 </w:t>
      </w:r>
      <w:r>
        <w:rPr>
          <w:rFonts w:ascii="Times New Roman" w:hAnsi="Times New Roman" w:cs="Times New Roman" w:eastAsia="Times New Roman"/>
          <w:color w:val="auto"/>
          <w:spacing w:val="0"/>
          <w:position w:val="8"/>
          <w:sz w:val="20"/>
          <w:shd w:fill="auto" w:val="clear"/>
        </w:rPr>
        <w:t xml:space="preserve">A sigla corresponde à Fundação Professor Doutor Manoel Pedro Pimentel de Amparo ao Preso. Informações disponíveis no site </w:t>
      </w:r>
      <w:hyperlink xmlns:r="http://schemas.openxmlformats.org/officeDocument/2006/relationships" r:id="docRId155">
        <w:r>
          <w:rPr>
            <w:rFonts w:ascii="Times New Roman" w:hAnsi="Times New Roman" w:cs="Times New Roman" w:eastAsia="Times New Roman"/>
            <w:color w:val="0000FF"/>
            <w:spacing w:val="0"/>
            <w:position w:val="8"/>
            <w:sz w:val="20"/>
            <w:u w:val="single"/>
            <w:shd w:fill="auto" w:val="clear"/>
          </w:rPr>
          <w:t xml:space="preserve">http://www.funap.sp.gov.br/</w:t>
        </w:r>
      </w:hyperlink>
      <w:r>
        <w:rPr>
          <w:rFonts w:ascii="Times New Roman" w:hAnsi="Times New Roman" w:cs="Times New Roman" w:eastAsia="Times New Roman"/>
          <w:color w:val="auto"/>
          <w:spacing w:val="0"/>
          <w:position w:val="0"/>
          <w:sz w:val="20"/>
          <w:shd w:fill="auto" w:val="clear"/>
        </w:rPr>
        <w:t xml:space="preserve"> acesso em 14 jan. 2010.</w:t>
      </w:r>
    </w:p>
    <w:p>
      <w:pPr>
        <w:spacing w:before="0" w:after="0" w:line="242"/>
        <w:ind w:right="0" w:left="0" w:firstLine="0"/>
        <w:jc w:val="left"/>
        <w:rPr>
          <w:rFonts w:ascii="Times New Roman" w:hAnsi="Times New Roman" w:cs="Times New Roman" w:eastAsia="Times New Roman"/>
          <w:color w:val="auto"/>
          <w:spacing w:val="0"/>
          <w:position w:val="0"/>
          <w:sz w:val="20"/>
          <w:shd w:fill="auto" w:val="clear"/>
        </w:rPr>
      </w:pPr>
    </w:p>
    <w:p>
      <w:pPr>
        <w:spacing w:before="58" w:after="0" w:line="360"/>
        <w:ind w:right="113"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nunca são as donas do produto, elas se predominam como ‘mulas’...”. São as mulheres que levam e buscam a droga, mas, os negociadores e donos raramente são elas; na maioria das vezes são seus companheiros, irmãos ou até mesmo seus pais, ocupando, portanto, posição secundária na hierarquia do crime.</w:t>
      </w:r>
    </w:p>
    <w:p>
      <w:pPr>
        <w:spacing w:before="5" w:after="0" w:line="360"/>
        <w:ind w:right="106" w:left="120" w:firstLine="108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uma análise superficial, pode-se imaginar que as mulheres se dedicam a este crime devido ao uso de drogas, mas, as estatísticas demonstram que a motivação é econômica. De acordo com o acima estatuído, MISCIASCI (2010) afirma que devido às dificuldades de empregar-se no mercado formal, e podendo auferir ganhos sem sacrificar a família e sem que vizinhos e pessoas mais próximas percebam, “resolve se sujeitar à sorte,</w:t>
      </w:r>
    </w:p>
    <w:p>
      <w:pPr>
        <w:spacing w:before="5" w:after="0" w:line="240"/>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passando a ‘traficar’ no estalar de dedos.”</w:t>
      </w:r>
    </w:p>
    <w:p>
      <w:pPr>
        <w:spacing w:before="138" w:after="0" w:line="360"/>
        <w:ind w:right="110"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grande parte das mulheres encarceradas, sua condição de mães solteiras, chefes de família, mantenedoras do lar, em total estado de miséria, o crime de tráfico de drogas passou a representar a oportunidade imediata de melhoria na condição de vida própria, de seus filhos e da família em geral, ou seja, houve motivação exclusivamente econômica  para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delinqüir.</w:t>
      </w:r>
    </w:p>
    <w:p>
      <w:pPr>
        <w:spacing w:before="5" w:after="0" w:line="360"/>
        <w:ind w:right="111" w:left="120" w:firstLine="1078"/>
        <w:jc w:val="both"/>
        <w:rPr>
          <w:rFonts w:ascii="Times New Roman" w:hAnsi="Times New Roman" w:cs="Times New Roman" w:eastAsia="Times New Roman"/>
          <w:color w:val="auto"/>
          <w:spacing w:val="0"/>
          <w:position w:val="9"/>
          <w:sz w:val="14"/>
          <w:shd w:fill="auto" w:val="clear"/>
        </w:rPr>
      </w:pPr>
      <w:r>
        <w:rPr>
          <w:rFonts w:ascii="Times New Roman" w:hAnsi="Times New Roman" w:cs="Times New Roman" w:eastAsia="Times New Roman"/>
          <w:color w:val="auto"/>
          <w:spacing w:val="0"/>
          <w:position w:val="0"/>
          <w:sz w:val="24"/>
          <w:shd w:fill="auto" w:val="clear"/>
        </w:rPr>
        <w:t xml:space="preserve">A verba adquirida com o crime serve como forma de auferir renda financeira para essas mulheres e sua família. Logo, considerando-se que, comprovadamente, as  conseqüências da pobreza atingem de forma mais severa as mulheres, não é difícil entender a razão do seu maior envolvimento no tráfico de entorpecentes.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9"/>
          <w:sz w:val="14"/>
          <w:shd w:fill="auto" w:val="clear"/>
        </w:rPr>
        <w:t xml:space="preserve">6</w:t>
      </w:r>
    </w:p>
    <w:p>
      <w:pPr>
        <w:spacing w:before="4"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no ano de 2002, pesquisas constatavam essa realidade. Um artigo publicado no Boletim Segurança e Cidadania afirma que no Estado do Rio de Janeiro, 78,4% das presas condenadas por tráfico de drogas, diziam ocupar funções subalternas na hierarquia do tráfico. Algumas delas se definiam como “bucha”, que seria aquela pessoa presa por estar presente no local em que foram efetuadas outras prisões, seja como consumidora, esposa ou até mesmo vizinha dos efetivos traficantes (CENTRO DE ESTUDOS DE SEGURANÇA E CIDADANIA, 2002.).</w:t>
      </w:r>
    </w:p>
    <w:p>
      <w:pPr>
        <w:spacing w:before="5" w:after="0" w:line="360"/>
        <w:ind w:right="108"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crescimento contínuo da população carcerária feminina, além da quase irremediável questão da superlotação, chama a atenção para a necessidade de soluções imediatas para vários problemas específicos deste gênero.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8" w:after="0" w:line="242"/>
        <w:ind w:right="109" w:left="12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8"/>
          <w:sz w:val="11"/>
          <w:shd w:fill="auto" w:val="clear"/>
        </w:rPr>
        <w:t xml:space="preserve">6 </w:t>
      </w:r>
      <w:r>
        <w:rPr>
          <w:rFonts w:ascii="Times New Roman" w:hAnsi="Times New Roman" w:cs="Times New Roman" w:eastAsia="Times New Roman"/>
          <w:color w:val="auto"/>
          <w:spacing w:val="0"/>
          <w:position w:val="8"/>
          <w:sz w:val="20"/>
          <w:shd w:fill="auto" w:val="clear"/>
        </w:rPr>
        <w:t xml:space="preserve">Nesse sentido: “A pobreza na América Latina atinge com mais força as crianças e mulheres do que o restante  da população: é 1,7 vezes mais alta para os menores de 15 anos do que para os adultos, e 1,15 vezes maior para as mulheres do que para os homens, segundo o relatório da Cepal “Panorama Social da América Latina 2009”, apresentado hoje,”conforme informação disponível no site: &lt;</w:t>
      </w:r>
      <w:hyperlink xmlns:r="http://schemas.openxmlformats.org/officeDocument/2006/relationships" r:id="docRId156">
        <w:r>
          <w:rPr>
            <w:rFonts w:ascii="Times New Roman" w:hAnsi="Times New Roman" w:cs="Times New Roman" w:eastAsia="Times New Roman"/>
            <w:color w:val="0000FF"/>
            <w:spacing w:val="0"/>
            <w:position w:val="8"/>
            <w:sz w:val="20"/>
            <w:u w:val="single"/>
            <w:shd w:fill="auto" w:val="clear"/>
          </w:rPr>
          <w:t xml:space="preserve">http://www.clicrbs.com.br/especial/rs/portal-</w:t>
        </w:r>
      </w:hyperlink>
      <w:r>
        <w:rPr>
          <w:rFonts w:ascii="Times New Roman" w:hAnsi="Times New Roman" w:cs="Times New Roman" w:eastAsia="Times New Roman"/>
          <w:color w:val="auto"/>
          <w:spacing w:val="0"/>
          <w:position w:val="0"/>
          <w:sz w:val="20"/>
          <w:shd w:fill="auto" w:val="clear"/>
        </w:rPr>
        <w:t xml:space="preserve"> </w:t>
      </w:r>
      <w:hyperlink xmlns:r="http://schemas.openxmlformats.org/officeDocument/2006/relationships" r:id="docRId157">
        <w:r>
          <w:rPr>
            <w:rFonts w:ascii="Times New Roman" w:hAnsi="Times New Roman" w:cs="Times New Roman" w:eastAsia="Times New Roman"/>
            <w:color w:val="0000FF"/>
            <w:spacing w:val="0"/>
            <w:position w:val="0"/>
            <w:sz w:val="20"/>
            <w:u w:val="single"/>
            <w:shd w:fill="auto" w:val="clear"/>
          </w:rPr>
          <w:t xml:space="preserve">social/19,0,2728460,Pobreza-atinge-mais-as-mulheres-e-criancas-na-America-Latina.html</w:t>
        </w:r>
      </w:hyperlink>
      <w:r>
        <w:rPr>
          <w:rFonts w:ascii="Times New Roman" w:hAnsi="Times New Roman" w:cs="Times New Roman" w:eastAsia="Times New Roman"/>
          <w:color w:val="auto"/>
          <w:spacing w:val="0"/>
          <w:position w:val="0"/>
          <w:sz w:val="20"/>
          <w:shd w:fill="auto" w:val="clear"/>
        </w:rPr>
        <w:t xml:space="preserve">&gt; Acesso em 22 jan. 2010.</w:t>
      </w:r>
    </w:p>
    <w:p>
      <w:pPr>
        <w:spacing w:before="0" w:after="0" w:line="242"/>
        <w:ind w:right="0" w:left="0" w:firstLine="0"/>
        <w:jc w:val="both"/>
        <w:rPr>
          <w:rFonts w:ascii="Times New Roman" w:hAnsi="Times New Roman" w:cs="Times New Roman" w:eastAsia="Times New Roman"/>
          <w:color w:val="auto"/>
          <w:spacing w:val="0"/>
          <w:position w:val="0"/>
          <w:sz w:val="20"/>
          <w:shd w:fill="auto" w:val="clear"/>
        </w:rPr>
      </w:pPr>
    </w:p>
    <w:p>
      <w:pPr>
        <w:spacing w:before="58" w:after="0" w:line="360"/>
        <w:ind w:right="169"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dados do DEPARTAMENTO PENITENCIÁRIO NACIONAL (2010) entre os anos de 2000 a 2006, a taxa de encarceramento de mulheres aumentou 135,37%, enquanto a masculina aumentou 53,36% no mesmo período, conforme demonstra a tabela abaixo: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6"/>
          <w:shd w:fill="auto" w:val="clear"/>
        </w:rPr>
      </w:pPr>
    </w:p>
    <w:tbl>
      <w:tblPr>
        <w:tblInd w:w="113" w:type="dxa"/>
      </w:tblPr>
      <w:tblGrid>
        <w:gridCol w:w="2194"/>
        <w:gridCol w:w="2304"/>
        <w:gridCol w:w="2302"/>
        <w:gridCol w:w="2314"/>
      </w:tblGrid>
      <w:tr>
        <w:trPr>
          <w:trHeight w:val="588"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774" w:left="0" w:firstLine="0"/>
              <w:jc w:val="righ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ANO</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460" w:left="649"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MULHERES</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399" w:left="586"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TOTAL</w:t>
            </w:r>
          </w:p>
          <w:p>
            <w:pPr>
              <w:spacing w:before="116" w:after="0" w:line="240"/>
              <w:ind w:right="399" w:left="586"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POPULAÇÃO</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88"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w:t>
            </w:r>
          </w:p>
        </w:tc>
      </w:tr>
      <w:tr>
        <w:trPr>
          <w:trHeight w:val="240"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9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2000</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460" w:left="648"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5.601</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2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174.980</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862" w:left="1052"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3,20</w:t>
            </w:r>
          </w:p>
        </w:tc>
      </w:tr>
      <w:tr>
        <w:trPr>
          <w:trHeight w:val="242"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79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2001</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460" w:left="648"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5.687</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72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171.366</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862" w:left="1052"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3,32</w:t>
            </w:r>
          </w:p>
        </w:tc>
      </w:tr>
      <w:tr>
        <w:trPr>
          <w:trHeight w:val="240"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9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2002</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460" w:left="648"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5.897</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2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181.019</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862" w:left="1052"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3,26</w:t>
            </w:r>
          </w:p>
        </w:tc>
      </w:tr>
      <w:tr>
        <w:trPr>
          <w:trHeight w:val="242"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79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2003</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460" w:left="648"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9.863</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72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240.203</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862" w:left="1052"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4,11</w:t>
            </w:r>
          </w:p>
        </w:tc>
      </w:tr>
      <w:tr>
        <w:trPr>
          <w:trHeight w:val="240"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9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2004</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460" w:left="648"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16.473</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2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262.710</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862" w:left="1052"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6,27</w:t>
            </w:r>
          </w:p>
        </w:tc>
      </w:tr>
      <w:tr>
        <w:trPr>
          <w:trHeight w:val="242"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79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2005</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460" w:left="648"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12.469</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72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289.046</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862" w:left="1052"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4,31</w:t>
            </w:r>
          </w:p>
        </w:tc>
      </w:tr>
      <w:tr>
        <w:trPr>
          <w:trHeight w:val="240" w:hRule="auto"/>
          <w:jc w:val="left"/>
        </w:trPr>
        <w:tc>
          <w:tcPr>
            <w:tcW w:w="219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9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2006</w:t>
            </w:r>
          </w:p>
        </w:tc>
        <w:tc>
          <w:tcPr>
            <w:tcW w:w="230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460" w:left="648"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14.058</w:t>
            </w:r>
          </w:p>
        </w:tc>
        <w:tc>
          <w:tcPr>
            <w:tcW w:w="230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725"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308.786</w:t>
            </w:r>
          </w:p>
        </w:tc>
        <w:tc>
          <w:tcPr>
            <w:tcW w:w="23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862" w:left="1052"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4,55</w:t>
            </w:r>
          </w:p>
        </w:tc>
      </w:tr>
    </w:tbl>
    <w:p>
      <w:pPr>
        <w:spacing w:before="11" w:after="0" w:line="240"/>
        <w:ind w:right="0" w:left="0" w:firstLine="0"/>
        <w:jc w:val="left"/>
        <w:rPr>
          <w:rFonts w:ascii="Times New Roman" w:hAnsi="Times New Roman" w:cs="Times New Roman" w:eastAsia="Times New Roman"/>
          <w:color w:val="auto"/>
          <w:spacing w:val="0"/>
          <w:position w:val="0"/>
          <w:sz w:val="29"/>
          <w:shd w:fill="auto" w:val="clear"/>
        </w:rPr>
      </w:pPr>
    </w:p>
    <w:p>
      <w:pPr>
        <w:spacing w:before="69" w:after="0" w:line="360"/>
        <w:ind w:right="166" w:left="120" w:firstLine="1080"/>
        <w:jc w:val="both"/>
        <w:rPr>
          <w:rFonts w:ascii="Times New Roman" w:hAnsi="Times New Roman" w:cs="Times New Roman" w:eastAsia="Times New Roman"/>
          <w:color w:val="auto"/>
          <w:spacing w:val="0"/>
          <w:position w:val="9"/>
          <w:sz w:val="14"/>
          <w:shd w:fill="auto" w:val="clear"/>
        </w:rPr>
      </w:pPr>
      <w:r>
        <w:rPr>
          <w:rFonts w:ascii="Times New Roman" w:hAnsi="Times New Roman" w:cs="Times New Roman" w:eastAsia="Times New Roman"/>
          <w:color w:val="auto"/>
          <w:spacing w:val="0"/>
          <w:position w:val="0"/>
          <w:sz w:val="24"/>
          <w:shd w:fill="auto" w:val="clear"/>
        </w:rPr>
        <w:t xml:space="preserve">No Brasil, mais de 27 mil mulheres estão atrás das grades, distribuídas em praticamente 40 penitenciárias femininas, além das delegacias. A cada ano, o número de homens presos cresce 4%, enquanto o de mulheres aumenta 11%, quase o triplo. </w:t>
      </w:r>
      <w:r>
        <w:rPr>
          <w:rFonts w:ascii="Times New Roman" w:hAnsi="Times New Roman" w:cs="Times New Roman" w:eastAsia="Times New Roman"/>
          <w:color w:val="auto"/>
          <w:spacing w:val="0"/>
          <w:position w:val="9"/>
          <w:sz w:val="14"/>
          <w:shd w:fill="auto" w:val="clear"/>
        </w:rPr>
        <w:t xml:space="preserve">7</w:t>
      </w:r>
    </w:p>
    <w:p>
      <w:pPr>
        <w:spacing w:before="4" w:after="0" w:line="360"/>
        <w:ind w:right="170"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Essas mulheres vivem em condições degradantes e a estrutura prisional torna-se a cada dia mais precária e insuficiente, sem que seja respeitado o princípio básico da dignidade da pessoa humana, sem que sejam respeitados os direitos humanos das mulheres.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155"/>
        </w:numPr>
        <w:tabs>
          <w:tab w:val="left" w:pos="1438" w:leader="none"/>
        </w:tabs>
        <w:spacing w:before="143" w:after="0" w:line="240"/>
        <w:ind w:right="0" w:left="1438" w:hanging="24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Direitos Humanos da Mulher</w:t>
      </w:r>
      <w:r>
        <w:rPr>
          <w:rFonts w:ascii="Times New Roman" w:hAnsi="Times New Roman" w:cs="Times New Roman" w:eastAsia="Times New Roman"/>
          <w:b/>
          <w:color w:val="auto"/>
          <w:spacing w:val="-14"/>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Encarcerada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numPr>
          <w:ilvl w:val="0"/>
          <w:numId w:val="4157"/>
        </w:numPr>
        <w:tabs>
          <w:tab w:val="left" w:pos="1558" w:leader="none"/>
        </w:tabs>
        <w:spacing w:before="0" w:after="0" w:line="240"/>
        <w:ind w:right="0" w:left="155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Relações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Familiares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168" w:left="12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enclausuramento feminino gera diversas conseqüências não somente à pessoa da condenada, mas também, no que tange à estrutura familiar. É sabido que o sistema prisional adotado pelo Brasil, é de isolamento, portanto, naturalmente, ocorrerá uma ruptura nos relacionamentos familiares e amigáveis. Este afastamento das pessoas do convívio das encarceradas, além de afetar gravemente o seu bem-estar psicológico, certamente prejudicará sua futura readaptação na sociedade.</w:t>
      </w:r>
    </w:p>
    <w:p>
      <w:pPr>
        <w:spacing w:before="5" w:after="0" w:line="360"/>
        <w:ind w:right="165"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do encarceramento dificultar as relações familiares para ambos os gêneros, as presas mulheres geralmente experimentam um nível maior de rejeição e abandono por  parte da família, amigos e parceiros, comparado aos presos</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homens.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3"/>
          <w:shd w:fill="auto" w:val="clear"/>
        </w:rPr>
      </w:pPr>
    </w:p>
    <w:p>
      <w:pPr>
        <w:tabs>
          <w:tab w:val="left" w:pos="497" w:leader="none"/>
          <w:tab w:val="left" w:pos="1815" w:leader="none"/>
          <w:tab w:val="left" w:pos="3045" w:leader="none"/>
          <w:tab w:val="left" w:pos="3565" w:leader="none"/>
          <w:tab w:val="left" w:pos="4161" w:leader="none"/>
        </w:tabs>
        <w:spacing w:before="28" w:after="0" w:line="242"/>
        <w:ind w:right="167" w:left="12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8"/>
          <w:sz w:val="11"/>
          <w:shd w:fill="auto" w:val="clear"/>
        </w:rPr>
        <w:t xml:space="preserve">7</w:t>
        <w:tab/>
      </w:r>
      <w:r>
        <w:rPr>
          <w:rFonts w:ascii="Times New Roman" w:hAnsi="Times New Roman" w:cs="Times New Roman" w:eastAsia="Times New Roman"/>
          <w:color w:val="auto"/>
          <w:spacing w:val="0"/>
          <w:position w:val="8"/>
          <w:sz w:val="20"/>
          <w:shd w:fill="auto" w:val="clear"/>
        </w:rPr>
        <w:t xml:space="preserve">Informações</w:t>
        <w:tab/>
        <w:t xml:space="preserve">disponíveis</w:t>
        <w:tab/>
        <w:t xml:space="preserve">no</w:t>
        <w:tab/>
        <w:t xml:space="preserve">site</w:t>
        <w:tab/>
      </w:r>
      <w:r>
        <w:rPr>
          <w:rFonts w:ascii="Times New Roman" w:hAnsi="Times New Roman" w:cs="Times New Roman" w:eastAsia="Times New Roman"/>
          <w:color w:val="auto"/>
          <w:spacing w:val="-1"/>
          <w:position w:val="8"/>
          <w:sz w:val="20"/>
          <w:shd w:fill="auto" w:val="clear"/>
        </w:rPr>
        <w:t xml:space="preserve">&lt;</w:t>
      </w:r>
      <w:hyperlink xmlns:r="http://schemas.openxmlformats.org/officeDocument/2006/relationships" r:id="docRId158">
        <w:r>
          <w:rPr>
            <w:rFonts w:ascii="Times New Roman" w:hAnsi="Times New Roman" w:cs="Times New Roman" w:eastAsia="Times New Roman"/>
            <w:color w:val="0000FF"/>
            <w:spacing w:val="-1"/>
            <w:position w:val="8"/>
            <w:sz w:val="20"/>
            <w:u w:val="single"/>
            <w:shd w:fill="auto" w:val="clear"/>
          </w:rPr>
          <w:t xml:space="preserve">http://g1.globo.com/Noticias/Brasil/0,,MUL751484-5598,00-</w:t>
        </w:r>
      </w:hyperlink>
      <w:r>
        <w:rPr>
          <w:rFonts w:ascii="Times New Roman" w:hAnsi="Times New Roman" w:cs="Times New Roman" w:eastAsia="Times New Roman"/>
          <w:color w:val="auto"/>
          <w:spacing w:val="-1"/>
          <w:position w:val="0"/>
          <w:sz w:val="20"/>
          <w:shd w:fill="auto" w:val="clear"/>
        </w:rPr>
        <w:t xml:space="preserve"> </w:t>
      </w:r>
      <w:hyperlink xmlns:r="http://schemas.openxmlformats.org/officeDocument/2006/relationships" r:id="docRId159">
        <w:r>
          <w:rPr>
            <w:rFonts w:ascii="Times New Roman" w:hAnsi="Times New Roman" w:cs="Times New Roman" w:eastAsia="Times New Roman"/>
            <w:color w:val="0000FF"/>
            <w:spacing w:val="0"/>
            <w:position w:val="0"/>
            <w:sz w:val="20"/>
            <w:u w:val="single"/>
            <w:shd w:fill="auto" w:val="clear"/>
          </w:rPr>
          <w:t xml:space="preserve">BRASIL+TEM+MAIS+ DE+MIL+MULHERES+PRESAS.html</w:t>
        </w:r>
      </w:hyperlink>
      <w:r>
        <w:rPr>
          <w:rFonts w:ascii="Times New Roman" w:hAnsi="Times New Roman" w:cs="Times New Roman" w:eastAsia="Times New Roman"/>
          <w:color w:val="auto"/>
          <w:spacing w:val="0"/>
          <w:position w:val="0"/>
          <w:sz w:val="20"/>
          <w:shd w:fill="auto" w:val="clear"/>
        </w:rPr>
        <w:t xml:space="preserve">&gt;. Acesso em 08 fev.</w:t>
      </w:r>
      <w:r>
        <w:rPr>
          <w:rFonts w:ascii="Times New Roman" w:hAnsi="Times New Roman" w:cs="Times New Roman" w:eastAsia="Times New Roman"/>
          <w:color w:val="auto"/>
          <w:spacing w:val="-2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2010.</w:t>
      </w:r>
    </w:p>
    <w:p>
      <w:pPr>
        <w:spacing w:before="0" w:after="0" w:line="242"/>
        <w:ind w:right="0" w:left="0" w:firstLine="0"/>
        <w:jc w:val="left"/>
        <w:rPr>
          <w:rFonts w:ascii="Times New Roman" w:hAnsi="Times New Roman" w:cs="Times New Roman" w:eastAsia="Times New Roman"/>
          <w:color w:val="auto"/>
          <w:spacing w:val="0"/>
          <w:position w:val="0"/>
          <w:sz w:val="20"/>
          <w:shd w:fill="auto" w:val="clear"/>
        </w:rPr>
      </w:pPr>
    </w:p>
    <w:p>
      <w:pPr>
        <w:spacing w:before="58" w:after="0" w:line="360"/>
        <w:ind w:right="109"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Manter contato com as famílias é de extrema importância para as prisioneiras. A grande maioria delas possui filhos e companheiros afetivos, sem falar obviamente, nos demais familiares e amigos. Essas mulheres têm medo de perder a custódia de seus filhos, que seus companheiros as abandonem e que seu grupo social as rejeite após o cumprimento da pena.</w:t>
      </w:r>
    </w:p>
    <w:p>
      <w:pPr>
        <w:spacing w:before="5" w:after="0" w:line="360"/>
        <w:ind w:right="106" w:left="120" w:firstLine="1080"/>
        <w:jc w:val="both"/>
        <w:rPr>
          <w:rFonts w:ascii="Times New Roman" w:hAnsi="Times New Roman" w:cs="Times New Roman" w:eastAsia="Times New Roman"/>
          <w:color w:val="auto"/>
          <w:spacing w:val="0"/>
          <w:position w:val="9"/>
          <w:sz w:val="24"/>
          <w:shd w:fill="auto" w:val="clear"/>
        </w:rPr>
      </w:pPr>
      <w:r>
        <w:rPr>
          <w:rFonts w:ascii="Times New Roman" w:hAnsi="Times New Roman" w:cs="Times New Roman" w:eastAsia="Times New Roman"/>
          <w:color w:val="auto"/>
          <w:spacing w:val="0"/>
          <w:position w:val="0"/>
          <w:sz w:val="24"/>
          <w:shd w:fill="auto" w:val="clear"/>
        </w:rPr>
        <w:t xml:space="preserve">A lei brasileira assegura aos encarcerados o direito de manter contato com suas famílias por meio de visitas e correspondências.</w:t>
      </w:r>
      <w:r>
        <w:rPr>
          <w:rFonts w:ascii="Times New Roman" w:hAnsi="Times New Roman" w:cs="Times New Roman" w:eastAsia="Times New Roman"/>
          <w:color w:val="auto"/>
          <w:spacing w:val="0"/>
          <w:position w:val="9"/>
          <w:sz w:val="14"/>
          <w:shd w:fill="auto" w:val="clear"/>
        </w:rPr>
        <w:t xml:space="preserve">8 </w:t>
      </w:r>
      <w:r>
        <w:rPr>
          <w:rFonts w:ascii="Times New Roman" w:hAnsi="Times New Roman" w:cs="Times New Roman" w:eastAsia="Times New Roman"/>
          <w:color w:val="auto"/>
          <w:spacing w:val="0"/>
          <w:position w:val="9"/>
          <w:sz w:val="24"/>
          <w:shd w:fill="auto" w:val="clear"/>
        </w:rPr>
        <w:t xml:space="preserve">Mesmo assim, as mulheres encarceradas, em sua maioria, são totalmente abandonadas, esquecidas por seus familiares e principalmente por seus companheiros, namorados ou cônjuges.</w:t>
      </w:r>
    </w:p>
    <w:p>
      <w:pPr>
        <w:spacing w:before="5" w:after="0" w:line="360"/>
        <w:ind w:right="113"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primeira dificuldade apontada é a localização dos presídios femininos, a maioria nas capitais dos Estados. Devido à escassez de vagas, as mulheres presidiárias frequentemente estão encarceradas a grande distância de onde vivem suas famílias, que na maioria das vezes não têm condições financeiras para visitá-las.</w:t>
      </w:r>
    </w:p>
    <w:p>
      <w:pPr>
        <w:spacing w:before="5"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questão que aparece como um facilitador do abandono familiar em todas as fontes bibliográficas consultadas, é o tratamento aplicado aos visitantes. A grande maioria dos presídios, tanto masculinos quanto femininos, não conta com um equipamento de detecção de metais adequado, o que significa que todos os visitantes têm que se sujeitar a passar por um constrangimento de revista corporal sem roupa, onde são obrigados a agachar e muitas vezes, sofrer até mesmo revista vaginal e ou anal.</w:t>
      </w:r>
    </w:p>
    <w:p>
      <w:pPr>
        <w:spacing w:before="5" w:after="0" w:line="360"/>
        <w:ind w:right="111"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explicação para o baixo número de visitas aos presídios femininos, é a falta de um espaço adequado para as visitas. Grande parte das penitenciárias ou cadeias, não possui uma área específica para as mulheres receberem suas visitas. As visitações normalmente ocorrem em pátio comunitário onde sequer existem assentos e instalações sanitárias, portanto, em condições extremamente desconfortáveis e degradantes.</w:t>
      </w:r>
    </w:p>
    <w:p>
      <w:pPr>
        <w:spacing w:before="5" w:after="0" w:line="360"/>
        <w:ind w:right="107" w:left="12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Tais condições, associadas a uma série de exigências para a entrada nos estabelecimentos prisionais, inviabilizam a visitação por parte de crianças, principalmente as pequenas, fazendo com que a maioria das presidiárias perca totalmente o contato com seus filhos durante anos inclusive porque, freqüentemente, estando a mãe encarcerada, ocorre a distribuição de seus filhos entre vários membros da família não–imediatos e há o  impedimento de ingresso caso a criança não esteja sob a guarda do acompanhante (HOWAR, 2006, p. 23-56).</w:t>
      </w:r>
    </w:p>
    <w:p>
      <w:pPr>
        <w:spacing w:before="5" w:after="0" w:line="360"/>
        <w:ind w:right="108" w:left="12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pesquisa realizada pela FUNAP (2010), 82% das mulheres presas tiveram filhos, sendo que 66% delas declararam que viviam com seus filhos até serem  presas.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28" w:after="0" w:line="240"/>
        <w:ind w:right="149" w:left="120" w:firstLine="0"/>
        <w:jc w:val="left"/>
        <w:rPr>
          <w:rFonts w:ascii="Times New Roman" w:hAnsi="Times New Roman" w:cs="Times New Roman" w:eastAsia="Times New Roman"/>
          <w:color w:val="auto"/>
          <w:spacing w:val="0"/>
          <w:position w:val="8"/>
          <w:sz w:val="20"/>
          <w:shd w:fill="auto" w:val="clear"/>
        </w:rPr>
      </w:pPr>
      <w:r>
        <w:rPr>
          <w:rFonts w:ascii="Times New Roman" w:hAnsi="Times New Roman" w:cs="Times New Roman" w:eastAsia="Times New Roman"/>
          <w:color w:val="auto"/>
          <w:spacing w:val="0"/>
          <w:position w:val="8"/>
          <w:sz w:val="11"/>
          <w:shd w:fill="auto" w:val="clear"/>
        </w:rPr>
        <w:t xml:space="preserve">8</w:t>
      </w:r>
      <w:r>
        <w:rPr>
          <w:rFonts w:ascii="Times New Roman" w:hAnsi="Times New Roman" w:cs="Times New Roman" w:eastAsia="Times New Roman"/>
          <w:color w:val="auto"/>
          <w:spacing w:val="0"/>
          <w:position w:val="8"/>
          <w:sz w:val="20"/>
          <w:shd w:fill="auto" w:val="clear"/>
        </w:rPr>
        <w:t xml:space="preserve">. Nesse sentido vide Lei de Execução Penal, Lei Ordinária n.7210, de 11 de julho de 1987, art. 41, XV.</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8" w:after="0" w:line="360"/>
        <w:ind w:right="162"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realidade é diversa da constatada nos presídios masculinos, onde 66% dos homens  presos tinham filhos, mas apenas 9% deles disseram viver com eles antes do</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encarceramento.</w:t>
      </w:r>
    </w:p>
    <w:p>
      <w:pPr>
        <w:spacing w:before="5" w:after="0" w:line="360"/>
        <w:ind w:right="110"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a mesma pesquisa, apenas 20% das mulheres deixaram os filhos com o pai após serem detidas, e 40% delas, com as avós maternas. Tal situação diferiu drasticamente entre os presos homens, pois os filhos de 87% permaneceram com as respectivas mães. Percebe-se com isso, que na maioria dos casos, a responsabilidade pelo cuidado com a prole das presas é assumido por outras familiares mulheres e não pelo pai da criança.</w:t>
      </w:r>
    </w:p>
    <w:p>
      <w:pPr>
        <w:spacing w:before="5" w:after="0" w:line="360"/>
        <w:ind w:right="111"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Constata-se, assim, que as visitas pouco freqüentes de membros da família se mostram um problema sério, pois a maior parte das prisioneiras dependem de seus familiares para lhes trazerem produtos de higiene pessoal, medicamentos e roupas de cama, itens não providos pelo Estado, além, é claro, da perda da relação maternal com os filhos, fato que gerará grandes problemas futuros também para aquela criança privada do convívio materno.</w:t>
      </w:r>
    </w:p>
    <w:p>
      <w:pPr>
        <w:spacing w:before="5" w:after="0" w:line="360"/>
        <w:ind w:right="113"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visitação da família é um direito incontestável, que deve ser incentivada, como elemento de grande influencia na manutenção dos laços afetivos e na reinserção na sociedade.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181"/>
        </w:numPr>
        <w:tabs>
          <w:tab w:val="left" w:pos="1538" w:leader="none"/>
        </w:tabs>
        <w:spacing w:before="143" w:after="0" w:line="240"/>
        <w:ind w:right="0" w:left="153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Direito à visita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íntima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105"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a visita íntima foi permitida pela primeira vez em 1924 aos reclusos que tivessem bom comportamento e fossem casados civilmente. Em 1929 foi retirada a exigência do casamento civil, e em 1933 foi estendida aos presos provisórios. Atualmente no Brasil, a visita íntima é permitida em todos os estabelecimentos prisionais masculinos, e com condições, na maioria dos estabelecimentos prisionais femininos (SANTOS, 2003).</w:t>
      </w:r>
    </w:p>
    <w:p>
      <w:pPr>
        <w:spacing w:before="5" w:after="0" w:line="360"/>
        <w:ind w:right="110"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Convém ressaltar que, embora esse direito seja amplamente reconhecido, as políticas de visitação conjugal de muitos Estados da federação discriminam as presidiárias. Enquanto os homens presos tendem a receber livremente essas visitas, com pouco ou praticamente nenhum controle, as apenadas muitas vezes não podem recebê-las, ou as recebem sob condições extremamente restritas, e somente mediante a autorização da Direção de cada estabelecimento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prisional.</w:t>
      </w:r>
    </w:p>
    <w:p>
      <w:pPr>
        <w:spacing w:before="5" w:after="0" w:line="360"/>
        <w:ind w:right="114"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postura, comum em grande parte dos presídios femininos retrata, na prática, a discriminação de gênero no cotidiano.</w:t>
      </w:r>
    </w:p>
    <w:p>
      <w:pPr>
        <w:spacing w:before="5" w:after="0" w:line="360"/>
        <w:ind w:right="113"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Tal fato deve-se à questão implícita da liberdade sexual da mulher, em confronto com os valores pseudo-morais da sociedade patriarcal e sexista. </w:t>
      </w:r>
    </w:p>
    <w:p>
      <w:pPr>
        <w:spacing w:before="5" w:after="0" w:line="360"/>
        <w:ind w:right="113" w:left="100" w:firstLine="1080"/>
        <w:jc w:val="both"/>
        <w:rPr>
          <w:rFonts w:ascii="Times New Roman" w:hAnsi="Times New Roman" w:cs="Times New Roman" w:eastAsia="Times New Roman"/>
          <w:color w:val="auto"/>
          <w:spacing w:val="0"/>
          <w:position w:val="0"/>
          <w:sz w:val="24"/>
          <w:shd w:fill="auto" w:val="clear"/>
        </w:rPr>
      </w:pPr>
    </w:p>
    <w:p>
      <w:pPr>
        <w:spacing w:before="5" w:after="0" w:line="360"/>
        <w:ind w:right="113" w:left="100" w:firstLine="1080"/>
        <w:jc w:val="both"/>
        <w:rPr>
          <w:rFonts w:ascii="Times New Roman" w:hAnsi="Times New Roman" w:cs="Times New Roman" w:eastAsia="Times New Roman"/>
          <w:color w:val="auto"/>
          <w:spacing w:val="0"/>
          <w:position w:val="0"/>
          <w:sz w:val="24"/>
          <w:shd w:fill="auto" w:val="clear"/>
        </w:rPr>
      </w:pPr>
    </w:p>
    <w:p>
      <w:pPr>
        <w:spacing w:before="5" w:after="0" w:line="360"/>
        <w:ind w:right="113" w:left="100" w:firstLine="1080"/>
        <w:jc w:val="both"/>
        <w:rPr>
          <w:rFonts w:ascii="Times New Roman" w:hAnsi="Times New Roman" w:cs="Times New Roman" w:eastAsia="Times New Roman"/>
          <w:color w:val="auto"/>
          <w:spacing w:val="0"/>
          <w:position w:val="0"/>
          <w:sz w:val="24"/>
          <w:shd w:fill="auto" w:val="clear"/>
        </w:rPr>
      </w:pPr>
    </w:p>
    <w:p>
      <w:pPr>
        <w:spacing w:before="5" w:after="0" w:line="360"/>
        <w:ind w:right="113"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Isto induz situações tão díspares que a Diretora Disciplinar da Penitenciária de Taubaté, afirma que “a primeira </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coisa que o homem ganha quando entra na cadeia é uma mulher. A primeira coisa que uma mulher perde é o marido.” (HOWAR, 2006, p. 74).</w:t>
      </w:r>
    </w:p>
    <w:p>
      <w:pPr>
        <w:spacing w:before="5" w:after="0" w:line="360"/>
        <w:ind w:right="108"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impedimento tradicional de visitas íntimas às reclusas, por parte da autoridade prisional reflete a dificuldade histórica que a sociedade tem de reconhecer e aceitar de forma natural a sexualidade feminina, ainda nos dias de hoje, vista como um “tabu”.</w:t>
      </w:r>
    </w:p>
    <w:p>
      <w:pPr>
        <w:spacing w:before="5" w:after="0" w:line="360"/>
        <w:ind w:right="112"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Admitindo-se a justificativa de que tal visita é rigorosamente controlada devido à possibilidade de que as presas engravidem, este argumento também é uma forma de discriminação contra as mulheres, uma vez que, esta é uma condição inerente e indissociável ao fato de ser mulher.</w:t>
      </w:r>
    </w:p>
    <w:p>
      <w:pPr>
        <w:spacing w:before="5" w:after="0" w:line="360"/>
        <w:ind w:right="110"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Sob o argumento acima, alguns estabelecimentos prisionais, simplesmente  proíbem as visitas íntimas, enquanto outros permitem com condições, tais como a exigência de apresentação da certidão de casamento ou de nascimento dos filhos, não sendo tolerada, portanto, a visita íntima de casal</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homossexual.</w:t>
      </w:r>
    </w:p>
    <w:p>
      <w:pPr>
        <w:spacing w:before="5" w:after="0" w:line="360"/>
        <w:ind w:right="108"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fator para a negação ou restrição ao direito de visita íntima há ainda a questão da população prisional feminina ser quantitativamente inferior à masculina. Assim, esta questão numérica aliada à idéia secularmente construída de que as mulheres são mais submissas aos regulamentos internos das prisões, cumulado com o pensamento de que com a concessão da visita íntima pode vir adstrito o rótulo de promiscuidade, são reafirmados os primados de dominação patriarcal e é justificada a negação ou restrição ao direito.</w:t>
      </w:r>
    </w:p>
    <w:p>
      <w:pPr>
        <w:spacing w:before="5" w:after="0" w:line="360"/>
        <w:ind w:right="111"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tais argumentos são falaciosos e não se sustentam na medida em que, no universo dessas mulheres, a visita íntima contribui para o fortalecimento da auto-estima, além de ser um elemento dinamizador no fortalecimento das relações familiares e pode contribuir para a ressocialização após o cumprimento da pena.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193"/>
        </w:numPr>
        <w:tabs>
          <w:tab w:val="left" w:pos="1538" w:leader="none"/>
        </w:tabs>
        <w:spacing w:before="143" w:after="0" w:line="240"/>
        <w:ind w:right="0" w:left="153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saúde das mulheres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encarceradas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105"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questão da saúde é um dos problemas mais prementes nos presídios e cadeias masculinos e femininos em todo o país. Mas, a crise na assistência à saúde tende a ter um efeito mais grave nas mulheres, as quais frequentemente requerem mais cuidados médicos  que os presos homens, além de necessitar de cuidados específicos, como atendimento ginecológico.</w:t>
      </w:r>
    </w:p>
    <w:p>
      <w:pPr>
        <w:spacing w:before="5" w:after="0" w:line="240"/>
        <w:ind w:right="0" w:left="11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confinamento propicia e agrava muitas doenças, tanto físicas como psicológicas.</w:t>
      </w:r>
    </w:p>
    <w:p>
      <w:pPr>
        <w:spacing w:before="138" w:after="0" w:line="240"/>
        <w:ind w:right="162"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relatório elaborado pela Organização das Nações Unidas (2010), informa que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58" w:after="0" w:line="360"/>
        <w:ind w:right="107" w:left="191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presas mulheres tendem a sofrer física e mentalmente em graus e com severidade que excedem, de longe, os presos ou as mulheres da população em geral. Parte disso pode estar relacionada às razões pelas quais elas foram encarceradas; por exemplo, dependência de drogas e problemas decorrentes de saúde, Outro fator é a maior prevalência de abuso sexual e exploração das mulheres antes e durante o encarceramento – problemas ginecológicos, HIV e outras doenças transmitidas sexualmente, gravidez e parto, ou</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aborto.</w:t>
      </w:r>
    </w:p>
    <w:p>
      <w:pPr>
        <w:spacing w:before="6"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instituições presidiárias são enormes alojamentos de doenças, como por exemplo, a tuberculose, pneumonia, dermatose, hepatite, diabete, DST/Aids... E estas doenças contagiosas não ficam restritas aos muros dos estabelecimentos penais, são levadas à sociedade pelos servidores penitenciários e também pelas visitas em geral. Essa realidade mostra que é de fundamental importância que se priorizem o pleno acesso das pessoas em situação de encarceramento ao sistema público de saúde.</w:t>
      </w:r>
    </w:p>
    <w:p>
      <w:pPr>
        <w:spacing w:before="5" w:after="0" w:line="360"/>
        <w:ind w:right="112"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próprio ambiente prisional contribui para a proliferação de doenças, fazendo com que os aprisionados tenham maiores risco de adoecer. MIRABETE (2009, p.59.) explica os fatores determinantes para a proliferação de doenças dentro dos presídios como sendo as más condições de higiene, alimentação, vestuário, aliadas à má alimentação, falta de atividade física, subnutrição 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desnutrição.</w:t>
      </w:r>
    </w:p>
    <w:p>
      <w:pPr>
        <w:spacing w:before="5" w:after="0" w:line="360"/>
        <w:ind w:right="106"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destes fatores explicitados, acredita-se que as altas incidências de problemas de saúde nos estabelecimentos carcerários estão intimamente ligadas ao estresse gerado pelas condições insalubres de vida.</w:t>
      </w:r>
    </w:p>
    <w:p>
      <w:pPr>
        <w:spacing w:before="5" w:after="0" w:line="360"/>
        <w:ind w:right="114"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é muito comum a alta incidência de infecções respiratórias, alergias, problemas digestivos e várias doenças venéreas entre a população carcerária.</w:t>
      </w:r>
    </w:p>
    <w:p>
      <w:pPr>
        <w:spacing w:before="5" w:after="0" w:line="360"/>
        <w:ind w:right="106"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Diversos fatores estruturais, como superlotação, confinamento excessivo, espaços inadequados, saneamento precário, falta de higiene, cumulado com torturas, violências físicas e ou suxuais, inexistência de atividades laborais, de visita íntima, má alimentação e uso excessivo de drogas lícitas ou ilícitas, fazem com que a mulher que adentrou em um estabelecimento penal em condição sadia, ao sair, tenha sérios problemas de saúde.</w:t>
      </w:r>
    </w:p>
    <w:p>
      <w:pPr>
        <w:spacing w:before="5" w:after="0" w:line="360"/>
        <w:ind w:right="106" w:left="120" w:firstLine="1080"/>
        <w:jc w:val="both"/>
        <w:rPr>
          <w:rFonts w:ascii="Times New Roman" w:hAnsi="Times New Roman" w:cs="Times New Roman" w:eastAsia="Times New Roman"/>
          <w:color w:val="auto"/>
          <w:spacing w:val="0"/>
          <w:position w:val="0"/>
          <w:sz w:val="24"/>
          <w:shd w:fill="auto" w:val="clear"/>
        </w:rPr>
      </w:pPr>
    </w:p>
    <w:p>
      <w:pPr>
        <w:spacing w:before="5" w:after="0" w:line="360"/>
        <w:ind w:right="114" w:left="120" w:firstLine="1080"/>
        <w:jc w:val="both"/>
        <w:rPr>
          <w:rFonts w:ascii="Times New Roman" w:hAnsi="Times New Roman" w:cs="Times New Roman" w:eastAsia="Times New Roman"/>
          <w:color w:val="auto"/>
          <w:spacing w:val="0"/>
          <w:position w:val="9"/>
          <w:sz w:val="24"/>
          <w:shd w:fill="auto" w:val="clear"/>
        </w:rPr>
      </w:pPr>
      <w:r>
        <w:rPr>
          <w:rFonts w:ascii="Times New Roman" w:hAnsi="Times New Roman" w:cs="Times New Roman" w:eastAsia="Times New Roman"/>
          <w:color w:val="auto"/>
          <w:spacing w:val="0"/>
          <w:position w:val="0"/>
          <w:sz w:val="24"/>
          <w:shd w:fill="auto" w:val="clear"/>
        </w:rPr>
        <w:t xml:space="preserve"> sistema carcerário” </w:t>
      </w:r>
      <w:r>
        <w:rPr>
          <w:rFonts w:ascii="Times New Roman" w:hAnsi="Times New Roman" w:cs="Times New Roman" w:eastAsia="Times New Roman"/>
          <w:color w:val="auto"/>
          <w:spacing w:val="0"/>
          <w:position w:val="9"/>
          <w:sz w:val="14"/>
          <w:shd w:fill="auto" w:val="clear"/>
        </w:rPr>
        <w:t xml:space="preserve">9  </w:t>
      </w:r>
      <w:r>
        <w:rPr>
          <w:rFonts w:ascii="Times New Roman" w:hAnsi="Times New Roman" w:cs="Times New Roman" w:eastAsia="Times New Roman"/>
          <w:color w:val="auto"/>
          <w:spacing w:val="0"/>
          <w:position w:val="9"/>
          <w:sz w:val="24"/>
          <w:shd w:fill="auto" w:val="clear"/>
        </w:rPr>
        <w:t xml:space="preserve">que tratou especificamente sobre o tema ”A saúde da mulher no  sistema</w:t>
      </w:r>
    </w:p>
    <w:p>
      <w:pPr>
        <w:spacing w:before="0" w:after="0" w:line="242"/>
        <w:ind w:right="109" w:left="120" w:firstLine="0"/>
        <w:jc w:val="both"/>
        <w:rPr>
          <w:rFonts w:ascii="Times New Roman" w:hAnsi="Times New Roman" w:cs="Times New Roman" w:eastAsia="Times New Roman"/>
          <w:color w:val="auto"/>
          <w:spacing w:val="0"/>
          <w:position w:val="8"/>
          <w:sz w:val="20"/>
          <w:shd w:fill="auto" w:val="clear"/>
        </w:rPr>
      </w:pPr>
      <w:r>
        <w:rPr>
          <w:rFonts w:ascii="Times New Roman" w:hAnsi="Times New Roman" w:cs="Times New Roman" w:eastAsia="Times New Roman"/>
          <w:color w:val="auto"/>
          <w:spacing w:val="0"/>
          <w:position w:val="8"/>
          <w:sz w:val="11"/>
          <w:shd w:fill="auto" w:val="clear"/>
        </w:rPr>
        <w:t xml:space="preserve">9 </w:t>
      </w:r>
      <w:r>
        <w:rPr>
          <w:rFonts w:ascii="Times New Roman" w:hAnsi="Times New Roman" w:cs="Times New Roman" w:eastAsia="Times New Roman"/>
          <w:color w:val="auto"/>
          <w:spacing w:val="0"/>
          <w:position w:val="8"/>
          <w:sz w:val="20"/>
          <w:shd w:fill="auto" w:val="clear"/>
        </w:rPr>
        <w:t xml:space="preserve">O 3º Encontro “A mulher no sistema carcerário” foi realizado nos dias 5 e 6 de junho de 2008, pelo Grupo de Estudo e Trabalho “Mulheres Encarceradas”, constituído pelas entidades: Associação Juízes para a Democracia (AJD), Instituto Terra, Trabalho e Cidadania (ITTC), Associação Brasileira de defesa da Mulher, da Infância e da Juventude (ASBRAD), Instituto de Defesa do Direito de Defesa (IDDD), e Pastoral</w:t>
      </w:r>
      <w:r>
        <w:rPr>
          <w:rFonts w:ascii="Times New Roman" w:hAnsi="Times New Roman" w:cs="Times New Roman" w:eastAsia="Times New Roman"/>
          <w:color w:val="auto"/>
          <w:spacing w:val="-24"/>
          <w:position w:val="8"/>
          <w:sz w:val="20"/>
          <w:shd w:fill="auto" w:val="clear"/>
        </w:rPr>
        <w:t xml:space="preserve"> </w:t>
      </w:r>
      <w:r>
        <w:rPr>
          <w:rFonts w:ascii="Times New Roman" w:hAnsi="Times New Roman" w:cs="Times New Roman" w:eastAsia="Times New Roman"/>
          <w:color w:val="auto"/>
          <w:spacing w:val="0"/>
          <w:position w:val="8"/>
          <w:sz w:val="20"/>
          <w:shd w:fill="auto" w:val="clear"/>
        </w:rPr>
        <w:t xml:space="preserve">Carcerária.</w:t>
      </w:r>
    </w:p>
    <w:p>
      <w:pPr>
        <w:spacing w:before="0" w:after="0" w:line="242"/>
        <w:ind w:right="0" w:left="0" w:firstLine="0"/>
        <w:jc w:val="both"/>
        <w:rPr>
          <w:rFonts w:ascii="Times New Roman" w:hAnsi="Times New Roman" w:cs="Times New Roman" w:eastAsia="Times New Roman"/>
          <w:color w:val="auto"/>
          <w:spacing w:val="0"/>
          <w:position w:val="0"/>
          <w:sz w:val="20"/>
          <w:shd w:fill="auto" w:val="clear"/>
        </w:rPr>
      </w:pPr>
    </w:p>
    <w:p>
      <w:pPr>
        <w:spacing w:before="58" w:after="0" w:line="360"/>
        <w:ind w:right="106"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análise faz parte das conclusões a que chegou o 3º Encontro “A mulher no carcerário”. Houve a constatação de que o fator de superlotação e outros dele derivados são determinantes para o agravamento dos problemas de saúde apresentados pelas mulheres presas.</w:t>
      </w:r>
    </w:p>
    <w:p>
      <w:pPr>
        <w:spacing w:before="5" w:after="0" w:line="240"/>
        <w:ind w:right="149" w:left="1200" w:firstLine="0"/>
        <w:jc w:val="left"/>
        <w:rPr>
          <w:rFonts w:ascii="Times New Roman" w:hAnsi="Times New Roman" w:cs="Times New Roman" w:eastAsia="Times New Roman"/>
          <w:color w:val="auto"/>
          <w:spacing w:val="0"/>
          <w:position w:val="9"/>
          <w:sz w:val="14"/>
          <w:shd w:fill="auto" w:val="clear"/>
        </w:rPr>
      </w:pPr>
      <w:r>
        <w:rPr>
          <w:rFonts w:ascii="Times New Roman" w:hAnsi="Times New Roman" w:cs="Times New Roman" w:eastAsia="Times New Roman"/>
          <w:color w:val="auto"/>
          <w:spacing w:val="0"/>
          <w:position w:val="0"/>
          <w:sz w:val="24"/>
          <w:shd w:fill="auto" w:val="clear"/>
        </w:rPr>
        <w:t xml:space="preserve">As conclusões oriundas desse 3º Encontro reafirmam o já exposto:</w:t>
      </w:r>
      <w:r>
        <w:rPr>
          <w:rFonts w:ascii="Times New Roman" w:hAnsi="Times New Roman" w:cs="Times New Roman" w:eastAsia="Times New Roman"/>
          <w:color w:val="auto"/>
          <w:spacing w:val="0"/>
          <w:position w:val="9"/>
          <w:sz w:val="14"/>
          <w:shd w:fill="auto" w:val="clear"/>
        </w:rPr>
        <w:t xml:space="preserve">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08" w:after="0" w:line="360"/>
        <w:ind w:right="105" w:left="19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atenção médica no Sistema Prisional Feminino no Brasil, não só apresenta situações de descaso e falência similares à situação vivenciada nas unidades prisionais masculinas, como também características  peculiares às doenças físicas e emocionais que, no contexto do encarceramento, incidem com intensidade diferenciada nas mulheres, se agravando por meio do não acesso a práticas de prevenção, tratamento e devido acompanhamento médico. Ressalta-se que existe um quadro de desatenção a patologias que são intrínsecas à fisiologia da mulher. Além disso, outras enfermidades físicas e emocionais, cuja susceptibilidade não têm viés de gênero atingem preferencialmente as mulheres</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encarceradas.</w:t>
      </w:r>
    </w:p>
    <w:p>
      <w:pPr>
        <w:spacing w:before="6" w:after="0" w:line="240"/>
        <w:ind w:right="0" w:left="0" w:firstLine="0"/>
        <w:jc w:val="left"/>
        <w:rPr>
          <w:rFonts w:ascii="Times New Roman" w:hAnsi="Times New Roman" w:cs="Times New Roman" w:eastAsia="Times New Roman"/>
          <w:color w:val="auto"/>
          <w:spacing w:val="0"/>
          <w:position w:val="0"/>
          <w:sz w:val="30"/>
          <w:shd w:fill="auto" w:val="clear"/>
        </w:rPr>
      </w:pPr>
    </w:p>
    <w:p>
      <w:pPr>
        <w:spacing w:before="0" w:after="0" w:line="360"/>
        <w:ind w:right="113"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assistência médica é frequentemente mais deficitária nos estabelecimentos penais femininos, apesar das necessidades diferenciadas das</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presidiárias.</w:t>
      </w:r>
    </w:p>
    <w:p>
      <w:pPr>
        <w:spacing w:before="5"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assistência ginecológica é um exemplo de necessidade de saúde específica do gênero feminino. Como o sistema prisional brasileiro não está preparado para atender as especificidades femininas, esse atendimento é o mais precário nas penitenciárias.</w:t>
      </w:r>
    </w:p>
    <w:p>
      <w:pPr>
        <w:spacing w:before="5" w:after="0" w:line="360"/>
        <w:ind w:right="110" w:left="12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Existem hoje sérias dificuldades no acesso ao cuidado ginecológico e programas de assistência à saúde da mulher. Relatos de mulheres nas fontes bibliográficas pesquisadas demonstram que os atendimentos em alguns presídios ocorrem mensalmente, em somente um turno, ocasionando filas imensas e muitas vezes não vencendo a demanda. Em outros presídios, há relatos de não haver nenhum profissional de saúde especializado para prover cuidado ginecológico, e de não receber retorno de seus exames. Também há reclamação devido ao constrangimento caracterizado pela presença de policiais (sejam masculinos ou femininos) durante a realização dos exames</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ginecológicos.</w:t>
      </w:r>
    </w:p>
    <w:p>
      <w:pPr>
        <w:spacing w:before="5" w:after="0" w:line="360"/>
        <w:ind w:right="11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o acesso à saúde é difícil para as mulheres presas, imagine para as mulheres grávidas ou mães recentes. Estas têm o mesmo tratamento que qualquer presa, no entanto devido à sua condição de gestante ou lactante, ficam expostas a riscos maiores sujeitando o feto ou o bebê às condições e riscos presentes nas cadeias ou penitenciárias.</w:t>
      </w:r>
    </w:p>
    <w:p>
      <w:pPr>
        <w:spacing w:before="18" w:after="0" w:line="242"/>
        <w:ind w:right="149" w:left="12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8"/>
          <w:sz w:val="11"/>
          <w:shd w:fill="auto" w:val="clear"/>
        </w:rPr>
        <w:t xml:space="preserve">10 </w:t>
      </w:r>
      <w:r>
        <w:rPr>
          <w:rFonts w:ascii="Times New Roman" w:hAnsi="Times New Roman" w:cs="Times New Roman" w:eastAsia="Times New Roman"/>
          <w:color w:val="auto"/>
          <w:spacing w:val="0"/>
          <w:position w:val="8"/>
          <w:sz w:val="20"/>
          <w:shd w:fill="auto" w:val="clear"/>
        </w:rPr>
        <w:t xml:space="preserve">Informações disponíveis sobre a Relatório de Conclusão do 3º Encontro “A mulher no Sistema Carcerário”.no site &lt;</w:t>
      </w:r>
      <w:hyperlink xmlns:r="http://schemas.openxmlformats.org/officeDocument/2006/relationships" r:id="docRId160">
        <w:r>
          <w:rPr>
            <w:rFonts w:ascii="Times New Roman" w:hAnsi="Times New Roman" w:cs="Times New Roman" w:eastAsia="Times New Roman"/>
            <w:color w:val="0000FF"/>
            <w:spacing w:val="0"/>
            <w:position w:val="8"/>
            <w:sz w:val="20"/>
            <w:u w:val="single"/>
            <w:shd w:fill="auto" w:val="clear"/>
          </w:rPr>
          <w:t xml:space="preserve">http://www.observatoriodeseguranca.org/files/Conclusoes_III_Encontro.pdf</w:t>
        </w:r>
      </w:hyperlink>
      <w:r>
        <w:rPr>
          <w:rFonts w:ascii="Times New Roman" w:hAnsi="Times New Roman" w:cs="Times New Roman" w:eastAsia="Times New Roman"/>
          <w:color w:val="auto"/>
          <w:spacing w:val="0"/>
          <w:position w:val="0"/>
          <w:sz w:val="20"/>
          <w:shd w:fill="auto" w:val="clear"/>
        </w:rPr>
        <w:t xml:space="preserve">&gt;. Acesso em 29 out. 2009.</w:t>
      </w:r>
    </w:p>
    <w:p>
      <w:pPr>
        <w:spacing w:before="0" w:after="0" w:line="242"/>
        <w:ind w:right="0" w:left="0" w:firstLine="0"/>
        <w:jc w:val="left"/>
        <w:rPr>
          <w:rFonts w:ascii="Times New Roman" w:hAnsi="Times New Roman" w:cs="Times New Roman" w:eastAsia="Times New Roman"/>
          <w:color w:val="auto"/>
          <w:spacing w:val="0"/>
          <w:position w:val="0"/>
          <w:sz w:val="20"/>
          <w:shd w:fill="auto" w:val="clear"/>
        </w:rPr>
      </w:pPr>
    </w:p>
    <w:p>
      <w:pPr>
        <w:spacing w:before="58" w:after="0" w:line="360"/>
        <w:ind w:right="109"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presas e seus bebês enfrentam dificuldades para verem satisfeitos seus direitos de saúde. O cuidado pré-natal, por exemplo, quando disponibilizado, é precário, dependendo muitas vezes de atendimento fora do presídio, necessitando da ajuda dos funcionários para agendamento e transporte para a unidade de saúde local. (HOWAR, 2006, p. 99). Quando solicitado pela presa, deverão ser expendidos esforços para a localização do pai, antes mesmo do parto, para que o ele tenha possibilidade de participar da vida da criança mesmo durante o período de gestação.</w:t>
      </w:r>
    </w:p>
    <w:p>
      <w:pPr>
        <w:spacing w:before="5" w:after="0" w:line="360"/>
        <w:ind w:right="105"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Vagas nos berçários é outra questão que merece atenção. A Constituição Federal atual, garante em seu Art. 5º, “L”, o direito à amamentação com a seguinte redação: “às presidiárias serão asseguradas condições para que possam permanecer com seus filhos  durante o período de amamentação.” Visando cumprir este mandamento a Lei de Execução Penal no art. 89 assegurou a existência de creches em todos os presídios femininos, mesmo assim, os presídios dispõem de poucas vagas, e estas, em condições</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precárias.</w:t>
      </w:r>
    </w:p>
    <w:p>
      <w:pPr>
        <w:spacing w:before="5" w:after="0" w:line="360"/>
        <w:ind w:right="107"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escassez de vagas frequentemente atrasa a alta das mães e seus bebês do hospital enquanto aguardam pelo berçário penitenciário. Quando o hospital promove a alta rapidamente, as mães são separadas do recém nascido, mesmo em período de amamentação.</w:t>
      </w:r>
    </w:p>
    <w:p>
      <w:pPr>
        <w:spacing w:before="5" w:after="0" w:line="360"/>
        <w:ind w:right="113"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retornam ao presídio, essas mulheres em período de lactação precisam de cuidados especiais, desde a alimentação, até cuidados psicológicos, que a ajudem a conviver com a realidade da separação de seu bebê em poucos meses. Além disso, os bebês precisam de cuidados pediátricos frequentemente, pois convivem muitas vezes, com doenças infecto- contagiosas, ou a própria genitora é portadora do vírus HIV ou outras doenças</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transmissíveis.</w:t>
      </w:r>
    </w:p>
    <w:p>
      <w:pPr>
        <w:spacing w:before="5" w:after="0" w:line="360"/>
        <w:ind w:right="106"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Relatório Final do Grupo de Trabalho Interministerial – Reorganização e Reformulação do Sistema Prisional Feminino aponta algumas diretrizes (MINISTÉRIO DA JUSTIÇA, 2007.):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8" w:left="189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necessidade de atendimento diferenciado quanto à alimentação, saúde, espaço físico para a estimulação, lazer, e desenvolvimento psico- pedagógico das crianças; definição de critérios de tempo de permanência  da mãe com suas filhas e filhos e respectivas estruturas e equipes necessárias; no que se refere ao período de gestação, faz-se necessária a garantia de condições dignas e salubres de encarceramento, através da realização de consultas e dos exames necessários, ao pré-natal e da transferência da presa para local adequado assim que constada a gravidez – não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havendo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cogitar</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ausência</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vaga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quando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nascimento</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58" w:after="0" w:line="360"/>
        <w:ind w:right="106" w:left="189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criança; no berçário, a interna deverá dispor de cela onde permanecerá alojada com seu filho ou filha e de ante-sala de convívio coletivo. Durante a permanência da criança na penitenciária, ela deverá ser assistida pela Equipe de Saúde do Sistema Penitenciário, devendo ser realizado todo o acompanhamento de crescimento e desenvolvimento da criança através de consultas, exames e vacinas. À mãe também deverá ser garantida a assistência bio-psicossocial; os estabelecimentos prisionais femininos contarão com creche em tempo integral para as crianças de até três anos, que deverão ser atendidas por profissionais especializados, assegurado às presidiárias o direito à</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amamentação...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360"/>
        <w:ind w:right="107"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Tanto a Constituição Federal quanto o Estatuto da Criança e do Adolescente asseguram o aleitamento materno inclusive para os filhos de mães submetidas à medida privativa de liberdade, portanto, não se trata de mera faculdade e cabe ao Ministério Público fiscalizar o seu devido cumprimento, promovendo, se for o caso, medidas judiciais para garantir esse direito à saúde da criança.</w:t>
      </w:r>
    </w:p>
    <w:p>
      <w:pPr>
        <w:spacing w:before="5" w:after="0" w:line="360"/>
        <w:ind w:right="108"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questão que merece atenção do Poder Público é o registro da criança nascida enquanto a mãe estava encarcerada e o contato com o pai. O mesmo relatório acima mencionado afirma que os procedimentos de registro para os recém-nascidos deverão ser adotados pela equipe de saúde, seja conduzindo a presa até um cartório ou viabilizando o registro na instituição prisional.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233"/>
        </w:numPr>
        <w:tabs>
          <w:tab w:val="left" w:pos="1538" w:leader="none"/>
        </w:tabs>
        <w:spacing w:before="143" w:after="0" w:line="240"/>
        <w:ind w:right="0" w:left="153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violência no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cárcere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108"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violência de gênero é um problema mundial, ligado ao poder, privilégios e controle masculino. Atinge as mulheres independente da idade, cor, etnia, religião, nacionalidade, opção sexual ou condição social. O efeito é sobretudo social, pois afeta o bem estar, a segurança, as possibilidades de educação, desenvolvimento  pessoal e a auto-estima das mulheres. Embora presente em toda a esfera da sociedade,</w:t>
      </w:r>
    </w:p>
    <w:p>
      <w:pPr>
        <w:spacing w:before="143" w:after="0" w:line="360"/>
        <w:ind w:right="107" w:left="1900" w:firstLine="0"/>
        <w:jc w:val="both"/>
        <w:rPr>
          <w:rFonts w:ascii="Times New Roman" w:hAnsi="Times New Roman" w:cs="Times New Roman" w:eastAsia="Times New Roman"/>
          <w:color w:val="auto"/>
          <w:spacing w:val="0"/>
          <w:position w:val="0"/>
          <w:sz w:val="24"/>
          <w:shd w:fill="auto" w:val="clear"/>
        </w:rPr>
      </w:pPr>
    </w:p>
    <w:p>
      <w:pPr>
        <w:spacing w:before="143" w:after="0" w:line="360"/>
        <w:ind w:right="107" w:left="19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violência é um elemento constante na vida das mulheres encarceradas, do ponto de vista da experiência individual e dos parentes próximos. Mais de 95% foram vítimas de violência em alguma das seguintes situações: a) na infância,  por  parte  dos  responsáveis;  b)  na  vida  adulta,  por  parte </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58" w:after="0" w:line="360"/>
        <w:ind w:right="149" w:left="19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maridos/companheiros; c) quando foram presas, por parte dos policiais civis, militares ou federais (CASTILHO, 2009.).</w:t>
      </w:r>
    </w:p>
    <w:p>
      <w:pPr>
        <w:spacing w:before="6" w:after="0" w:line="240"/>
        <w:ind w:right="0" w:left="0" w:firstLine="0"/>
        <w:jc w:val="left"/>
        <w:rPr>
          <w:rFonts w:ascii="Times New Roman" w:hAnsi="Times New Roman" w:cs="Times New Roman" w:eastAsia="Times New Roman"/>
          <w:color w:val="auto"/>
          <w:spacing w:val="0"/>
          <w:position w:val="0"/>
          <w:sz w:val="30"/>
          <w:shd w:fill="auto" w:val="clear"/>
        </w:rPr>
      </w:pPr>
    </w:p>
    <w:p>
      <w:pPr>
        <w:spacing w:before="0" w:after="0" w:line="360"/>
        <w:ind w:right="109"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menos expostas ao nível de violência sofrida pelos presos, praticado pela própria polícia e autoridades penitenciárias, esta realidade também faz parte do cotidiano das mulheres encarceradas.</w:t>
      </w:r>
    </w:p>
    <w:p>
      <w:pPr>
        <w:spacing w:before="5"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violência contra a mulher, seja a encarcerada ou não, é uma violação à Constituição Federal de 1988, na medida em que o tratamento desumano e degradante viola  os direitos e garantias fundamentais da pessoa</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humana.</w:t>
      </w:r>
    </w:p>
    <w:p>
      <w:pPr>
        <w:spacing w:before="5" w:after="0" w:line="360"/>
        <w:ind w:right="107"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presas experimentam uma variedade de violências relacionadas a gênero por parte de funcionários, principalmente homens. Essa violência institucional é frequentemente relatada por organizações da sociedade civil e tratam de situações de maus-tratos relacionados a procedimentos de revista dentro da prisão, durante situações de inspeção ou das mulheres mais vulneráveis, que são aquelas que são submetidas à cela de castigo, ficando isoladas por dias. Essa situação é agravada pelo fato de não haver testemunho sobre as práticas desses atos irregulares, mas tão somente o relato da presa “indisciplinada”, fato que dificulta o acesso às fontes de informação. Assim, dificilmente são públicas as denúncias de agressões, assédios,  ou até mesmo torturas que as mulheres sofrem dentro das penitenciárias (REDE NACIONAL FEMINISTA DE SAÚDE E DIREITOS REPRODUTIVOS,</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2001.).</w:t>
      </w:r>
    </w:p>
    <w:p>
      <w:pPr>
        <w:spacing w:before="5" w:after="0" w:line="360"/>
        <w:ind w:right="108" w:left="120" w:firstLine="1080"/>
        <w:jc w:val="both"/>
        <w:rPr>
          <w:rFonts w:ascii="Times New Roman" w:hAnsi="Times New Roman" w:cs="Times New Roman" w:eastAsia="Times New Roman"/>
          <w:color w:val="auto"/>
          <w:spacing w:val="0"/>
          <w:position w:val="9"/>
          <w:sz w:val="14"/>
          <w:shd w:fill="auto" w:val="clear"/>
        </w:rPr>
      </w:pPr>
      <w:r>
        <w:rPr>
          <w:rFonts w:ascii="Times New Roman" w:hAnsi="Times New Roman" w:cs="Times New Roman" w:eastAsia="Times New Roman"/>
          <w:color w:val="auto"/>
          <w:spacing w:val="0"/>
          <w:position w:val="0"/>
          <w:sz w:val="24"/>
          <w:shd w:fill="auto" w:val="clear"/>
        </w:rPr>
        <w:t xml:space="preserve">No Estado do Alagoas, por exemplo, em novembro de 2008, a comissão de Direitos Humanos da Assembléia Legislativa, realizou audiência pública, com a finalidade de apurar denúncias feitas pela Rede Cearense de Apoio às Mulheres Vítimas de Violência (SOS Mulher), contra a diretoria do Presídio Feminino Desembargador Auri Moura Costa. Nesta audiência, a advogada representante da SOS Mulher, informou que uma detenta cometeu suicídio nas dependências do presídio devido a uma depressão induzida por submissão às torturas dentro da solitária da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penitenciária.</w:t>
      </w:r>
      <w:r>
        <w:rPr>
          <w:rFonts w:ascii="Times New Roman" w:hAnsi="Times New Roman" w:cs="Times New Roman" w:eastAsia="Times New Roman"/>
          <w:color w:val="auto"/>
          <w:spacing w:val="0"/>
          <w:position w:val="9"/>
          <w:sz w:val="14"/>
          <w:shd w:fill="auto" w:val="clear"/>
        </w:rPr>
        <w:t xml:space="preserve">11</w:t>
      </w:r>
    </w:p>
    <w:p>
      <w:pPr>
        <w:spacing w:before="4" w:after="0" w:line="360"/>
        <w:ind w:right="112" w:left="12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não resta dúvida quanto às agressões que sofrem as mulheres reclusas em nosso país. E mais agravante ainda, é constatar que tais atos criminosos praticados na maioria das vezes, por agentes do Estado, investidos de autoridade por força de lei, costumam ficar totalmente impunes.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 w:after="0" w:line="240"/>
        <w:ind w:right="0" w:left="0" w:firstLine="0"/>
        <w:jc w:val="left"/>
        <w:rPr>
          <w:rFonts w:ascii="Times New Roman" w:hAnsi="Times New Roman" w:cs="Times New Roman" w:eastAsia="Times New Roman"/>
          <w:color w:val="auto"/>
          <w:spacing w:val="0"/>
          <w:position w:val="0"/>
          <w:sz w:val="10"/>
          <w:shd w:fill="auto" w:val="clear"/>
        </w:rPr>
      </w:pPr>
    </w:p>
    <w:p>
      <w:pPr>
        <w:spacing w:before="30" w:after="0" w:line="249"/>
        <w:ind w:right="107" w:left="12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9"/>
          <w:sz w:val="14"/>
          <w:shd w:fill="auto" w:val="clear"/>
        </w:rPr>
        <w:t xml:space="preserve">11 </w:t>
      </w:r>
      <w:r>
        <w:rPr>
          <w:rFonts w:ascii="Times New Roman" w:hAnsi="Times New Roman" w:cs="Times New Roman" w:eastAsia="Times New Roman"/>
          <w:color w:val="auto"/>
          <w:spacing w:val="0"/>
          <w:position w:val="9"/>
          <w:sz w:val="20"/>
          <w:shd w:fill="auto" w:val="clear"/>
        </w:rPr>
        <w:t xml:space="preserve">Informações disponíveis no site &lt;</w:t>
      </w:r>
      <w:hyperlink xmlns:r="http://schemas.openxmlformats.org/officeDocument/2006/relationships" r:id="docRId161">
        <w:r>
          <w:rPr>
            <w:rFonts w:ascii="Times New Roman" w:hAnsi="Times New Roman" w:cs="Times New Roman" w:eastAsia="Times New Roman"/>
            <w:color w:val="0000FF"/>
            <w:spacing w:val="0"/>
            <w:position w:val="9"/>
            <w:sz w:val="20"/>
            <w:u w:val="single"/>
            <w:shd w:fill="auto" w:val="clear"/>
          </w:rPr>
          <w:t xml:space="preserve">http://pfdc.pgr.mpf.gov.br/clipping/novembro-2008/maus-tratos-em-</w:t>
        </w:r>
      </w:hyperlink>
      <w:r>
        <w:rPr>
          <w:rFonts w:ascii="Times New Roman" w:hAnsi="Times New Roman" w:cs="Times New Roman" w:eastAsia="Times New Roman"/>
          <w:color w:val="auto"/>
          <w:spacing w:val="0"/>
          <w:position w:val="0"/>
          <w:sz w:val="20"/>
          <w:shd w:fill="auto" w:val="clear"/>
        </w:rPr>
        <w:t xml:space="preserve"> </w:t>
      </w:r>
      <w:hyperlink xmlns:r="http://schemas.openxmlformats.org/officeDocument/2006/relationships" r:id="docRId162">
        <w:r>
          <w:rPr>
            <w:rFonts w:ascii="Times New Roman" w:hAnsi="Times New Roman" w:cs="Times New Roman" w:eastAsia="Times New Roman"/>
            <w:color w:val="0000FF"/>
            <w:spacing w:val="0"/>
            <w:position w:val="0"/>
            <w:sz w:val="20"/>
            <w:u w:val="single"/>
            <w:shd w:fill="auto" w:val="clear"/>
          </w:rPr>
          <w:t xml:space="preserve">presidio-feminino-e-discutido-na-al/</w:t>
        </w:r>
      </w:hyperlink>
      <w:r>
        <w:rPr>
          <w:rFonts w:ascii="Times New Roman" w:hAnsi="Times New Roman" w:cs="Times New Roman" w:eastAsia="Times New Roman"/>
          <w:color w:val="auto"/>
          <w:spacing w:val="0"/>
          <w:position w:val="0"/>
          <w:sz w:val="20"/>
          <w:shd w:fill="auto" w:val="clear"/>
        </w:rPr>
        <w:t xml:space="preserve">&gt; Acesso em 30 out. 2009.</w:t>
      </w:r>
    </w:p>
    <w:p>
      <w:pPr>
        <w:spacing w:before="0" w:after="0" w:line="249"/>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4248"/>
        </w:numPr>
        <w:tabs>
          <w:tab w:val="left" w:pos="1418" w:leader="none"/>
        </w:tabs>
        <w:spacing w:before="58" w:after="0" w:line="240"/>
        <w:ind w:right="0" w:left="1418" w:hanging="24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Considerações</w:t>
      </w:r>
      <w:r>
        <w:rPr>
          <w:rFonts w:ascii="Times New Roman" w:hAnsi="Times New Roman" w:cs="Times New Roman" w:eastAsia="Times New Roman"/>
          <w:b/>
          <w:color w:val="auto"/>
          <w:spacing w:val="-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finais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105"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se pensa na vida das mulheres na sociedade atual e nos avanços que estas conquistaram nas últimas décadas, geralmente uma parcela delas, a das encarceradas, é esquecida. Tais mulheres são alçadas à condição de invisíveis por parte da sociedade e do Estado.</w:t>
      </w:r>
    </w:p>
    <w:p>
      <w:pPr>
        <w:spacing w:before="5" w:after="0" w:line="360"/>
        <w:ind w:right="109"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Historicamente, sempre houve desigualdade nas taxas de criminalidade feminina e masculina, sendo esta numericamente maior. Tal fato, ao contrário das teorias comprovadamente equivocadas que consideravam a mulher criminosa uma anormalidade biológica, deve-se ao espaço essencialmente doméstico destinado às mulheres numa  sociedade patriarcal, opressora, e que a mantinha completamente submissa ao homem. Outrora, à mulher só cabia o âmbito privado, do lar, dos cuidados com os filhos e demais familiares. Nessa época, sequer havia oportunidade para que a mulher delinqüisse a não ser no próprio seio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familiar.</w:t>
      </w:r>
    </w:p>
    <w:p>
      <w:pPr>
        <w:spacing w:before="5" w:after="0" w:line="360"/>
        <w:ind w:right="108"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À medida que, mudanças estruturais ocorreram na sociedade e na vida das mulheres, com maior participação delas no mercado de trabalho, sua assunção como chefas de família, sua emancipação, sobre elas recaíram maiores responsabilidades sócio-econômicas, aliadas a uma série de dificuldades na luta pela sobrevivência, aumentando gradativamente o índice de criminalidade no seu âmbito.</w:t>
      </w:r>
    </w:p>
    <w:p>
      <w:pPr>
        <w:spacing w:before="5" w:after="0" w:line="360"/>
        <w:ind w:right="109"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pesquisas bibliográficas, verificou-se que os crimes mais  praticados pelas mulheres são os considerados crimes contra a saúde pública e com motivação econômica, ou seja, tráfico de entorpecentes, seguido por furtos e roubos, para só depois chegar aos crimes de lesão corporal ou homicídio.</w:t>
      </w:r>
    </w:p>
    <w:p>
      <w:pPr>
        <w:spacing w:before="5" w:after="0" w:line="360"/>
        <w:ind w:right="108"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ao perfil da mulher presidiária ela é jovem, negra, mãe, e com baixo nível educacional e sócio-econômico.</w:t>
      </w:r>
    </w:p>
    <w:p>
      <w:pPr>
        <w:spacing w:before="5" w:after="0" w:line="360"/>
        <w:ind w:right="109" w:left="100" w:firstLine="1078"/>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constatações levam a concluir que a mulher ingressa no mundo do crime impulsionada por sua precária condição financeira, e na expectativa de enriquecimento rápido.</w:t>
      </w:r>
    </w:p>
    <w:p>
      <w:pPr>
        <w:spacing w:before="5" w:after="0" w:line="360"/>
        <w:ind w:right="110"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Muitas mulheres sem profissão rentável, que possuem filhos, são abandonadas  pela família, tiveram a paternidade dos filhos não assumida ou o pai não cumpriu seu papel, não vislumbraram opções e cederam ao ilusório chamado do tráfico ilícito de drogas. Estas mulheres, sozinhas na busca pela própria sobrevivência e de seus filhos, sem uma oportunidade digna de emprego, são facilmente aliciadas pelos traficantes e exercem funções subalternas no submundo do tráfico, comumente atuando como</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“mulas”.</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58" w:after="0" w:line="360"/>
        <w:ind w:right="109"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Constatou-se também, que a prisão, reproduz a lógica de uma sociedade injusta, machista e opressora e que o descaso com os direitos humanos das presas proporciona a existência de torturas e maus tratos nas instituições penitenciárias femininas.</w:t>
      </w:r>
    </w:p>
    <w:p>
      <w:pPr>
        <w:spacing w:before="5" w:after="0" w:line="360"/>
        <w:ind w:right="106"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das especificidades das mulheres, comprovou-se que as mulheres sofrem mais com o confinamento. São abandonadas por sua família e companheiros afetivos, perdem a guarda de seus filhos, estão mais expostas a doenças, principalmente emocionais, sofrem abuso sexual, agressões, violências por parte das autoridades carcerárias, e são separadas bruscamente de seus filhos recém nascidos, com os quais, por vezes, sequer conseguirão manter contato mais tarde.</w:t>
      </w:r>
    </w:p>
    <w:p>
      <w:pPr>
        <w:spacing w:before="5" w:after="0" w:line="360"/>
        <w:ind w:right="107"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às condições de saúde, o que se vê na maioria das Unidades Prisionais Femininas no Brasil é uma total carência na estrutura e nos recursos destinados à implantação de medidas que possam assegurar condições dignas de tratamento e assistência médica para as mulheres encarceradas.</w:t>
      </w:r>
    </w:p>
    <w:p>
      <w:pPr>
        <w:spacing w:before="5" w:after="0" w:line="360"/>
        <w:ind w:right="114"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as presas gestantes ou com filhos recém nascidos as condições são ainda mais deficitárias e embora a Constituição Federal, a Lei de Execução Penal e o Estatuto da Criança e do Adolescente lhes assegurem abstratamente vários direitos, ainda há um longo caminho a ser trilhado para que possam ter acesso efetivo a condições mais dignas, recebendo assistência adequada, tanto na área médica quanto psicológica e acompanhamento que possa garantir a saúde de mãe e filho.</w:t>
      </w:r>
    </w:p>
    <w:p>
      <w:pPr>
        <w:spacing w:before="5" w:after="0" w:line="360"/>
        <w:ind w:right="108"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necessária uma urgente estruturação das unidades prisionais uma vez que, é obrigação do Estado oferecer as devidas condições visando resguardar o direito à saúde e  entre eles, se inclui o de amamentar (pela mãe) e ser amamentada (pela criança nascida no cárcere).</w:t>
      </w:r>
    </w:p>
    <w:p>
      <w:pPr>
        <w:spacing w:before="5" w:after="0" w:line="360"/>
        <w:ind w:right="108"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 direito à visitação íntima, está sendo sistematicamente desrespeitada a Lei de Execução Penal, a Constituição Federal bem como as convenções e tratados  de Direitos Humanos na medida em que, a dificuldade ou o impedimento no exercício de tal direito, afeta psicologicamente a encarcerada, destrói sua auto-estima e pode culminar no rompimento de relacionamento afetivo, fundamental inclusive para sua reinserção na sociedade após o cumprimento da pena.</w:t>
      </w:r>
    </w:p>
    <w:p>
      <w:pPr>
        <w:spacing w:before="5" w:after="0" w:line="360"/>
        <w:ind w:right="106"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negação ou restrição à visitação íntima é resultado da discriminação contra a mulher e dos valores de dominação masculina, ainda existentes na sociedade brasileira. Para justificar a burla a este direito são usados argumentos enganosos, mas que não se sustentam face uma análise mais acurada e, comparados aos benefícios que podem advir para a encarcerada.</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58" w:after="0" w:line="360"/>
        <w:ind w:right="310"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encarceradas são vítimas de diversas formas de violência dentro dos estabelecimentos prisionais, sejam físicas ou psicológicas. Os maus tratos e as torturas estão presentes em suas rotinas de presas. A desídia com a questão da saúde, o afastamento compulsório imposto às mães em relação aos seus bebês, o rompimento dos laços familiares, também são formas de violência a que as presas estão constantemente submetidas.</w:t>
      </w:r>
    </w:p>
    <w:p>
      <w:pPr>
        <w:spacing w:before="5" w:after="0" w:line="360"/>
        <w:ind w:right="312"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Acredita-se que, para alterar o tenebroso quadro vislumbrado, é necessária maior participação da sociedade e do Estado, por meio do implemento de mais políticas públicas.</w:t>
      </w:r>
    </w:p>
    <w:p>
      <w:pPr>
        <w:spacing w:before="5" w:after="0" w:line="360"/>
        <w:ind w:right="305" w:left="100" w:firstLine="1078"/>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comunidade</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precisa</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estar</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atenta</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evitar</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abusos</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sejam</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cotidianamente perpetrados dentro das prisões, e ao se indignar, cobrar das autoridades dos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três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poderes,para que alterem o cenário atual e impeçam o tratamento desumano para com esses</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seres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humanos. Além</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papel</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exigir</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soluções,</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participação</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comunidade</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processo</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preparação da presa para voltar ao convívio social é essencial. Ao cumprir sua pena e</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sair</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 prisão,</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ex-presidiárias</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precisam</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encontrar</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oportunidades</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trabalho,</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reencontro</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 suas  famílias,  de  motivação  enfim,  para  retomarem  suas  vidas  resistindo  ao   </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inebriante</w:t>
      </w:r>
    </w:p>
    <w:p>
      <w:pPr>
        <w:spacing w:before="5" w:after="0" w:line="240"/>
        <w:ind w:right="98"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chamado do submundo do crime.</w:t>
      </w:r>
    </w:p>
    <w:p>
      <w:pPr>
        <w:spacing w:before="138" w:after="0" w:line="360"/>
        <w:ind w:right="309"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Somente a ação conjunta da sociedade e das autoridades poderá propiciar o retorno dessas pessoas excluídas e sofridas, plenamente recuperadas ao seio da sociedade. O atual modelo carcerário, a sistemática como as mulheres estão sendo tratadas nas várias instituições prisionais, não oferece condições para a almejada recuperação delas.</w:t>
      </w:r>
    </w:p>
    <w:p>
      <w:pPr>
        <w:spacing w:before="5" w:after="0" w:line="360"/>
        <w:ind w:right="313" w:left="10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necessário, por meio de uma abordagem crítica, analisar o atual sistema carcerário, a real função das instituições carcerárias hoje existentes e questionar se cumprem a função que a sociedade e a legislação pátria aspiram.</w:t>
      </w:r>
    </w:p>
    <w:p>
      <w:pPr>
        <w:spacing w:before="5" w:after="0" w:line="360"/>
        <w:ind w:right="307" w:left="100" w:firstLine="107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preciso reconhecer, entretanto, que muito se tem avançado em relação às políticas públicas para as mulheres e seus direitos perante a sociedade. O mais significativo problema reside, no fato de que as mulheres encarceradas se encontram invisíveis, estão sob um manto de esquecimento social que tornam intangíveis para elas todos esses avanços.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98" w:left="1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Bibliográficas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1198" w:leader="none"/>
          <w:tab w:val="left" w:pos="1696" w:leader="none"/>
          <w:tab w:val="left" w:pos="2632" w:leader="none"/>
          <w:tab w:val="left" w:pos="3737" w:leader="none"/>
          <w:tab w:val="left" w:pos="5062" w:leader="none"/>
          <w:tab w:val="left" w:pos="5626" w:leader="none"/>
          <w:tab w:val="left" w:pos="9379" w:leader="none"/>
        </w:tabs>
        <w:spacing w:before="0" w:after="0" w:line="360"/>
        <w:ind w:right="98"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CASTILHO, Ela Wiecko V. </w:t>
      </w:r>
      <w:r>
        <w:rPr>
          <w:rFonts w:ascii="Times New Roman" w:hAnsi="Times New Roman" w:cs="Times New Roman" w:eastAsia="Times New Roman"/>
          <w:b/>
          <w:color w:val="auto"/>
          <w:spacing w:val="0"/>
          <w:position w:val="0"/>
          <w:sz w:val="24"/>
          <w:shd w:fill="auto" w:val="clear"/>
        </w:rPr>
        <w:t xml:space="preserve">Execução da pena privativa de liberdade para mulheres</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urgência</w:t>
        <w:tab/>
        <w:t xml:space="preserve">de</w:t>
        <w:tab/>
        <w:t xml:space="preserve">regime</w:t>
        <w:tab/>
        <w:t xml:space="preserve">especial.</w:t>
        <w:tab/>
        <w:t xml:space="preserve">Disponível</w:t>
        <w:tab/>
        <w:t xml:space="preserve">em</w:t>
        <w:tab/>
        <w:t xml:space="preserve">&lt;</w:t>
      </w:r>
      <w:hyperlink xmlns:r="http://schemas.openxmlformats.org/officeDocument/2006/relationships" r:id="docRId163">
        <w:r>
          <w:rPr>
            <w:rFonts w:ascii="Times New Roman" w:hAnsi="Times New Roman" w:cs="Times New Roman" w:eastAsia="Times New Roman"/>
            <w:color w:val="0000FF"/>
            <w:spacing w:val="0"/>
            <w:position w:val="0"/>
            <w:sz w:val="24"/>
            <w:u w:val="single"/>
            <w:shd w:fill="auto" w:val="clear"/>
          </w:rPr>
          <w:t xml:space="preserve">http://www.justitia.com.br/revistas</w:t>
        </w:r>
      </w:hyperlink>
      <w:r>
        <w:rPr>
          <w:rFonts w:ascii="Times New Roman" w:hAnsi="Times New Roman" w:cs="Times New Roman" w:eastAsia="Times New Roman"/>
          <w:color w:val="auto"/>
          <w:spacing w:val="0"/>
          <w:position w:val="0"/>
          <w:sz w:val="24"/>
          <w:u w:val="single"/>
          <w:shd w:fill="auto" w:val="clear"/>
        </w:rPr>
        <w:t xml:space="preserve">/</w:t>
        <w:tab/>
      </w:r>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164">
        <w:r>
          <w:rPr>
            <w:rFonts w:ascii="Times New Roman" w:hAnsi="Times New Roman" w:cs="Times New Roman" w:eastAsia="Times New Roman"/>
            <w:color w:val="0000FF"/>
            <w:spacing w:val="0"/>
            <w:position w:val="0"/>
            <w:sz w:val="24"/>
            <w:u w:val="single"/>
            <w:shd w:fill="auto" w:val="clear"/>
          </w:rPr>
          <w:t xml:space="preserve">w3137c.pdf</w:t>
        </w:r>
      </w:hyperlink>
      <w:r>
        <w:rPr>
          <w:rFonts w:ascii="Times New Roman" w:hAnsi="Times New Roman" w:cs="Times New Roman" w:eastAsia="Times New Roman"/>
          <w:color w:val="auto"/>
          <w:spacing w:val="0"/>
          <w:position w:val="0"/>
          <w:sz w:val="24"/>
          <w:shd w:fill="auto" w:val="clear"/>
        </w:rPr>
        <w:t xml:space="preserve">&gt; Acesso em 11 dez.</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2009.</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58" w:after="0" w:line="240"/>
        <w:ind w:right="347" w:left="1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CENTRO  DE  ESTUDOS  DE  SEGURANÇA  E  CIDADANIA  -  </w:t>
      </w:r>
      <w:r>
        <w:rPr>
          <w:rFonts w:ascii="Times New Roman" w:hAnsi="Times New Roman" w:cs="Times New Roman" w:eastAsia="Times New Roman"/>
          <w:b/>
          <w:color w:val="auto"/>
          <w:spacing w:val="0"/>
          <w:position w:val="0"/>
          <w:sz w:val="24"/>
          <w:shd w:fill="auto" w:val="clear"/>
        </w:rPr>
        <w:t xml:space="preserve">Boletim  Segurança    e</w:t>
      </w:r>
    </w:p>
    <w:p>
      <w:pPr>
        <w:spacing w:before="138"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Cidadania</w:t>
      </w:r>
      <w:r>
        <w:rPr>
          <w:rFonts w:ascii="Times New Roman" w:hAnsi="Times New Roman" w:cs="Times New Roman" w:eastAsia="Times New Roman"/>
          <w:color w:val="auto"/>
          <w:spacing w:val="0"/>
          <w:position w:val="0"/>
          <w:sz w:val="24"/>
          <w:shd w:fill="auto" w:val="clear"/>
        </w:rPr>
        <w:t xml:space="preserve">. Brasília, n. 01, jul. 2002.</w:t>
      </w:r>
    </w:p>
    <w:p>
      <w:pPr>
        <w:spacing w:before="138" w:after="0" w:line="360"/>
        <w:ind w:right="387"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DEPARTAMENTO PENITENCIÁRIO NACIONAL. </w:t>
      </w:r>
      <w:r>
        <w:rPr>
          <w:rFonts w:ascii="Times New Roman" w:hAnsi="Times New Roman" w:cs="Times New Roman" w:eastAsia="Times New Roman"/>
          <w:b/>
          <w:color w:val="auto"/>
          <w:spacing w:val="0"/>
          <w:position w:val="0"/>
          <w:sz w:val="24"/>
          <w:shd w:fill="auto" w:val="clear"/>
        </w:rPr>
        <w:t xml:space="preserve">Mulheres e Prisão</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experiência do Observatório de Direitos Humanos da Penitenciária Feminina Madre Pelletier</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Porto Alegre: Dom Quixote, 2007.</w:t>
      </w:r>
    </w:p>
    <w:p>
      <w:pPr>
        <w:spacing w:before="5" w:after="0" w:line="240"/>
        <w:ind w:right="347" w:left="1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DEPARTAMENTO PENITENCIÁRIO NACIONAL (DEPEN). </w:t>
      </w:r>
      <w:r>
        <w:rPr>
          <w:rFonts w:ascii="Times New Roman" w:hAnsi="Times New Roman" w:cs="Times New Roman" w:eastAsia="Times New Roman"/>
          <w:b/>
          <w:color w:val="auto"/>
          <w:spacing w:val="0"/>
          <w:position w:val="0"/>
          <w:sz w:val="24"/>
          <w:shd w:fill="auto" w:val="clear"/>
        </w:rPr>
        <w:t xml:space="preserve">Relatórios de 2000,    2001,</w:t>
      </w:r>
    </w:p>
    <w:p>
      <w:pPr>
        <w:spacing w:before="138"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2002, 2003, 2004, 2005 e 2006. </w:t>
      </w:r>
      <w:r>
        <w:rPr>
          <w:rFonts w:ascii="Times New Roman" w:hAnsi="Times New Roman" w:cs="Times New Roman" w:eastAsia="Times New Roman"/>
          <w:color w:val="auto"/>
          <w:spacing w:val="0"/>
          <w:position w:val="0"/>
          <w:sz w:val="24"/>
          <w:shd w:fill="auto" w:val="clear"/>
        </w:rPr>
        <w:t xml:space="preserve">Disponível em &lt;</w:t>
      </w:r>
      <w:r>
        <w:rPr>
          <w:rFonts w:ascii="Times New Roman" w:hAnsi="Times New Roman" w:cs="Times New Roman" w:eastAsia="Times New Roman"/>
          <w:color w:val="auto"/>
          <w:spacing w:val="0"/>
          <w:position w:val="0"/>
          <w:sz w:val="24"/>
          <w:u w:val="single"/>
          <w:shd w:fill="auto" w:val="clear"/>
        </w:rPr>
        <w:t xml:space="preserve">http//</w:t>
      </w:r>
      <w:hyperlink xmlns:r="http://schemas.openxmlformats.org/officeDocument/2006/relationships" r:id="docRId165">
        <w:r>
          <w:rPr>
            <w:rFonts w:ascii="Times New Roman" w:hAnsi="Times New Roman" w:cs="Times New Roman" w:eastAsia="Times New Roman"/>
            <w:color w:val="0000FF"/>
            <w:spacing w:val="0"/>
            <w:position w:val="0"/>
            <w:sz w:val="24"/>
            <w:u w:val="single"/>
            <w:shd w:fill="auto" w:val="clear"/>
          </w:rPr>
          <w:t xml:space="preserve">www.mj.gov.br/depen</w:t>
        </w:r>
      </w:hyperlink>
      <w:r>
        <w:rPr>
          <w:rFonts w:ascii="Times New Roman" w:hAnsi="Times New Roman" w:cs="Times New Roman" w:eastAsia="Times New Roman"/>
          <w:color w:val="auto"/>
          <w:spacing w:val="0"/>
          <w:position w:val="0"/>
          <w:sz w:val="24"/>
          <w:shd w:fill="auto" w:val="clear"/>
        </w:rPr>
        <w:t xml:space="preserve">&gt; Acesso em   20</w:t>
      </w:r>
    </w:p>
    <w:p>
      <w:pPr>
        <w:spacing w:before="138"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jun. 2010.</w:t>
      </w:r>
    </w:p>
    <w:p>
      <w:pPr>
        <w:spacing w:before="138" w:after="0" w:line="36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FERRACUTI, Franco e WOLFGANG, M. E. </w:t>
      </w:r>
      <w:r>
        <w:rPr>
          <w:rFonts w:ascii="Times New Roman" w:hAnsi="Times New Roman" w:cs="Times New Roman" w:eastAsia="Times New Roman"/>
          <w:b/>
          <w:color w:val="auto"/>
          <w:spacing w:val="0"/>
          <w:position w:val="0"/>
          <w:sz w:val="24"/>
          <w:shd w:fill="auto" w:val="clear"/>
        </w:rPr>
        <w:t xml:space="preserve">O comportamento agressivo violento como fenômeno sociopsicológico. </w:t>
      </w:r>
      <w:r>
        <w:rPr>
          <w:rFonts w:ascii="Times New Roman" w:hAnsi="Times New Roman" w:cs="Times New Roman" w:eastAsia="Times New Roman"/>
          <w:color w:val="auto"/>
          <w:spacing w:val="0"/>
          <w:position w:val="0"/>
          <w:sz w:val="24"/>
          <w:shd w:fill="auto" w:val="clear"/>
        </w:rPr>
        <w:t xml:space="preserve">São Paulo: Resenha Universitária, 1975.</w:t>
      </w:r>
    </w:p>
    <w:p>
      <w:pPr>
        <w:spacing w:before="5" w:after="0" w:line="36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FARIAS JÚNIOR, João. </w:t>
      </w:r>
      <w:r>
        <w:rPr>
          <w:rFonts w:ascii="Times New Roman" w:hAnsi="Times New Roman" w:cs="Times New Roman" w:eastAsia="Times New Roman"/>
          <w:b/>
          <w:color w:val="auto"/>
          <w:spacing w:val="0"/>
          <w:position w:val="0"/>
          <w:sz w:val="24"/>
          <w:shd w:fill="auto" w:val="clear"/>
        </w:rPr>
        <w:t xml:space="preserve">Manual de criminologia</w:t>
      </w:r>
      <w:r>
        <w:rPr>
          <w:rFonts w:ascii="Times New Roman" w:hAnsi="Times New Roman" w:cs="Times New Roman" w:eastAsia="Times New Roman"/>
          <w:color w:val="auto"/>
          <w:spacing w:val="0"/>
          <w:position w:val="0"/>
          <w:sz w:val="24"/>
          <w:shd w:fill="auto" w:val="clear"/>
        </w:rPr>
        <w:t xml:space="preserve">. 3. ed. atual. Curitiba: Juruá, 2008. FREUD, Sigmund. </w:t>
      </w:r>
      <w:r>
        <w:rPr>
          <w:rFonts w:ascii="Times New Roman" w:hAnsi="Times New Roman" w:cs="Times New Roman" w:eastAsia="Times New Roman"/>
          <w:b/>
          <w:color w:val="auto"/>
          <w:spacing w:val="0"/>
          <w:position w:val="0"/>
          <w:sz w:val="24"/>
          <w:shd w:fill="auto" w:val="clear"/>
        </w:rPr>
        <w:t xml:space="preserve">El psicanalisis y el diagnostico de los hechos em los procedimientos judicialis. </w:t>
      </w:r>
      <w:r>
        <w:rPr>
          <w:rFonts w:ascii="Times New Roman" w:hAnsi="Times New Roman" w:cs="Times New Roman" w:eastAsia="Times New Roman"/>
          <w:color w:val="auto"/>
          <w:spacing w:val="0"/>
          <w:position w:val="0"/>
          <w:sz w:val="24"/>
          <w:shd w:fill="auto" w:val="clear"/>
        </w:rPr>
        <w:t xml:space="preserve">In: Obras completas. Madrid: Biblioteca Nueva, 1996.</w:t>
      </w:r>
    </w:p>
    <w:p>
      <w:pPr>
        <w:spacing w:before="5"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FUNDAÇÃO PROFESSOR DOUTOR MANOEL PEDRO PIMENTEL DE AMPARO  </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w:t>
      </w:r>
    </w:p>
    <w:p>
      <w:pPr>
        <w:spacing w:before="138" w:after="0" w:line="36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PRESO (FUNAP). Disponível em &lt;</w:t>
      </w:r>
      <w:hyperlink xmlns:r="http://schemas.openxmlformats.org/officeDocument/2006/relationships" r:id="docRId166">
        <w:r>
          <w:rPr>
            <w:rFonts w:ascii="Times New Roman" w:hAnsi="Times New Roman" w:cs="Times New Roman" w:eastAsia="Times New Roman"/>
            <w:color w:val="0000FF"/>
            <w:spacing w:val="0"/>
            <w:position w:val="0"/>
            <w:sz w:val="24"/>
            <w:u w:val="single"/>
            <w:shd w:fill="auto" w:val="clear"/>
          </w:rPr>
          <w:t xml:space="preserve">http://www.funap.sp.gov.br/</w:t>
        </w:r>
      </w:hyperlink>
      <w:r>
        <w:rPr>
          <w:rFonts w:ascii="Times New Roman" w:hAnsi="Times New Roman" w:cs="Times New Roman" w:eastAsia="Times New Roman"/>
          <w:color w:val="auto"/>
          <w:spacing w:val="0"/>
          <w:position w:val="0"/>
          <w:sz w:val="24"/>
          <w:shd w:fill="auto" w:val="clear"/>
        </w:rPr>
        <w:t xml:space="preserve">&gt; Acesso em 04 abr. 2010. HOWAR, Caroline. </w:t>
      </w:r>
      <w:r>
        <w:rPr>
          <w:rFonts w:ascii="Times New Roman" w:hAnsi="Times New Roman" w:cs="Times New Roman" w:eastAsia="Times New Roman"/>
          <w:b/>
          <w:color w:val="auto"/>
          <w:spacing w:val="0"/>
          <w:position w:val="0"/>
          <w:sz w:val="24"/>
          <w:shd w:fill="auto" w:val="clear"/>
        </w:rPr>
        <w:t xml:space="preserve">Direitos humanos e mulheres encarceradas. </w:t>
      </w:r>
      <w:r>
        <w:rPr>
          <w:rFonts w:ascii="Times New Roman" w:hAnsi="Times New Roman" w:cs="Times New Roman" w:eastAsia="Times New Roman"/>
          <w:color w:val="auto"/>
          <w:spacing w:val="0"/>
          <w:position w:val="0"/>
          <w:sz w:val="24"/>
          <w:shd w:fill="auto" w:val="clear"/>
        </w:rPr>
        <w:t xml:space="preserve">São Paulo: Instituto Terra Trabalho e Cidadania, 2006.</w:t>
      </w:r>
    </w:p>
    <w:p>
      <w:pPr>
        <w:spacing w:before="5"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LOMBROSO, Cesare. </w:t>
      </w:r>
      <w:r>
        <w:rPr>
          <w:rFonts w:ascii="Times New Roman" w:hAnsi="Times New Roman" w:cs="Times New Roman" w:eastAsia="Times New Roman"/>
          <w:b/>
          <w:color w:val="auto"/>
          <w:spacing w:val="0"/>
          <w:position w:val="0"/>
          <w:sz w:val="24"/>
          <w:shd w:fill="auto" w:val="clear"/>
        </w:rPr>
        <w:t xml:space="preserve">O homem delinqüente. </w:t>
      </w:r>
      <w:r>
        <w:rPr>
          <w:rFonts w:ascii="Times New Roman" w:hAnsi="Times New Roman" w:cs="Times New Roman" w:eastAsia="Times New Roman"/>
          <w:color w:val="auto"/>
          <w:spacing w:val="0"/>
          <w:position w:val="0"/>
          <w:sz w:val="24"/>
          <w:shd w:fill="auto" w:val="clear"/>
        </w:rPr>
        <w:t xml:space="preserve">São Paulo: Ícone, 2007.</w:t>
      </w:r>
    </w:p>
    <w:p>
      <w:pPr>
        <w:spacing w:before="138"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MINISTÉRIO  DA  JUSTIÇA.  SECRETARIA  ESPECIAL  DE  POLÍTICAS    PÚBLICAS</w:t>
      </w:r>
    </w:p>
    <w:p>
      <w:pPr>
        <w:spacing w:before="138"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AS MULHERES. </w:t>
      </w:r>
      <w:r>
        <w:rPr>
          <w:rFonts w:ascii="Times New Roman" w:hAnsi="Times New Roman" w:cs="Times New Roman" w:eastAsia="Times New Roman"/>
          <w:b/>
          <w:color w:val="auto"/>
          <w:spacing w:val="0"/>
          <w:position w:val="0"/>
          <w:sz w:val="24"/>
          <w:shd w:fill="auto" w:val="clear"/>
        </w:rPr>
        <w:t xml:space="preserve">Relatório Final</w:t>
      </w:r>
      <w:r>
        <w:rPr>
          <w:rFonts w:ascii="Times New Roman" w:hAnsi="Times New Roman" w:cs="Times New Roman" w:eastAsia="Times New Roman"/>
          <w:color w:val="auto"/>
          <w:spacing w:val="0"/>
          <w:position w:val="0"/>
          <w:sz w:val="24"/>
          <w:shd w:fill="auto" w:val="clear"/>
        </w:rPr>
        <w:t xml:space="preserve">. Brasília, 2007.</w:t>
      </w:r>
    </w:p>
    <w:p>
      <w:pPr>
        <w:tabs>
          <w:tab w:val="left" w:pos="2681" w:leader="none"/>
          <w:tab w:val="left" w:pos="4078" w:leader="none"/>
          <w:tab w:val="left" w:pos="9451" w:leader="none"/>
        </w:tabs>
        <w:spacing w:before="138" w:after="0" w:line="360"/>
        <w:ind w:right="107" w:left="1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MIRABETE, Júlio Fabbrini. </w:t>
      </w:r>
      <w:r>
        <w:rPr>
          <w:rFonts w:ascii="Times New Roman" w:hAnsi="Times New Roman" w:cs="Times New Roman" w:eastAsia="Times New Roman"/>
          <w:b/>
          <w:color w:val="auto"/>
          <w:spacing w:val="0"/>
          <w:position w:val="0"/>
          <w:sz w:val="24"/>
          <w:shd w:fill="auto" w:val="clear"/>
        </w:rPr>
        <w:t xml:space="preserve">Manual de direito penal</w:t>
      </w:r>
      <w:r>
        <w:rPr>
          <w:rFonts w:ascii="Times New Roman" w:hAnsi="Times New Roman" w:cs="Times New Roman" w:eastAsia="Times New Roman"/>
          <w:color w:val="auto"/>
          <w:spacing w:val="0"/>
          <w:position w:val="0"/>
          <w:sz w:val="24"/>
          <w:shd w:fill="auto" w:val="clear"/>
        </w:rPr>
        <w:t xml:space="preserve">. 21. ed. São Paulo: Atlas, 2009. MISCIASCI,Elizabeth.</w:t>
        <w:tab/>
        <w:t xml:space="preserve">Disponível</w:t>
        <w:tab/>
        <w:t xml:space="preserve">em:&lt;</w:t>
      </w:r>
      <w:hyperlink xmlns:r="http://schemas.openxmlformats.org/officeDocument/2006/relationships" r:id="docRId167">
        <w:r>
          <w:rPr>
            <w:rFonts w:ascii="Times New Roman" w:hAnsi="Times New Roman" w:cs="Times New Roman" w:eastAsia="Times New Roman"/>
            <w:color w:val="0000FF"/>
            <w:spacing w:val="0"/>
            <w:position w:val="0"/>
            <w:sz w:val="24"/>
            <w:u w:val="single"/>
            <w:shd w:fill="auto" w:val="clear"/>
          </w:rPr>
          <w:t xml:space="preserve">http://www.eunanet.net/beth/revistazap/topicos</w:t>
        </w:r>
      </w:hyperlink>
      <w:r>
        <w:rPr>
          <w:rFonts w:ascii="Times New Roman" w:hAnsi="Times New Roman" w:cs="Times New Roman" w:eastAsia="Times New Roman"/>
          <w:color w:val="auto"/>
          <w:spacing w:val="0"/>
          <w:position w:val="0"/>
          <w:sz w:val="24"/>
          <w:u w:val="single"/>
          <w:shd w:fill="auto" w:val="clear"/>
        </w:rPr>
        <w:t xml:space="preserve">/</w:t>
        <w:tab/>
      </w:r>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168">
        <w:r>
          <w:rPr>
            <w:rFonts w:ascii="Times New Roman" w:hAnsi="Times New Roman" w:cs="Times New Roman" w:eastAsia="Times New Roman"/>
            <w:color w:val="0000FF"/>
            <w:spacing w:val="0"/>
            <w:position w:val="0"/>
            <w:sz w:val="24"/>
            <w:u w:val="single"/>
            <w:shd w:fill="auto" w:val="clear"/>
          </w:rPr>
          <w:t xml:space="preserve">umentocrime1.htm</w:t>
        </w:r>
      </w:hyperlink>
      <w:r>
        <w:rPr>
          <w:rFonts w:ascii="Times New Roman" w:hAnsi="Times New Roman" w:cs="Times New Roman" w:eastAsia="Times New Roman"/>
          <w:color w:val="auto"/>
          <w:spacing w:val="0"/>
          <w:position w:val="0"/>
          <w:sz w:val="24"/>
          <w:shd w:fill="auto" w:val="clear"/>
        </w:rPr>
        <w:t xml:space="preserve">&gt; Acesso em 14 mai.</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2010</w:t>
      </w:r>
      <w:r>
        <w:rPr>
          <w:rFonts w:ascii="Times New Roman" w:hAnsi="Times New Roman" w:cs="Times New Roman" w:eastAsia="Times New Roman"/>
          <w:b/>
          <w:color w:val="auto"/>
          <w:spacing w:val="0"/>
          <w:position w:val="0"/>
          <w:sz w:val="24"/>
          <w:shd w:fill="auto" w:val="clear"/>
        </w:rPr>
        <w:t xml:space="preserve">.</w:t>
      </w:r>
    </w:p>
    <w:p>
      <w:pPr>
        <w:spacing w:before="5" w:after="0" w:line="360"/>
        <w:ind w:right="387"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NAÇÕES UNIDAS. </w:t>
      </w:r>
      <w:r>
        <w:rPr>
          <w:rFonts w:ascii="Times New Roman" w:hAnsi="Times New Roman" w:cs="Times New Roman" w:eastAsia="Times New Roman"/>
          <w:b/>
          <w:color w:val="auto"/>
          <w:spacing w:val="0"/>
          <w:position w:val="0"/>
          <w:sz w:val="24"/>
          <w:shd w:fill="auto" w:val="clear"/>
        </w:rPr>
        <w:t xml:space="preserve">Escritório das Nações Unidas dos Quakers, julho de 2004</w:t>
      </w:r>
      <w:r>
        <w:rPr>
          <w:rFonts w:ascii="Times New Roman" w:hAnsi="Times New Roman" w:cs="Times New Roman" w:eastAsia="Times New Roman"/>
          <w:color w:val="auto"/>
          <w:spacing w:val="0"/>
          <w:position w:val="0"/>
          <w:sz w:val="24"/>
          <w:shd w:fill="auto" w:val="clear"/>
        </w:rPr>
        <w:t xml:space="preserve">. Disponível em &lt;</w:t>
      </w:r>
      <w:r>
        <w:rPr>
          <w:rFonts w:ascii="Times New Roman" w:hAnsi="Times New Roman" w:cs="Times New Roman" w:eastAsia="Times New Roman"/>
          <w:color w:val="auto"/>
          <w:spacing w:val="0"/>
          <w:position w:val="0"/>
          <w:sz w:val="24"/>
          <w:u w:val="single"/>
          <w:shd w:fill="auto" w:val="clear"/>
        </w:rPr>
        <w:t xml:space="preserve">htpp://</w:t>
      </w:r>
      <w:hyperlink xmlns:r="http://schemas.openxmlformats.org/officeDocument/2006/relationships" r:id="docRId169">
        <w:r>
          <w:rPr>
            <w:rFonts w:ascii="Times New Roman" w:hAnsi="Times New Roman" w:cs="Times New Roman" w:eastAsia="Times New Roman"/>
            <w:color w:val="0000FF"/>
            <w:spacing w:val="0"/>
            <w:position w:val="0"/>
            <w:sz w:val="24"/>
            <w:u w:val="single"/>
            <w:shd w:fill="auto" w:val="clear"/>
          </w:rPr>
          <w:t xml:space="preserve">www.geneva.quno.info/pdf/Women_in_Prison_preliminary.pdf</w:t>
        </w:r>
      </w:hyperlink>
      <w:r>
        <w:rPr>
          <w:rFonts w:ascii="Times New Roman" w:hAnsi="Times New Roman" w:cs="Times New Roman" w:eastAsia="Times New Roman"/>
          <w:color w:val="auto"/>
          <w:spacing w:val="0"/>
          <w:position w:val="0"/>
          <w:sz w:val="24"/>
          <w:shd w:fill="auto" w:val="clear"/>
        </w:rPr>
        <w:t xml:space="preserve">&gt; Acesso em 22 mai. 2010.</w:t>
      </w:r>
    </w:p>
    <w:p>
      <w:pPr>
        <w:spacing w:before="5" w:after="0" w:line="24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REDE NACIONAL FEMINISTA DE SAÚDE E DIREITOS REPRODUTIVOS –   Regional</w:t>
      </w:r>
    </w:p>
    <w:p>
      <w:pPr>
        <w:spacing w:before="138" w:after="0" w:line="36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Pernambuco. </w:t>
      </w:r>
      <w:r>
        <w:rPr>
          <w:rFonts w:ascii="Times New Roman" w:hAnsi="Times New Roman" w:cs="Times New Roman" w:eastAsia="Times New Roman"/>
          <w:b/>
          <w:color w:val="auto"/>
          <w:spacing w:val="0"/>
          <w:position w:val="0"/>
          <w:sz w:val="24"/>
          <w:shd w:fill="auto" w:val="clear"/>
        </w:rPr>
        <w:t xml:space="preserve">Dossiê Violência contra a Mulher, um problema que afeta toda a sociedade</w:t>
      </w:r>
      <w:r>
        <w:rPr>
          <w:rFonts w:ascii="Times New Roman" w:hAnsi="Times New Roman" w:cs="Times New Roman" w:eastAsia="Times New Roman"/>
          <w:color w:val="auto"/>
          <w:spacing w:val="0"/>
          <w:position w:val="0"/>
          <w:sz w:val="24"/>
          <w:shd w:fill="auto" w:val="clear"/>
        </w:rPr>
        <w:t xml:space="preserve">. 2001.</w:t>
      </w:r>
    </w:p>
    <w:p>
      <w:pPr>
        <w:spacing w:before="5" w:after="0" w:line="360"/>
        <w:ind w:right="34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RELATÓRIO DE CONCLUSÃO DO 3º ENCONTRO: </w:t>
      </w: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A mulher no Sistema Carcerário”</w:t>
      </w:r>
      <w:r>
        <w:rPr>
          <w:rFonts w:ascii="Times New Roman" w:hAnsi="Times New Roman" w:cs="Times New Roman" w:eastAsia="Times New Roman"/>
          <w:color w:val="auto"/>
          <w:spacing w:val="0"/>
          <w:position w:val="0"/>
          <w:sz w:val="24"/>
          <w:shd w:fill="auto" w:val="clear"/>
        </w:rPr>
        <w:t xml:space="preserve">. Disponível em &lt;</w:t>
      </w:r>
      <w:hyperlink xmlns:r="http://schemas.openxmlformats.org/officeDocument/2006/relationships" r:id="docRId170">
        <w:r>
          <w:rPr>
            <w:rFonts w:ascii="Times New Roman" w:hAnsi="Times New Roman" w:cs="Times New Roman" w:eastAsia="Times New Roman"/>
            <w:color w:val="0000FF"/>
            <w:spacing w:val="0"/>
            <w:position w:val="0"/>
            <w:sz w:val="24"/>
            <w:u w:val="single"/>
            <w:shd w:fill="auto" w:val="clear"/>
          </w:rPr>
          <w:t xml:space="preserve">http://www.observatoriodeseguranca.org/files/Conclusoes_III_Encontro.pdf</w:t>
        </w:r>
      </w:hyperlink>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Acesso em 29 out. 2009.</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58" w:after="0" w:line="360"/>
        <w:ind w:right="116"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Marli de Araújo et al. </w:t>
      </w:r>
      <w:r>
        <w:rPr>
          <w:rFonts w:ascii="Times New Roman" w:hAnsi="Times New Roman" w:cs="Times New Roman" w:eastAsia="Times New Roman"/>
          <w:b/>
          <w:color w:val="auto"/>
          <w:spacing w:val="0"/>
          <w:position w:val="0"/>
          <w:sz w:val="24"/>
          <w:shd w:fill="auto" w:val="clear"/>
        </w:rPr>
        <w:t xml:space="preserve">A visita íntima no contexto dos direitos humanos: a concepção das reeducandas no Estabelecimento Prisional Feminino de Santa Luzia. </w:t>
      </w:r>
      <w:r>
        <w:rPr>
          <w:rFonts w:ascii="Times New Roman" w:hAnsi="Times New Roman" w:cs="Times New Roman" w:eastAsia="Times New Roman"/>
          <w:color w:val="auto"/>
          <w:spacing w:val="0"/>
          <w:position w:val="0"/>
          <w:sz w:val="24"/>
          <w:shd w:fill="auto" w:val="clear"/>
        </w:rPr>
        <w:t xml:space="preserve">Maceió. Trabalho de conclusão de curso. Universidade Federal do Alagoas, 2003.</w:t>
      </w:r>
    </w:p>
    <w:p>
      <w:pPr>
        <w:spacing w:before="5"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SCHIVARTCH, Fábio. </w:t>
      </w:r>
      <w:r>
        <w:rPr>
          <w:rFonts w:ascii="Times New Roman" w:hAnsi="Times New Roman" w:cs="Times New Roman" w:eastAsia="Times New Roman"/>
          <w:b/>
          <w:color w:val="auto"/>
          <w:spacing w:val="0"/>
          <w:position w:val="0"/>
          <w:sz w:val="24"/>
          <w:shd w:fill="auto" w:val="clear"/>
        </w:rPr>
        <w:t xml:space="preserve">Revista Veja</w:t>
      </w:r>
      <w:r>
        <w:rPr>
          <w:rFonts w:ascii="Times New Roman" w:hAnsi="Times New Roman" w:cs="Times New Roman" w:eastAsia="Times New Roman"/>
          <w:color w:val="auto"/>
          <w:spacing w:val="0"/>
          <w:position w:val="0"/>
          <w:sz w:val="24"/>
          <w:shd w:fill="auto" w:val="clear"/>
        </w:rPr>
        <w:t xml:space="preserve">, 26 de janeiro de 2000, edição 1633.</w:t>
      </w:r>
    </w:p>
    <w:p>
      <w:pPr>
        <w:spacing w:before="138" w:after="0" w:line="360"/>
        <w:ind w:right="162"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STRECK, Lênio Luiz. </w:t>
      </w:r>
      <w:r>
        <w:rPr>
          <w:rFonts w:ascii="Times New Roman" w:hAnsi="Times New Roman" w:cs="Times New Roman" w:eastAsia="Times New Roman"/>
          <w:b/>
          <w:color w:val="auto"/>
          <w:spacing w:val="0"/>
          <w:position w:val="0"/>
          <w:sz w:val="24"/>
          <w:shd w:fill="auto" w:val="clear"/>
        </w:rPr>
        <w:t xml:space="preserve">Hermenêutica Jurídica e(m) Crise</w:t>
      </w:r>
      <w:r>
        <w:rPr>
          <w:rFonts w:ascii="Times New Roman" w:hAnsi="Times New Roman" w:cs="Times New Roman" w:eastAsia="Times New Roman"/>
          <w:color w:val="auto"/>
          <w:spacing w:val="0"/>
          <w:position w:val="0"/>
          <w:sz w:val="24"/>
          <w:shd w:fill="auto" w:val="clear"/>
        </w:rPr>
        <w:t xml:space="preserve">. Porto Alegre: Livraria do Advogado, 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3"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Sites consultados: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39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71">
        <w:r>
          <w:rPr>
            <w:rFonts w:ascii="Times New Roman" w:hAnsi="Times New Roman" w:cs="Times New Roman" w:eastAsia="Times New Roman"/>
            <w:color w:val="0000FF"/>
            <w:spacing w:val="0"/>
            <w:position w:val="0"/>
            <w:sz w:val="24"/>
            <w:u w:val="single"/>
            <w:shd w:fill="auto" w:val="clear"/>
          </w:rPr>
          <w:t xml:space="preserve">http://www.clicrbs.com.br/especial/rs/portal-social/19,0,2728460,Pobreza-atinge-mais-as-</w:t>
        </w:r>
      </w:hyperlink>
      <w:r>
        <w:rPr>
          <w:rFonts w:ascii="Times New Roman" w:hAnsi="Times New Roman" w:cs="Times New Roman" w:eastAsia="Times New Roman"/>
          <w:color w:val="auto"/>
          <w:spacing w:val="0"/>
          <w:position w:val="0"/>
          <w:sz w:val="24"/>
          <w:u w:val="single"/>
          <w:shd w:fill="auto" w:val="clear"/>
        </w:rPr>
        <w:t xml:space="preserve"> </w:t>
      </w:r>
      <w:hyperlink xmlns:r="http://schemas.openxmlformats.org/officeDocument/2006/relationships" r:id="docRId172">
        <w:r>
          <w:rPr>
            <w:rFonts w:ascii="Times New Roman" w:hAnsi="Times New Roman" w:cs="Times New Roman" w:eastAsia="Times New Roman"/>
            <w:color w:val="0000FF"/>
            <w:spacing w:val="0"/>
            <w:position w:val="0"/>
            <w:sz w:val="24"/>
            <w:u w:val="single"/>
            <w:shd w:fill="auto" w:val="clear"/>
          </w:rPr>
          <w:t xml:space="preserve">mulheres-e-criancas-na-America-Latina.html</w:t>
        </w:r>
      </w:hyperlink>
      <w:r>
        <w:rPr>
          <w:rFonts w:ascii="Times New Roman" w:hAnsi="Times New Roman" w:cs="Times New Roman" w:eastAsia="Times New Roman"/>
          <w:color w:val="auto"/>
          <w:spacing w:val="0"/>
          <w:position w:val="0"/>
          <w:sz w:val="24"/>
          <w:shd w:fill="auto" w:val="clear"/>
        </w:rPr>
        <w:t xml:space="preserve">&gt; Acesso em 22 jan. 2010.</w:t>
      </w:r>
    </w:p>
    <w:p>
      <w:pPr>
        <w:spacing w:before="5" w:after="0" w:line="360"/>
        <w:ind w:right="30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73">
        <w:r>
          <w:rPr>
            <w:rFonts w:ascii="Times New Roman" w:hAnsi="Times New Roman" w:cs="Times New Roman" w:eastAsia="Times New Roman"/>
            <w:color w:val="0000FF"/>
            <w:spacing w:val="0"/>
            <w:position w:val="0"/>
            <w:sz w:val="24"/>
            <w:u w:val="single"/>
            <w:shd w:fill="auto" w:val="clear"/>
          </w:rPr>
          <w:t xml:space="preserve">http://conexaoto.com.br/noticia/mulheres-sao-presas-junto-com-homens-ha-anos-diz-pasto</w:t>
        </w:r>
        <w:r>
          <w:rPr>
            <w:rFonts w:ascii="Times New Roman" w:hAnsi="Times New Roman" w:cs="Times New Roman" w:eastAsia="Times New Roman"/>
            <w:color w:val="0000FF"/>
            <w:spacing w:val="0"/>
            <w:position w:val="0"/>
            <w:sz w:val="24"/>
            <w:u w:val="single"/>
            <w:shd w:fill="auto" w:val="clear"/>
          </w:rPr>
          <w:t xml:space="preserve"> ral/957</w:t>
        </w:r>
      </w:hyperlink>
      <w:r>
        <w:rPr>
          <w:rFonts w:ascii="Times New Roman" w:hAnsi="Times New Roman" w:cs="Times New Roman" w:eastAsia="Times New Roman"/>
          <w:color w:val="auto"/>
          <w:spacing w:val="0"/>
          <w:position w:val="0"/>
          <w:sz w:val="24"/>
          <w:shd w:fill="auto" w:val="clear"/>
        </w:rPr>
        <w:t xml:space="preserve">&gt; Acesso em 26 jun. 2010.</w:t>
      </w:r>
    </w:p>
    <w:p>
      <w:pPr>
        <w:spacing w:before="5" w:after="0" w:line="360"/>
        <w:ind w:right="423"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74">
        <w:r>
          <w:rPr>
            <w:rFonts w:ascii="Times New Roman" w:hAnsi="Times New Roman" w:cs="Times New Roman" w:eastAsia="Times New Roman"/>
            <w:color w:val="0000FF"/>
            <w:spacing w:val="0"/>
            <w:position w:val="0"/>
            <w:sz w:val="24"/>
            <w:u w:val="single"/>
            <w:shd w:fill="auto" w:val="clear"/>
          </w:rPr>
          <w:t xml:space="preserve">http://g1.globo.com/Noticias/Brasil/0,,MUL751484-5598,0-BRASIL+TEM+MAIS+DE+</w:t>
        </w:r>
      </w:hyperlink>
      <w:r>
        <w:rPr>
          <w:rFonts w:ascii="Times New Roman" w:hAnsi="Times New Roman" w:cs="Times New Roman" w:eastAsia="Times New Roman"/>
          <w:color w:val="auto"/>
          <w:spacing w:val="0"/>
          <w:position w:val="0"/>
          <w:sz w:val="24"/>
          <w:u w:val="single"/>
          <w:shd w:fill="auto" w:val="clear"/>
        </w:rPr>
        <w:t xml:space="preserve"> </w:t>
      </w:r>
      <w:hyperlink xmlns:r="http://schemas.openxmlformats.org/officeDocument/2006/relationships" r:id="docRId175">
        <w:r>
          <w:rPr>
            <w:rFonts w:ascii="Times New Roman" w:hAnsi="Times New Roman" w:cs="Times New Roman" w:eastAsia="Times New Roman"/>
            <w:color w:val="0000FF"/>
            <w:spacing w:val="0"/>
            <w:position w:val="0"/>
            <w:sz w:val="24"/>
            <w:u w:val="single"/>
            <w:shd w:fill="auto" w:val="clear"/>
          </w:rPr>
          <w:t xml:space="preserve">MIL+MULHERES+PRESAS.html</w:t>
        </w:r>
      </w:hyperlink>
      <w:r>
        <w:rPr>
          <w:rFonts w:ascii="Times New Roman" w:hAnsi="Times New Roman" w:cs="Times New Roman" w:eastAsia="Times New Roman"/>
          <w:color w:val="auto"/>
          <w:spacing w:val="0"/>
          <w:position w:val="0"/>
          <w:sz w:val="24"/>
          <w:shd w:fill="auto" w:val="clear"/>
        </w:rPr>
        <w:t xml:space="preserve">&gt; Acesso em 08 fev. 2010.</w:t>
      </w:r>
    </w:p>
    <w:p>
      <w:pPr>
        <w:spacing w:before="5" w:after="0" w:line="360"/>
        <w:ind w:right="457"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76">
        <w:r>
          <w:rPr>
            <w:rFonts w:ascii="Times New Roman" w:hAnsi="Times New Roman" w:cs="Times New Roman" w:eastAsia="Times New Roman"/>
            <w:color w:val="0000FF"/>
            <w:spacing w:val="0"/>
            <w:position w:val="0"/>
            <w:sz w:val="24"/>
            <w:u w:val="single"/>
            <w:shd w:fill="auto" w:val="clear"/>
          </w:rPr>
          <w:t xml:space="preserve">http://pfdc.pgr.mpf.gov.br/clipping/novembro-2008/maus-tratos-em-presidio-feminino-e-</w:t>
        </w:r>
      </w:hyperlink>
      <w:r>
        <w:rPr>
          <w:rFonts w:ascii="Times New Roman" w:hAnsi="Times New Roman" w:cs="Times New Roman" w:eastAsia="Times New Roman"/>
          <w:color w:val="auto"/>
          <w:spacing w:val="0"/>
          <w:position w:val="0"/>
          <w:sz w:val="24"/>
          <w:u w:val="single"/>
          <w:shd w:fill="auto" w:val="clear"/>
        </w:rPr>
        <w:t xml:space="preserve"> </w:t>
      </w:r>
      <w:hyperlink xmlns:r="http://schemas.openxmlformats.org/officeDocument/2006/relationships" r:id="docRId177">
        <w:r>
          <w:rPr>
            <w:rFonts w:ascii="Times New Roman" w:hAnsi="Times New Roman" w:cs="Times New Roman" w:eastAsia="Times New Roman"/>
            <w:color w:val="0000FF"/>
            <w:spacing w:val="0"/>
            <w:position w:val="0"/>
            <w:sz w:val="24"/>
            <w:u w:val="single"/>
            <w:shd w:fill="auto" w:val="clear"/>
          </w:rPr>
          <w:t xml:space="preserve">discutido-na-al/</w:t>
        </w:r>
      </w:hyperlink>
      <w:r>
        <w:rPr>
          <w:rFonts w:ascii="Times New Roman" w:hAnsi="Times New Roman" w:cs="Times New Roman" w:eastAsia="Times New Roman"/>
          <w:color w:val="auto"/>
          <w:spacing w:val="0"/>
          <w:position w:val="0"/>
          <w:sz w:val="24"/>
          <w:shd w:fill="auto" w:val="clear"/>
        </w:rPr>
        <w:t xml:space="preserve">&gt; Acesso em 30 out. 2009.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GÊNERO, DISCURSO JURÍDICO E IDEOLOGIA:</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UMA ANÁLISE DISCURSIVA DA LEI “MARIA DA PENHA”</w:t>
      </w: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4559" w:hanging="59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GOMES, Acir de Matos (Estudante de Mestrado)</w:t>
      </w:r>
    </w:p>
    <w:p>
      <w:pPr>
        <w:spacing w:before="0" w:after="0" w:line="240"/>
        <w:ind w:right="0" w:left="4559" w:hanging="59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LOUZADA , Maria Silvia Olivi (Orientadora)</w:t>
      </w:r>
    </w:p>
    <w:p>
      <w:pPr>
        <w:spacing w:before="0" w:after="0" w:line="240"/>
        <w:ind w:right="0" w:left="4559" w:hanging="59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Universidade de Franca - UNIFRAN</w:t>
      </w:r>
    </w:p>
    <w:p>
      <w:pPr>
        <w:spacing w:before="0" w:after="0" w:line="36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INTRODUÇÃO </w:t>
      </w:r>
    </w:p>
    <w:p>
      <w:pPr>
        <w:tabs>
          <w:tab w:val="left" w:pos="1305" w:leader="none"/>
        </w:tabs>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lei é um ato político que representa, ou deveria representar, a vontade do povo. No dia 07 de agosto de 2006, foi editada a lei federal n.º 11.340, conhecida como Lei “Maria da Penha”, que entrou em vigor a partir do dia 22 de setembro de 2006. Essa lei cria mecanismos para coibir e prevenir a violência doméstica e familiar contra a mulher, dispõe sobre a criação dos Juizados de Violência Doméstica e Familiar contra a Mulher, estabelece medidas de assistência e proteção às mulheres em situação de violência doméstica e familiar. A lei é composta por 46 artigos contendo normas mistas, ou seja, normas de direito material, de direito processual penal e de outras naturezas.</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Entendendo que todos (homem e mulher) são iguais de acordo com a Lei Máxima do nosso país (artigo 5.º da Constituição Federal do Brasil de 1988), pretendemos averiguar o percurso discurso-legistativo sobre a mulher brasileira, de modo a verificar o contexto ideológico do surgimento dessa lei e os efeitos de sentidos produzidos. Não pretendemos analisar aqui a constitucionalidade da Lei, mas o discurso produzido pela edição essa lei, seus efeitos de sentido. A escolha do </w:t>
      </w:r>
      <w:r>
        <w:rPr>
          <w:rFonts w:ascii="Times New Roman" w:hAnsi="Times New Roman" w:cs="Times New Roman" w:eastAsia="Times New Roman"/>
          <w:i/>
          <w:color w:val="auto"/>
          <w:spacing w:val="0"/>
          <w:position w:val="0"/>
          <w:sz w:val="24"/>
          <w:shd w:fill="auto" w:val="clear"/>
        </w:rPr>
        <w:t xml:space="preserve">corpus</w:t>
      </w:r>
      <w:r>
        <w:rPr>
          <w:rFonts w:ascii="Times New Roman" w:hAnsi="Times New Roman" w:cs="Times New Roman" w:eastAsia="Times New Roman"/>
          <w:color w:val="auto"/>
          <w:spacing w:val="0"/>
          <w:position w:val="0"/>
          <w:sz w:val="24"/>
          <w:shd w:fill="auto" w:val="clear"/>
        </w:rPr>
        <w:t xml:space="preserve"> - Lei “Maria da Penha” - justifica-se por considerarmos relevante a verificação do modo como se concebe institucional, legal e discursivamente a mulher contemporânea em nossa sociedade: ao que parece, um ser frágil, que necessita de proteção em razão de um posicionamento machista, ainda vigente na atualidade.</w:t>
      </w:r>
    </w:p>
    <w:p>
      <w:pPr>
        <w:spacing w:before="0" w:after="0" w:line="360"/>
        <w:ind w:right="0" w:left="0" w:firstLine="14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Lei “Maria da Penha” é um texto da esfera jurídico-legislativa. O texto é um espaço significante, lugar de jogos de sentidos, de ideologias, de discursividades, de formações ideológicas, que se materializam em formações discursivas consideradas as condições de produção. Sabemos, ainda, que os mecanismos de funcionamento do discurso têm por base as formações imaginárias, que designam o lugar que A e B (os protagonistas do discurso) e os lugares que se atribuem cada um a si e ao outro; nessa perspectiva, buscamos compreender: qual o contexto histórico e ideológico de elaboração dessa lei/discurso? A lei busca disciplinar a relação entre homens e mulheres, portanto refere-se às relações de gênero.</w:t>
      </w:r>
    </w:p>
    <w:p>
      <w:pPr>
        <w:spacing w:before="0" w:after="0" w:line="360"/>
        <w:ind w:right="0" w:left="0" w:firstLine="14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opção pelo referencial teórico da Análise do Discurso justifica-se pelo fato de ela investigar o campo dos enunciados a fim de entender os acontecimentos discursivos que possibilitaram o estabelecimento e a cristalização de certos sentidos em nossa cultura. Esse campo teórico trabalha a relação entre sujeito e língua, considerando ainda o inconsciente, a história e a ideologia. Os sentidos não são considerados como evidentes e, desta forma, abre-se espaço a interpretação do que não é dito. Os sentidos não se esgotam, tanto que um mesmo enunciado pode, em diferentes condições de produção, produzir efeitos discursivos diversos. Conforme o conceito de interdiscurso, os discursos sempre estão relacionados a discursos anteriores e afetam discursos futuros. Entendemos que é o interdiscurso que permite aos sujeitos retomarem temas, sentidos já produzidos e utilizarem  em outras situações e contextos. </w:t>
      </w:r>
    </w:p>
    <w:p>
      <w:pPr>
        <w:spacing w:before="0" w:after="0" w:line="360"/>
        <w:ind w:right="0" w:left="0" w:firstLine="14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Acreditamos que o presente trabalho poderá produzir frutos tanto acadêmicos como para a sociedade, uma vez que a Análise do Discurso é uma disciplina de entremeio, que se localiza entre três campos do saber: o marxismo, a psicanálise e a linguística.  Sabe-se, que , no entanto, o Direito não dá importância a esses campos para realizar a interpretação da lei,. Entendemos que o pioneirismo desse artigo está fundamentado na análise discursiva da lei, na busca pelo efeito do sentido produzido pelo discurso, o que, de certa forma, se diferencia de outros artigos científicos envolvendo a Lei “Maria da Penha”.</w:t>
      </w:r>
    </w:p>
    <w:p>
      <w:pPr>
        <w:spacing w:before="0" w:after="0" w:line="360"/>
        <w:ind w:right="0" w:left="0" w:firstLine="144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Estabelecemos como objetivo geral dessa pesquisa averiguar o percurso discurso-legislativo sobre a mulher brasileira e identificar o contexto ideológico de surgimento da Lei “Maria da Penha” que tem como finalidade coibir a violência doméstica e familiar contra a mulher. Como objetivo específico, pretendemos verificar qual a imagem, a constituição institucional, legal e discursiva da mulher na sociedade contemporânea uma vez que a lei foi publicada e entrou em vigência no ano de 2006. A pesquisa é bibliográfica e a análise dos dados qualitativa e comparativa.</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A ANÁLISE DO DISCURSO – PRINCIPAIS FUNDAMENTOS TÉORICOS</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escola francesa de Análise do Discurso, conhecida como AD, tem como fundamento uma tradição intelectual europeia acostumada a refletir sobre texto e a história. Nos anos 1960, em razão do estruturalismo, tornou-se possível uma reflexão sobre a “escritura”, uma articulação entre a linguística, o marxismo e a psicanálise, por isso, a Análise do Discurso nasceu tendo como base a interdisciplinaridade, ou seja, os linguistas, os historiadores e alguns psicólogos. </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Trata-se de uma teoria marcada por revisões, mudanças e deslocamentos de seus conceitos essenciais, caminho esse que permitiu a revisão realizada pelo próprio Pêcheux (1990) sendo denominadas por AD1, AD2 e AD3. Essas nomenclaturas se referem às épocas e mudanças na teoria de seu fundador, Michel Pêcheux, a qual sofreu influências principalemnte dos estudos desenvolvidos por Saussure, Bakhtin, Althusser, Foucault, J.Authier-Revuz e Lacan.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estar a Análise do Discurso inserida em um campo de estudos que abrange o linguístico e o social, e por ser “discurso”  uma palavra polissêmica , foi necessário redefinir o seu campo de atuação para alcançar sua especificidade. Para Orlandi (1986, p.110) “A AD pressupõe a linguística e é pressupondo a linguística que ganha especificidade em relação às metodologias de tratamento de linguagem nas ciências humanas”. Essa especificidade, portanto, deve ser analisada considerando outras condições, como: o quadro das instituições em que o discurso é produzido, já que delimitam a enunciação; os embates históricos, sociais que se cristalizam no discurso; o espaço que cada discurso configura para si mesmo no interior de um interdiscurso.</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a linguagem passa a ser estudada também como formação ideológica dotada de competência sócio-linguística. Para Brandão (2002, p.18), portanto, dois conceitos tornaram-se nucleares: o de ideologia e o de discurso. As duas grandes vertentes que vão influenciar a corrente francesa de AD são, do lado da ideologia, os conceitos de Althusser e, do lado do discurso, as ideias de Foucault. É sob a influência dos trabalhos desses dois teóricos que Pêcheux elabora os seus conceitos. De Althusser, a influência mais direta se faz a partir do seu trabalho </w:t>
      </w:r>
      <w:r>
        <w:rPr>
          <w:rFonts w:ascii="Times New Roman" w:hAnsi="Times New Roman" w:cs="Times New Roman" w:eastAsia="Times New Roman"/>
          <w:i/>
          <w:color w:val="auto"/>
          <w:spacing w:val="0"/>
          <w:position w:val="0"/>
          <w:sz w:val="24"/>
          <w:shd w:fill="auto" w:val="clear"/>
        </w:rPr>
        <w:t xml:space="preserve">Ideologia e aparelhos ideológicos de estado </w:t>
      </w:r>
      <w:r>
        <w:rPr>
          <w:rFonts w:ascii="Times New Roman" w:hAnsi="Times New Roman" w:cs="Times New Roman" w:eastAsia="Times New Roman"/>
          <w:color w:val="auto"/>
          <w:spacing w:val="0"/>
          <w:position w:val="0"/>
          <w:sz w:val="24"/>
          <w:shd w:fill="auto" w:val="clear"/>
        </w:rPr>
        <w:t xml:space="preserve">(1974) na conceituação do termo “formação ideológica”. E será da </w:t>
      </w:r>
      <w:r>
        <w:rPr>
          <w:rFonts w:ascii="Times New Roman" w:hAnsi="Times New Roman" w:cs="Times New Roman" w:eastAsia="Times New Roman"/>
          <w:i/>
          <w:color w:val="auto"/>
          <w:spacing w:val="0"/>
          <w:position w:val="0"/>
          <w:sz w:val="24"/>
          <w:shd w:fill="auto" w:val="clear"/>
        </w:rPr>
        <w:t xml:space="preserve">Arqueologia do Saber </w:t>
      </w:r>
      <w:r>
        <w:rPr>
          <w:rFonts w:ascii="Times New Roman" w:hAnsi="Times New Roman" w:cs="Times New Roman" w:eastAsia="Times New Roman"/>
          <w:color w:val="auto"/>
          <w:spacing w:val="0"/>
          <w:position w:val="0"/>
          <w:sz w:val="24"/>
          <w:shd w:fill="auto" w:val="clear"/>
        </w:rPr>
        <w:t xml:space="preserve">(2000) , de Michel Foucault, que Pêcheux extrairá a expressão “formação discursiva” da qual a AD se apropriará, submetendo-a a um trabalho específico.</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Orlandi (2007, p.19-20), a língua tem sua ordem própria, mas só é relativamente autônoma, uma vez que reintroduz a noção de sujeito e de situação na análise da linguagem; o real da história é afetado pelo simbólico que exige dos fatos o sentido e um sujeito afetado pelo inconsciente e pela ideologia. O sujeito é descentralizado já que está afetado pelo real da língua e pela história sem controlar o modo de afetação.</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de acordo com Gregolin (2006, p.23-25), a AD encontrou solo propicio com o início da abertura política nos anos 1980. Nessa época, a teoria já havia passado pelos três principais momentos de refacções e se encontrava em crise teórica e política na França, circunstâncias essas que produziram consequências teóricas e metodológicas. São princípios sólidos da AD, conforme Maziére (2007, p. -10): 1) a língua é considerada como objeto construído pelo linguista e as línguas particulares como situadas em relação ao espaço-tempo; 2) a dupla relação com heranças descritivas das línguas considera a gramática, as sintaxes e os vocabulários de línguas particulares contra uma sintaxe lógica universal; 3) o </w:t>
      </w:r>
      <w:r>
        <w:rPr>
          <w:rFonts w:ascii="Times New Roman" w:hAnsi="Times New Roman" w:cs="Times New Roman" w:eastAsia="Times New Roman"/>
          <w:i/>
          <w:color w:val="auto"/>
          <w:spacing w:val="0"/>
          <w:position w:val="0"/>
          <w:sz w:val="24"/>
          <w:shd w:fill="auto" w:val="clear"/>
        </w:rPr>
        <w:t xml:space="preserve">corpus</w:t>
      </w:r>
      <w:r>
        <w:rPr>
          <w:rFonts w:ascii="Times New Roman" w:hAnsi="Times New Roman" w:cs="Times New Roman" w:eastAsia="Times New Roman"/>
          <w:color w:val="auto"/>
          <w:spacing w:val="0"/>
          <w:position w:val="0"/>
          <w:sz w:val="24"/>
          <w:shd w:fill="auto" w:val="clear"/>
        </w:rPr>
        <w:t xml:space="preserve"> a ser analisado é considerado como enunciado, heterogêneo, dentro do saber linguístico, histórico, político e filosófico;  4) nas interpretações não se desprezam os dados da língua, da história e dos sujeitos falantes. O sujeito enunciador não é um ser individual e detentor do enunciado, ele não controla totalmente a sua fala.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LINGUAGEM E IDEOLOGIA</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Althusser (1974, p.47) a classe dominante cria mecanismos para manter esses </w:t>
      </w:r>
      <w:r>
        <w:rPr>
          <w:rFonts w:ascii="Times New Roman" w:hAnsi="Times New Roman" w:cs="Times New Roman" w:eastAsia="Times New Roman"/>
          <w:i/>
          <w:color w:val="auto"/>
          <w:spacing w:val="0"/>
          <w:position w:val="0"/>
          <w:sz w:val="24"/>
          <w:shd w:fill="auto" w:val="clear"/>
        </w:rPr>
        <w:t xml:space="preserve">status</w:t>
      </w:r>
      <w:r>
        <w:rPr>
          <w:rFonts w:ascii="Times New Roman" w:hAnsi="Times New Roman" w:cs="Times New Roman" w:eastAsia="Times New Roman"/>
          <w:color w:val="auto"/>
          <w:spacing w:val="0"/>
          <w:position w:val="0"/>
          <w:sz w:val="24"/>
          <w:shd w:fill="auto" w:val="clear"/>
        </w:rPr>
        <w:t xml:space="preserve">. O Estado, portanto, através dos Aparelhos Repressores – ARE – (Governo, a administração, o exército, a polícia, os tribunais, as prisões, etc.) e Aparelhos Ideológicos – AIE – (instituições como a religião, escola, família, direito, a política, o sindicato, a cultura, a informação), intervém pela repressão ou pela ideologia para manter as relações e condições de exploração.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Direito pertence simultaneamente ao aparelho (repressivo) de Estado e ao sistema de AIE (1974, p.44). Althusser ainda faz uma diferenciação entre ideologia geral e particular, formulando três hipóteses: a) a ideologia representa a relação imaginária de indivíduos com suas reais condições de existência; b) a ideologia tem uma existência porque existe sempre num aparelho e na sua prática ou suas práticas; c) a ideologia interpela indivíduos como sujeitos.</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ideologia reconhece que as ideias de um sujeito humano existem nos seus atos, ou devem existir nos seus atos, e se isto não acontece, empresta-lhe outras ideias correspondentes aos atos (mesmo perversos) que ele realiza. Esta ideologia fala dos atos, que as práticas são reguladas por rituais que se inscrevem no seio da existência material de um aparelho ideológico (ALTHUSSER, 1974, p.87). O homem é por natureza um animal ideológico; os indivíduos são sempre-já sujeitos.</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articulação dos processos ideológicos com os fenômenos linguísticos surge o discurso. A linguagem, enquanto discurso, é interação, um modo de produção social, ela não é neutra, inocente e nem natural, por isso é o lugar privilegiado de manifestação da ideologia. É um lugar de conflito, de confronto ideológico, não podendo ser estudada fora da sociedade uma vez que os processos que a constituem são histórico-sociais. (BRANDÃO, 2002, p.12).</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Orlandi (2007, p.45) o re-significar a noção de ideologia a partir da linguagem é um dos pontos fortes da Análise do Discurso, ou seja, a definição discursiva de ideologia. Por não existir sentido sem interpretação, é impossível afastar a presença da ideologia. A ideologia produz evidências e coloca o homem na relação imaginária com suas condições materiais de existência: é a condição para a constituição do sujeito e dos sentidos. As formações discursivas dão sentidos às palavras e estes são efeitos da determinação do interdiscurso. Não se considera a ideologia como ocultação, mas como relação necessária entre o mundo e a linguagem, sentido de refração, do efeito do imaginário de um sobre o outro. O sujeito, afetado pela língua e pela história produz o sentido. Não existe discurso sem sujeito e não existe sujeito sem ideologia. Não há realidade sem ideologia. A ideologia torna possível a relação entre palavra/coisa e é através dela que o sujeito se constituiu e o mundo significa. A ideologia está materialmente presente no discurso e o discurso materialmente na língua. A integração da língua, da história e da ideologia faz com que a linguagem, os sentidos e os sujeitos se materializem e se constituam. </w:t>
      </w:r>
    </w:p>
    <w:p>
      <w:pPr>
        <w:spacing w:before="0" w:after="0" w:line="36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TEXTO, DISCURSO E INTERDISCURSO</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é definido por Goldstein, Louzada e Ivamoto (2009, p.11) como sendo toda produção linguística, oral ou escrita que apresenta sentido completo e unidade. A compreensão é determinada pelo contexto e pelas condições de produção que envolvem também o local e o momento da comunicação, a posição social dos participantes, o tema tratado, ambiente e a finalidade. Desta forma, os textos são produzidos considerando os destinatários e o ambiente em que vão circular.</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fatos vividos produzem sentidos permitindo que os sujeitos se movimentem entre o real da língua e o real da história, entre o acaso e a necessidade, o jogo e a regra. Em todo texto há sinais da historicidade. O texto manifesta sempre um discurso, um efeito de sentido resultante do trabalho interpretativo dos sujeitos envolvidos em uma interlocução. Há uma ligação, não direta, nem automática, entre a história e a historicidade do texto. Assim, busca-se na Análise do Discurso a materialidade histórica da linguagem. O texto pode ser escrito ou oral, extenso ou não, pode limitar-se a apenas uma letra. O texto é considerado como um “fato discursivo” que permite alcançar a memória da língua.</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Orlandi (2007, p. 70) afirma que todo texto é heterogêneo quanto à natureza dos diferentes materiais simbólicos, natureza das linguagens, quanto à posição do sujeito, e as diferenças também podem ser consideradas em razão das formações discursivas que o atravessam e nele se organizam em razão de uma formação dominante.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texto é considerado como unidade de acesso ao discurso, não como ponto absoluto de partida ou chegada. Feita a análise do texto, ele desaparece para dar lugar ao discurso, ao processo discursivo, à compreensão dos sentidos e à constituição dos sujeitos. Assim, o texto é um objeto provisório de análise, uma vez que, feita a análise, ele é dispensado, por ser o processo discursivo quem dará a compreensão dos sentidos.</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discurso, na verdade, não é o texto, a fala, a língua, mas a existência exterior à língua que é encontrada no social e na ideologia existente nas palavras. A fala e o texto são objetos de análise do discurso, mas, sobretudo, busca-se o efeito de sentido produzido por eles. O discurso precisa da língua para ter existência material e real. O estudo discursivo, segundo Orlandi (2007, p.16), visa analisar o sentido compreendido no tempo e no espaço das práticas do homem com a descentralização da noção de sujeito e a relativização da autonomia do objeto da linguística; logo, não a considera como língua fechada em si mesma, mas com o discurso que é “um objeto sócio-histórico em que o linguístico intervém como pressuposto”. </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homem vê o mundo através dos discursos, deles se apropria e os reproduz em sua fala. Soma-se a isso o fato de que as normas sociais determinam o que é permitido ou não. Sendo assim, o discurso, passa a ser moldado pelas coerções ideológicas e pelos discursos assimilados, portanto, não há discurso individual, contrapondo-se à crença de que o discurso não pode ser determinado pela sociedade pelo fato de que cada pessoa manifesta seus pensamentos de formas diferentes. </w:t>
      </w:r>
    </w:p>
    <w:p>
      <w:pPr>
        <w:spacing w:before="0" w:after="0" w:line="360"/>
        <w:ind w:right="0" w:left="0" w:firstLine="14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Orlandi (2000, p.15) “a palavra discurso etimologicamente, tem em si a idéia de curso, de percurso, de correr por, de movimento.” O discurso não é um conjunto de textos e sim uma prática constituída pela dispersão de textos. A discursividade é um acontecimento sendo que o discurso acontece sempre no interior de uma série de outros discursos, com os quais estabelece co-relações e deslocamentos. Os sentidos produzidos em um momento histórico estão relacionados com a interdiscursividade. </w:t>
      </w:r>
    </w:p>
    <w:p>
      <w:pPr>
        <w:spacing w:before="0" w:after="0" w:line="360"/>
        <w:ind w:right="0" w:left="0" w:firstLine="144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4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Fiorin (1998, p. 41), por sua vez,  afirma que o discurso é a materialização das formações ideológicas, por isso é determinado por elas. O texto é unicamente um lugar de manipulação consciente, em que o homem organiza, da melhor maneira possível, os elementos de expressão que estão a sua disposição para veicular seu discurso. O discurso possui uma função citativa, através da qual, um discurso remete a outro discurso, o que implica em haver restrição à liberdade discursiva. Cada dizer é uma reprodução inconsciente do dizer do grupo social. Nesse contexto, quem determina a discursivização não é o indivíduo, mas as classes sociais. O indivíduo não pensa e fala o que quer, mas o que a realidade lhe impõe. O que está na consciência é provocado por algo exterior a ela e independe dela, sendo que a consciência humana depende da linguagem assimilada e esta contém e reflete as práticas sociais. O discurso, portanto,  reflete uma categorização do mundo, uma abstração efetuada pela prática social. O discurso, segundo Fiorin (1998, p.55) contém em si, como parte da visão de mundo que veicula, um sistema de valores, estereótipos dos comportamentos humanos que são valorizados positiva ou negativamente. Ele veicula os tabus comportamentais: a sociedade transmite aos indivíduos determinados comportamentos e esses estereótipos entram na consciência tornando-os naturais. Por isso, o discurso é uma prática social cristalizadora e modeladora de uma visão de mundo.</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medida em que o homem é “suporte” de formações discursivas, ele não fala, mas é falado pelo discurso. Não há liberdade discursiva do sujeito porque ele está inserido numa sociedade e, em razão dessa inserção, ele age, reage, pensa e fala, na maioria das vezes, como os membros do seu grupo social. </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analista do discurso procura encontrar no discurso as visões de mundo existentes numa formação discursiva e social em que o sujeito não consegue se libertar das coerções existentes, mesmo quando imagina mundos diferentes. Alterações nas relações sociais de produção podem gerar mudanças nas formações ideológicas e discursivas, pois o discurso é histórico e social e quaisquer transformações sociais podem modificá-lo. Assim, a Análise do Discurso desfaz a ilusão idealista de que o homem controla totalmente o seu discurso. </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discurso não pode transformar o mundo, mas a linguagem pode ser instrumento de libertação ou opressão, de mudança ou de conservação. O discurso não se esgota no próprio discurso, pois ele se projeta na história; portanto, o discurso é um lugar no qual se pode verificar a relação entre a língua e a ideologia, a língua produzindo sentidos por e para os sujeitos. Enfim, discurso é efeito de sentido que se extrai de qualquer texto ou fala, entre interlocutores em um dado momento histórico. </w:t>
      </w:r>
    </w:p>
    <w:p>
      <w:pPr>
        <w:spacing w:before="0" w:after="0" w:line="360"/>
        <w:ind w:right="0" w:left="0" w:firstLine="142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discurso é, portanto, tanto uma estrutura, sujeita às regras da língua, como acontecimento situado historicamente.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todo discurso há um já-dito fundamental para se compreender como funciona o discurso, a relação com o sujeito e com a ideologia. O interdiscurso disponibiliza dizeres, determinando pelo já-dito, aquilo que constitui uma formação discursiva em relação a outra. Dizer que a palavra significa em relação a outras, é afirmar essa articulação de formações discursivas dominadas pelo interdiscurso em sua objetividade material contraditória. (ORLANDI, 2007, p.43.44). O dito e o não-dito, na Analise de Discurso são abrangidos pela noção de interdiscurso, de ideologia, de formação discursiva. </w:t>
      </w:r>
    </w:p>
    <w:p>
      <w:pPr>
        <w:spacing w:before="0" w:after="0" w:line="360"/>
        <w:ind w:right="0" w:left="0" w:firstLine="148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Pêcheux (1990, p. 54) explica que </w:t>
      </w:r>
    </w:p>
    <w:p>
      <w:pPr>
        <w:spacing w:before="0" w:after="0" w:line="240"/>
        <w:ind w:right="0" w:left="2336" w:firstLine="0"/>
        <w:jc w:val="both"/>
        <w:rPr>
          <w:rFonts w:ascii="Times New Roman" w:hAnsi="Times New Roman" w:cs="Times New Roman" w:eastAsia="Times New Roman"/>
          <w:color w:val="auto"/>
          <w:spacing w:val="0"/>
          <w:position w:val="0"/>
          <w:sz w:val="16"/>
          <w:shd w:fill="auto" w:val="clear"/>
        </w:rPr>
      </w:pPr>
    </w:p>
    <w:p>
      <w:pPr>
        <w:spacing w:before="0" w:after="0" w:line="360"/>
        <w:ind w:right="0" w:left="233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é porque há o outro nas sociedades e na história que pode haver ligação, identificação ou transferência, isto é, existência de uma relação abrindo a possibilidade de interpretar. E é porque há essa ligação que as filiações históricas podem-se organizar em memoriais e as relações sociais em rede de significantes.</w:t>
      </w:r>
    </w:p>
    <w:p>
      <w:pPr>
        <w:spacing w:before="0" w:after="0" w:line="240"/>
        <w:ind w:right="0" w:left="3589" w:firstLine="0"/>
        <w:jc w:val="both"/>
        <w:rPr>
          <w:rFonts w:ascii="Times New Roman" w:hAnsi="Times New Roman" w:cs="Times New Roman" w:eastAsia="Times New Roman"/>
          <w:color w:val="auto"/>
          <w:spacing w:val="0"/>
          <w:position w:val="0"/>
          <w:sz w:val="16"/>
          <w:shd w:fill="auto" w:val="clear"/>
        </w:rPr>
      </w:pP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memória, segundo Orlandi (2007, p.31) remete ao conceito de interdiscurso. O dizer não é de propriedade particular. As palavras são significadas pela língua e pela história. Os sujeitos são atingidos pela história, pela memória, pela filiação de sentidos constituídos por outros dizeres e vozes historicizadas e marcadas pela ideologia e pelo poder.</w:t>
      </w:r>
    </w:p>
    <w:p>
      <w:pPr>
        <w:spacing w:before="0" w:after="0" w:line="36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FAMÍLIA E MULHER: O PERCURSO LEGISLATIVO JURÍDICO</w:t>
      </w:r>
    </w:p>
    <w:p>
      <w:pPr>
        <w:spacing w:before="0" w:after="0" w:line="360"/>
        <w:ind w:right="0" w:left="0" w:firstLine="159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Vivemos em uma sociedade estruturada em hierarquias dotadas de poder. A mulher, por meio da luta feminista, vem cada vez mais alcançando espaços anteriormente nunca imaginados. Atualmente, as mulheres estão e ocupam lugares, graus, altos escalões da sociedade e do mundo do trabalho. Em todos os poderes, Legislativo, Executivo e Judiciário, a presença da mulher é marcante; contudo, embora tenha alcançados grandes feitos, a mulher continua sendo vítima de agressão e de violência doméstica, mesmo existindo uma lei – “Maria da Penha” - visando à eliminação ou diminuição desse tipo de violência, um fenômeno que é mundial.</w:t>
      </w:r>
    </w:p>
    <w:p>
      <w:pPr>
        <w:spacing w:before="0" w:after="0" w:line="360"/>
        <w:ind w:right="0" w:left="0" w:firstLine="13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Indispensável conceituar e verificar o processo histórico e, por consequência, a historicidade decorrente da palavra “família”, considerando inclusive as várias mutações que essa instituição sofreu e vem sofrendo até os dias atuais.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família que tradicionalmente considera o homem como seu chefe – o patriarcado – começou a sofrer mudanças já a partir do fim do século XIX, mas foi em meados do século XX que isso se consolidou com o surgimento do movimento denominado como “ feminismo”.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patriarcado refere-se ao poder dos homens, dominação dos homens e  consequente submissão das mulheres. Patriarcado é poder ou autoridade do pai. Esse sistema foi combatido pelo movimento feminista, nos anos 1970. Delphy (2009, p.175) afirma que em relação aos termos quase sinônimos “dominação masculina” e “opressão das mulheres” há duas características distintas. De um lado designa “no espírito daqueles que o utilizam, um sistema e não relações individuais ou um estado de espírito; do outro lado, a argumentação feminista opôs ‘patriarcado’ a ‘capitalismo’, o primeiro é diferente do segundo, um não se reduz ao outro”. Embora ainda vigente, o termo o “patriarcado” convive com “gênero” e “sistema de gênero”, os quais têm em comum a pretensão de descrever atitudes não individuais ou de setores da vida social, mas um sistema que comanda atividades humanas, coletivas e individuais. Esses termos se completam e se opõem a “sexismo” ou “machismo”, que são mais teóricos que “dominação masculina” e opressão das mulheres”.</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Durham (1982), família</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 um grupo social com vínculos, e constituído como unidade de reprodução humana. O termo família é considerado como uma instituição; refere-se a grupos sociais concretos e a modelos culturais. Por grupos domésticos entende-se as pessoas da família ou não coabitantes do mesmo domicílio. Parentesco</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 uma forma mais ampla de organização das relações de afinidade, descendência e consanguinidade e determina as formas de herança e sucessão. Diniz (2002) enfatiza que os sentidos do termo família são vários por decorrerem da plurivalência semântica existente no vocabulário jurídico. Três são as definições existentes no campo jurídico, ou seja, amplíssima, lata e restrita. </w:t>
      </w:r>
    </w:p>
    <w:p>
      <w:pPr>
        <w:spacing w:before="0" w:after="0" w:line="360"/>
        <w:ind w:right="0" w:left="0" w:firstLine="13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 forma, com a vigência da Constituição Federal de 1988 e do Código Civil, lei n.º 10.406/2002, passou a ser garantida e reconhecida como família a instituição decorrente do matrimônio e, como entidade familiar, a decorrente da união estável e comunidade monoparental, formada por quaisquer dos pais e seus descendentes, desvinculando-se do conceito de casal. Atualmente, não se admite mais atrelar o conceito de família ao de casamento já que este é uma das possíveis maneiras de constituição daquela. Hodiernamente, em razão das mudanças dos costumes, tanto o Direito quanto a realidade social mudou. </w:t>
      </w:r>
    </w:p>
    <w:p>
      <w:pPr>
        <w:spacing w:before="0" w:after="0" w:line="360"/>
        <w:ind w:right="0" w:left="0" w:firstLine="13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relações sexuais ocorrem não só no casamento, logo há reconhecimento jurídico e social da união estável como entidade familiar na qual as relações sexuais ocorrem sem repressão. Desta forma, a família moderna, atual, possui uma outra concepção, diferente da anterior, e já não pode ficar restringida à noção originária que a vinculava ao casamento entre pessoas de sexos diferentes.</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Podemos afirmar que há uma mudança significativa no conceito e na própria família moderna, contemporânea, ou seja, no perfil da família brasileira já não se percebe, embora ainda existente, a hierarquização rígida, intransponível em que os papéis são definidos pelo sexo. A família está buscando uma relação igualitária e há a percepção de que homem e mulher são diferentes enquanto pessoas, mas iguais como indivíduos. </w:t>
      </w:r>
    </w:p>
    <w:p>
      <w:pPr>
        <w:spacing w:before="0" w:after="0" w:line="360"/>
        <w:ind w:right="0" w:left="0" w:firstLine="136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modelo de família nuclear, na modernidade, sofreu modificações em decorrência dos métodos contraceptivos, a sexualidade feminina deixou de estar atrelada à maternidade, a possibilidade de planejamento familiar, a possibilidade do divórcio, o afastamento da influência religiosa permitindo uma leitura laica, ou seja, uma certa dessacralização da família, e a força do trabalho feminino, está exigindo que os membros da “família” busquem uma relação de igualdade. O movimento feminista despertou o sentimento de igualdade, de valorização, de respeito, de auto-estima, até então sufocados pelo patriarcalismo, e isso pode ser notado também no percurso legislativo jurídico.</w:t>
      </w:r>
    </w:p>
    <w:p>
      <w:pPr>
        <w:spacing w:before="0" w:after="0" w:line="360"/>
        <w:ind w:right="0" w:left="0" w:firstLine="1368"/>
        <w:jc w:val="both"/>
        <w:rPr>
          <w:rFonts w:ascii="Times New Roman" w:hAnsi="Times New Roman" w:cs="Times New Roman" w:eastAsia="Times New Roman"/>
          <w:color w:val="auto"/>
          <w:spacing w:val="0"/>
          <w:position w:val="0"/>
          <w:sz w:val="16"/>
          <w:shd w:fill="auto" w:val="clear"/>
        </w:rPr>
      </w:pPr>
    </w:p>
    <w:p>
      <w:pPr>
        <w:tabs>
          <w:tab w:val="left" w:pos="30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ANÁLISE DO DISCURSO SOBRE A MULHER E GÊNERO NA LEI 11.340/2006</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discurso jurídico, dotado de poder, para produzir o efeito de autoridade e exigir o cumprimento, precisa fazer com que haja uma crença, ainda que de forma imaginária, em uma instituição jurídica que dá proteção aos indivíduos e que a inobservância às normas estabelecidas produzirá sanção. A ordem jurídica é dotada de eficácia em sua função de ordenação social, pois, segundo Barros (2000) se estrutura enquanto linguagem, e é na estrutura da linguagem que a transmissão é possível.</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Sabe-se que o Estado é uma ficção, não possui um corpo físico, é uma ideia dotada de autoridade. O Estado se corporifica nas normas e leis que são dotadas de ideologia. Para Temer (1998, p.15) o Estado “consiste na incidência de determinada ordenação jurídica, ou seja, determinado conjunto de preceitos sobre determinadas pessoas que estão em certo território”.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direito e a linguagem são fenômenos da vida, já que sem eles não há sociedade. Não existe sociedade sem direito da mesma forma que não há sociedade sem linguagem.</w:t>
      </w:r>
    </w:p>
    <w:p>
      <w:pPr>
        <w:tabs>
          <w:tab w:val="left" w:pos="2280" w:leader="none"/>
        </w:tabs>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direito possui uma função ordenadora, pois coordena os interesses existentes na sociedade bem como os resolve. O direito, do ponto de vista sociológico, exerce a função de controle social, ou seja, é o conjunto de instrumentos de que a sociedade dispõe na sua tendência à imposição dos modelos culturais, dos ideais coletivos e dos valores que persegue, para a superação das antinomias, da tenções e dos conflitos que lhe são próprios. (CINTRA, GRINOVER, DINAMARCO, 1999, p.19)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Estado, no desempenho de sua função jurídica, regula as relações intersubjetivas através da Legislação e Jurisdição. Ao nosso estudo, interessa a Legislação, já que a Jurisdição está ligada à atividade jurídica, aplicação da norma para resolução do conflito entre pessoas. Tem a função de assegurar a prevalência do direito positivo do país. Através da Legislação estabelece normas, de acordo com a consciência dominante, que devem reger as diversas relações, definindo o que é lícito ou ilícito, direitos, poderes, faculdades, obrigação. Essas normas, segundo Cintra, Grinover e Dinamarco (1999, p.38-40), possuem caráter abstrato e genérico, sem destinação específica quanto à pessoa ou à situação concreta, são “tipos ou modelos de conduta (desejada ou reprovada) acompanhados ordinariamente dos efeitos que seguirão à ocorrência de fatos que se adaptem às previsões”.</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Lei “Maria da Penha” encontra-se entre as normas de </w:t>
      </w:r>
      <w:r>
        <w:rPr>
          <w:rFonts w:ascii="Times New Roman" w:hAnsi="Times New Roman" w:cs="Times New Roman" w:eastAsia="Times New Roman"/>
          <w:i/>
          <w:color w:val="auto"/>
          <w:spacing w:val="0"/>
          <w:position w:val="0"/>
          <w:sz w:val="24"/>
          <w:shd w:fill="auto" w:val="clear"/>
        </w:rPr>
        <w:t xml:space="preserve">Direito Matéria</w:t>
      </w:r>
      <w:r>
        <w:rPr>
          <w:rFonts w:ascii="Times New Roman" w:hAnsi="Times New Roman" w:cs="Times New Roman" w:eastAsia="Times New Roman"/>
          <w:color w:val="auto"/>
          <w:spacing w:val="0"/>
          <w:position w:val="0"/>
          <w:sz w:val="24"/>
          <w:shd w:fill="auto" w:val="clear"/>
        </w:rPr>
        <w:t xml:space="preserve">, que disciplina as relações jurídicas referente a bens e utilidade da vida,  e </w:t>
      </w:r>
      <w:r>
        <w:rPr>
          <w:rFonts w:ascii="Times New Roman" w:hAnsi="Times New Roman" w:cs="Times New Roman" w:eastAsia="Times New Roman"/>
          <w:i/>
          <w:color w:val="auto"/>
          <w:spacing w:val="0"/>
          <w:position w:val="0"/>
          <w:sz w:val="24"/>
          <w:shd w:fill="auto" w:val="clear"/>
        </w:rPr>
        <w:t xml:space="preserve">Direito Processual</w:t>
      </w:r>
      <w:r>
        <w:rPr>
          <w:rFonts w:ascii="Times New Roman" w:hAnsi="Times New Roman" w:cs="Times New Roman" w:eastAsia="Times New Roman"/>
          <w:color w:val="auto"/>
          <w:spacing w:val="0"/>
          <w:position w:val="0"/>
          <w:sz w:val="24"/>
          <w:shd w:fill="auto" w:val="clear"/>
        </w:rPr>
        <w:t xml:space="preserve"> , complexo de normas e princípios que regem o exercício do direito com a conjugação da jurisdição pelo Estado-Juiz, da ação/demandante e da defesa/demandado. Em resumo, a Lei 11.340 é uma Lei Ordinária, datada de 07 de setembro de 2006,  que foi aprovada pelas duas Casas Legislativas (Câmara dos Deputados e Senado), foi sancionada pelo Chefe do Poder Executivo e está em vigência, uma vez que não houve qualquer declaração de inconstitucionalidade e não existe outra lei revogando-a. Nessa lei, há matérias relativas ao direito processual penal, direito penal e direitos da mulher em geral.</w:t>
      </w:r>
    </w:p>
    <w:p>
      <w:pPr>
        <w:tabs>
          <w:tab w:val="left" w:pos="300" w:leader="none"/>
        </w:tabs>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Analisando A Lei “Maria da Penha” sob o suporte teórico da Análise do Discurso, antes mesmo do primeiro artigo da lei, na epígrafe, notamos facilmente a presença de “contradições” e do “interdiscurso” por meio da utilização da preposição “contra” e nas referências legislativas (pré-construído). A preposição “contra” está associada à “violência suportada pela mulher” em todo o texto legal. </w:t>
      </w:r>
    </w:p>
    <w:p>
      <w:pPr>
        <w:tabs>
          <w:tab w:val="left" w:pos="300" w:leader="none"/>
        </w:tabs>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nenhum momento, essa preposição ou o substantivo “violência” estão vinculados ao substantivo “homem”, sempre ao substantivo “mulher”. Logo nos primeiros artigos da Lei encontramos essas marcas textuais que são extremamente significativas para analisar o discurso proferido.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preposição “contra” segundo o dicionário Eletrônico Houaiss (2003) possui os seguintes significados: 1 - em oposição direta a; em combate a; 2- em movimento contrário a, hostil e impetuosamente, 3 - em direção ou sentido oposto a, de encontro a (ponto de apoio ou de resistência) 5 - como defesa ou proteção a ; 6 - para alívio ou extinção de, 7- de face para; de frente para, 8. tendo como adversário; 9- em discordância, em desacordo com; em contraposição a.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seu lado, a gramática da Língua Portuguesa, conceitua a preposição como uma palavra invariável que serve para ligar termos ou orações. Quando esta ligação acontece, normalmente há uma subordinação do segundo termo em relação ao primeiro. As preposições são muito importantes na estrutura da língua, pois estabelecem a coesão textual e possuem valores semânticos indispensáveis para a compreensão do texto.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Nota-se que no próprio conceito de preposição a “subordinação” está presente. Não estamos afirmando que o Poder Legislativo e Executivo ao elaborar e sancionar a Lei Maria da Penha escolheram conscientemente a preposição “contra”, mas, podemos afirmar que a referida preposição dá coesão ao texto legal, notadamente por ser uma Lei que visa garantir a “igualdade” entre os seres humanos, homem e mulher. Logo, se existe uma garantia de que todos “são iguais” é porque há pessoas desiguais ou “não iguais”. A preposição “contra” ligando a mulher à violência, produz um efeito de sentido de veracidade, de que a mulher está subordinada ao homem.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subordinação da mulher também se faz presente na expressão “toda mulher” contida no artigo 2.º, visto que, o pronome “toda” traz em si um divisão, entre o homem e a mulher e entre as próprias mulheres. Para que não haja “desigualdade” no texto foram inseridos outros substantivos como: classe, raça, etnia, orientação, sexual, nível educacional, idade, religião. O pronome “toda” produz um sentido de que as mulheres, sem exceção, podem ser vítimas de violência doméstica/familiar. O pronome poderia não ter sido incluído (não dito) e, nessa hipótese, permitiria o fenômeno do subentendido que dependeria do contexto. No entanto, o Legislador preferiu adotar explicitamente tal pronome.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mesma forma, a lei poderia omitir a palavra “mulher” e punir a violência doméstica e familiar, porque está subtendido que é ela quem sofre esse tipo de violência.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supressão da “mulher” no texto legal produziria um sentido em direção à outra memória discursiva, podendo inclusive evitar as inúmeras contradições existentes na lei e não ressaltar a diferença entre homem e mulher, tal como foi feito com Código Civil, no qual o substantivo “homem” foi substituído por “pessoa”.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a mulher “um ser frágil”, parece não ser propriamente reconhecida como “pessoa humana”, tanto que a lei precisa garantir que ela goze dos direitos fundamentais como: à vida, à segurança, à saúde, à alimentação, à educação, à cultura, à moradia, ao acesso à justiça, ao esporte, ao lazer, ao trabalho, à cidadania, à liberdade, à dignidade, ao respeito e à convivência familiar e comunitária. (art. 3.º). Os verbos: “assegurar” e “resguardar” presentes nesse artigo demonstram que a “mulher” não goza de proteção do próprio poder Estatal, que ela realmente é um ser excluído da sociedade no que se refere aos direitos inerentes à sua condição “de pessoa humana”. A mulher é negligenciada, discriminada, explorada, violentada e oprimida, adjetivos que também reforçam a sua “inferioridade”. Se há uma pessoa “inferior” (mulher), certamente há uma pessoa que é “superior” (homem) que comete as ações que a inferiorizam. Ademais, se a Lei precisa “assegurar” é porque há um descrédito quanto à garantia e à possibilidade de exercício dos direitos da e pela mulher.</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texto da lei “Maria da Penha” também é marcado pela contradição. Trata de violência doméstica na qual inclui o homem e mulher. Essa contradição está marcada na fixação das Medidas Protetivas de Urgência que obrigam o Agressor (art. 22) e Das Medidas Protetivas de Urgência à Ofendida. Ao agressor às sanções e à mulher as proteções.</w:t>
      </w:r>
    </w:p>
    <w:p>
      <w:pPr>
        <w:spacing w:before="0" w:after="0" w:line="360"/>
        <w:ind w:right="0" w:left="0" w:firstLine="153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reconhecimento de todo tipo de união – hetero ou homossexual - quebra a memória discursiva de que a “família” é constituída pela união de sexos opostos (homem e mulher), pelo casamento civil com a necessidade de coabitação. Para a lei, basta a convivência das pessoas na unidade doméstica ou que tenha uma relação de afeto. A união entre mulheres (lésbicas) como forma de constituição de entidade familiar é perfeitamente possível. Porém, não poderá a lei ser aplicada em entidade familiar constituída por homens (</w:t>
      </w:r>
      <w:r>
        <w:rPr>
          <w:rFonts w:ascii="Times New Roman" w:hAnsi="Times New Roman" w:cs="Times New Roman" w:eastAsia="Times New Roman"/>
          <w:i/>
          <w:color w:val="auto"/>
          <w:spacing w:val="0"/>
          <w:position w:val="0"/>
          <w:sz w:val="24"/>
          <w:shd w:fill="auto" w:val="clear"/>
        </w:rPr>
        <w:t xml:space="preserve">gays</w:t>
      </w:r>
      <w:r>
        <w:rPr>
          <w:rFonts w:ascii="Times New Roman" w:hAnsi="Times New Roman" w:cs="Times New Roman" w:eastAsia="Times New Roman"/>
          <w:color w:val="auto"/>
          <w:spacing w:val="0"/>
          <w:position w:val="0"/>
          <w:sz w:val="24"/>
          <w:shd w:fill="auto" w:val="clear"/>
        </w:rPr>
        <w:t xml:space="preserve">) já que para a Lei somente a mulher é ofendida/vítima e o homem é sempre agressor.</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essa lei adere a um posicionamento em favor da mulher frágil e vitimizada o que já pressupõe um homem agressor (art. 5.º III). Ao estabelecer as várias formas de violência (art. 7.º) e ações articuladas (art. 8.º) reforça a imagem que o Poder Estatal possui da mulher, além de romper com uma prática até então “aceitável” na sociedade. Se há uma pessoa “violentada” é porque existe outra que a violentou.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Ressaltamos que, recentemente, houve alteração no Código Penal no artigo 213 que trata do estupro. Anteriormente, somente a mulher podia ser estuprada, já que o tipo penal exigia a cópula, a introdução do pênis (homem) na vagina (mulher). Além disso, na doutrina era aceitável e reconhecido o direito do marido “estuprar” (praticar uma relação sexual não desejada) a esposa sob o fundamento de que ele estaria praticando um “exercício regular de um direito”. A mulher não tinha o direito de recusar o ato sexual. A criação dos Juizados de Violência Doméstica e Familiar, além dos centros de atendimento, casas-abrigos, delegacia, defensoria, serviços de saúde destinados à mulher vítima de violência doméstica, reforça a “fragilidade” da mulher e do Poder Estatal no que se refere à violência doméstica e familiar e o “duradouro” ou “perdurável” sentimento de impunidade do agressor. A “mulher” por “depender” do “homem” acaba não exercendo os seus direitos.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“direito” de violentar passa a ser entendido como problema que necessita de tratamento de reeducação e recuperação por parte do agressor: “Art. 45. Parágrafo único - Nos casos de violência doméstica contra a mulher, o juiz poderá determinar o comparecimento obrigatório do agressor a programas de recuperação e reeducação”.</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Lei “Maria da Penha” cria a figura dos “direitos humanos das mulheres” como contraponto aos “direitos humanos” existentes que de certa forma foram utilizados apenas em favor dos homens. Sabemos que toda e qualquer violência praticada contra todo e qualquer ser humano é uma violação aos direitos humanos. A existência da Lei “Maria da Penha”, em verdade, remonta, reflete discursos anteriores que visam obter a igualdade jurídica entre homem e mulher, discursos feministas que recusam a supremacia do homem em face da mulher.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Nota-se que no processo legislativo houve modificações significativas nas formações discursivas dominantes. Atualmente, existe um preceito Constitucional e vários infra-constitucionais afirmando, ao menos sob o aspecto jurídico e legal, que homens e mulheres são iguais em direitos e obrigações nos termos da lei, discurso esse totalmente impossível e inadmissível nos séculos passados, quando não existiam condições de produção para que esse tipo discurso surgisse.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assim, se o interdiscurso é o lugar no qual o sujeito produz um discurso dominado por uma determinada formação discursiva, e se os objetos e articulações que o sujeito enunciador se apropria lhe dão coerência, na Lei “Maria da Penha” há uma nítida intenção de resguardar e proteger a mulher vitimizada contra o homem agressor . </w:t>
      </w:r>
    </w:p>
    <w:p>
      <w:pPr>
        <w:spacing w:before="0" w:after="0" w:line="360"/>
        <w:ind w:right="0" w:left="0" w:firstLine="1425"/>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Os poderes instituídos (Executivo, Legislativo e Judiciário), cedendo às ideologias feministas, elaboraram e mantém em vigência uma lei atravessada por uma formação discursiva até então contrária à formação dominante, de que o homem era superior à mulher.</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feminismo, com toda a sua ideologia, introduziu uma (re)evolução na relação entre os sexos que não inclui um modelo ideológico pré-estabelecido. Collin (2009, p.61), resgatando os ensinamentos de Simone de Beauvoir (1970), esclarece que a originalidade está na articulação dos problemas existentes nas relações entre os sexos e que a estrutura é única, seja ela sociológica, econômica, psicológica. Que, nessa última, não há uma realidade natural, mas uma relação de dominação, “culturalmente construída e, portanto passível de ser superada”. Desta forma, se a dominação existente é ideológica, construída culturalmente, na Lei “Maria da Penha”, nota-se a presença de uma ideologia contrária à dominante (machismo, patriarcalismo). A lei prevê mecanismos para (re)criar uma mulher, um relacionamento entre os sexos, livre de violência, pautado no amor, respeito e companheirismo para preservar o ambiente familiar.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Lei “Maria da Penha” utiliza tanto a palavra “mulher” como “gênero”. Gênero e Sexo são sinônimos? Produzem o mesmo efeito de sentido? A resposta é não. Para Pedro (2005, p.78), na maioria das línguas os seres animados ou não, têm gênero; no entanto, existem alguns seres vivos que se reproduzem de forma assexuada e mesmo assim são designados pelo gênero. Os movimentos feministas, utilizando a máxima -: “as palavras na maioria das línguas têm gênero, mas não têm sexo” - passaram a utilizar “gênero” em lugar de “sexo” como forma de cristalizar a ideologia de que as diferenças existentes nos comportamentos dos homens e das mulheres independiam do “sexo” (biologia), mas do “gênero” (cultura). A terminologia “gênero” está diretamente ligada aos movimentos sociais de mulheres, </w:t>
      </w:r>
      <w:r>
        <w:rPr>
          <w:rFonts w:ascii="Times New Roman" w:hAnsi="Times New Roman" w:cs="Times New Roman" w:eastAsia="Times New Roman"/>
          <w:i/>
          <w:color w:val="auto"/>
          <w:spacing w:val="0"/>
          <w:position w:val="0"/>
          <w:sz w:val="24"/>
          <w:shd w:fill="auto" w:val="clear"/>
        </w:rPr>
        <w:t xml:space="preserve">gays</w:t>
      </w:r>
      <w:r>
        <w:rPr>
          <w:rFonts w:ascii="Times New Roman" w:hAnsi="Times New Roman" w:cs="Times New Roman" w:eastAsia="Times New Roman"/>
          <w:color w:val="auto"/>
          <w:spacing w:val="0"/>
          <w:position w:val="0"/>
          <w:sz w:val="24"/>
          <w:shd w:fill="auto" w:val="clear"/>
        </w:rPr>
        <w:t xml:space="preserve">, lésbicas e feministas na busca por direitos iguais. A referida autora ainda enfatiza que cada sociedade humana usa a diferença sexual como argumento na constituição dos papéis sociais que são diferentes de sociedade para sociedade, desta forma, existe uma separação entre o sexo (biológico) do temperamento (cultura). Dentro deste contexto, o sexo deixa de ser o significante sobre o qual se constrói o significado.</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Sexo está ligado à condição biológica existente entre homens e mulheres. O gênero, por sua vez, é uma construção social, aquisição da masculinidade e feminilidade. “O gênero cria o sexo” (JUTEAU, 2009, p.93).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Masculinidade e feminilidade existem e são definidas em suas próprias relações, ou seja, “são as relações sociais de sexo, marcadas pela dominação masculina, que determinam o que é considerado “normal” e em geral interpretado como “natural” para mulheres e homens” (MOLINIER, LANG, 2009, p.101).</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virilidade, segundo os referidos autores, possui duplo sentido: 1) atributos sociais dos homens e referidos ao sexo masculino: a força, a coragem, a capacidade de combater, o “direito” a violência e aos privilégios associados à dominação daquelas e daqueles que não são, e não podem ser viris: mulheres, crianças; 2) a forma erétil e penetrante da sexualidade masculina. Nessas duas acepções, a virilidade é imposta pelos homens como forma de obter</w:t>
      </w:r>
      <w:r>
        <w:rPr>
          <w:rFonts w:ascii="Times New Roman" w:hAnsi="Times New Roman" w:cs="Times New Roman" w:eastAsia="Times New Roman"/>
          <w:i/>
          <w:color w:val="auto"/>
          <w:spacing w:val="0"/>
          <w:position w:val="0"/>
          <w:sz w:val="24"/>
          <w:shd w:fill="auto" w:val="clear"/>
        </w:rPr>
        <w:t xml:space="preserve"> status</w:t>
      </w:r>
      <w:r>
        <w:rPr>
          <w:rFonts w:ascii="Times New Roman" w:hAnsi="Times New Roman" w:cs="Times New Roman" w:eastAsia="Times New Roman"/>
          <w:color w:val="auto"/>
          <w:spacing w:val="0"/>
          <w:position w:val="0"/>
          <w:sz w:val="24"/>
          <w:shd w:fill="auto" w:val="clear"/>
        </w:rPr>
        <w:t xml:space="preserve"> em face das mulheres, trata-se de “expressão coletiva e individualizada da dominação masculina”. É considerado como “verdadeiro homem” aquele que se mostra viril e a ele é atribuído honra, poder e dominação doméstica e sexual da mulher; os que não alcançam a “virilidade” sofrem violência dos próprios homens, cita-se como exemplo a homofobia que é uma forma de controle exercido pelos homens.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diferença sexual está ligada à igualdade dos direitos entre os sexos, igualdade essa que teve início com a Revolução Francesa. Antes disso, não se questionava a diferença entre os sexos porque entendia-se que a diferença era decorrência da natureza (biologia), aspecto anatômico e fisiológico e era em decorrência dessa diferença natural que se dava a inserção na sociedade. Até o final do século XVIII, reinava a concepção do modelo hierárquico do sexo único. O discurso da igualdade rompeu como a ideologia até então cristalizada na sociedade. Como poderia sustentar a igualdade jurídica sem criar um discurso que contrariasse o discurso da hierarquia até então existente?</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modelo do sexo único, segundo Birman (2001, p. 37) surgiu na antiguidade. Segundo a autora, Galeno foi o responsável por esse paradigma cujos alicerces foram traçados por Aristóteles. Partindo da teoria de Galeno (quatro causas: material, formal, eficiente e final), Aristóteles concebeu a geração como diversamente distribuída entre as figuras do homem e da mulher. Com efeito, e a mulher seria a sede e o vetor da causa material da geração, caberia ao homem o poder da causa formal. O macho era responsável pela transmissão da humanidade por ser o portador do “princípio divino”, a forma, essência, a perfeição.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palavra, na mesma língua, possui significado diferente dependendo da posição do sujeito e da sua formação discursiva, pode-se afirmar que a lei, ao utilizar  “ofendida” e “agressor” dentro do campo discursivo da violência doméstica, trata os sujeitos de forma dualista, como o bem e o mau. A mulher é boa e o homem é mau. A mulher é vitima e o homem agressor. A mulher não se defende e o homem ataca, violenta. Trata-se de regularidades que geram sentidos de veracidade por estarem atrelados a uma formação ideológica de uma conjuntura atual. Há uma materialidade discursiva linguística e histórica que não reflete a totalidade da sociedade, mas parte dela. Nem todas as mulheres são boas, honestas, frágeis; há mulheres fatais, que agridem, que atacam, que são más, enfim, essas características são de ambos os sexos: mulher e homem; porém, na lei, há um apagamento dessas características e uma evidente formação ideológica feminista.</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lei há um posicionamento contrário a uma imagem machista e preconceituosa da mulher, segundo a qual é seu papel submeter-se a quaisquer condições de sobrevivência, ainda que desagradáveis, para ser companheira e solidária. O discurso revela as relações de poder e ideologias dos quais é formado, já que a linguagem é constituída também pelas relações sociais e as relações sociais são constituídas também pela linguagem.</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Inegável que na lei, em razão das árduas e progressivas conquistas das mulheres, notadamente no que se refere à igualdade de “direitos”, é perceptível a modificação da ideologia dominante e do dizível neste momento. Atualmente, pode-se dizer que a mulher tem os mesmos direitos que o homem também por força do Estado, dotado de poder/sanção, atestar essa igualdade.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discurso é um produto histórico e social e as modificações da sociedade, de certa forma, podem modificá-lo. Ora, se o discurso não pode transformar o mundo, mas a linguagem pode ser instrumento de libertação ou opressão, de mudança ou de conservação, a lei, enquanto discurso/linguagem, pretende libertar a mulher da opressão masculina, propõe um novo paradigma, qual seja, a não preponderância do sexo masculino, mas a equivalência de poderes e direitos. Constatamos que os poderes  Legislativo e Executivo ao utilizarem de outras formações discursivas (feminismo), que não a dominante (machismo, patriarcalismo) deseja modificar uma estrutura social existente contrária à igualdade de direitos para os seres humanos, homem e mulher, criando um mundo novo.</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Compreendemos que as pessoas, apesar de serem declaradas “iguais”, na verdade são discriminadas pela linguagem contida na própria Lei “Maria da Penha”, podendo-se afirmar que somente por força da linguagem jurídica que os homens e mulheres se tornam de fato iguais. No Direito, a ideologia presente em sua formação discursiva, tem como finalidade gerar o bem social, o equilíbrio nas relações sociais com igualdade de condições. A lei, por ser genérica e abstrata, produz um discurso jurídico cuja existência decorre de uma representação do Poder Estatal, de um mundo social desejado, produzindo o afastamento ou apagamento das suas condições histórico-sociais.</w:t>
      </w:r>
    </w:p>
    <w:p>
      <w:pPr>
        <w:spacing w:before="0" w:after="0" w:line="240"/>
        <w:ind w:right="0" w:left="0" w:firstLine="0"/>
        <w:jc w:val="left"/>
        <w:rPr>
          <w:rFonts w:ascii="Times New Roman" w:hAnsi="Times New Roman" w:cs="Times New Roman" w:eastAsia="Times New Roman"/>
          <w:b/>
          <w:color w:val="auto"/>
          <w:spacing w:val="0"/>
          <w:position w:val="0"/>
          <w:sz w:val="16"/>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CONCLUSÕES</w:t>
      </w: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Acreditamos que a Lei “Maria da Penha” é dotada de uma ideologia feminista contrária a ideologia machista/patriarcal existente em nossa sociedade, na qual à mulher é destinado um lugar secundário, mesmo ela já não mais admita como sendo o seu lugar. A ideologia machista durante anos serviu, e ainda serve, como meio de manutenção de poder e do </w:t>
      </w:r>
      <w:r>
        <w:rPr>
          <w:rFonts w:ascii="Times New Roman" w:hAnsi="Times New Roman" w:cs="Times New Roman" w:eastAsia="Times New Roman"/>
          <w:i/>
          <w:color w:val="auto"/>
          <w:spacing w:val="0"/>
          <w:position w:val="0"/>
          <w:sz w:val="24"/>
          <w:shd w:fill="auto" w:val="clear"/>
        </w:rPr>
        <w:t xml:space="preserve">status</w:t>
      </w:r>
      <w:r>
        <w:rPr>
          <w:rFonts w:ascii="Times New Roman" w:hAnsi="Times New Roman" w:cs="Times New Roman" w:eastAsia="Times New Roman"/>
          <w:color w:val="auto"/>
          <w:spacing w:val="0"/>
          <w:position w:val="0"/>
          <w:sz w:val="24"/>
          <w:shd w:fill="auto" w:val="clear"/>
        </w:rPr>
        <w:t xml:space="preserve"> garantido ao homem. O Poderes constituídos em nossa sociedade (Legislativo, Executivo e Judiciário) agem tardiamente na proteção e reconhecimento dos direitos da mulher. O Estatuto da Mulher Casada e a Lei “Maria da Penha” são decorrentes de punições que o Brasil sofreu internacionalmente.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Verificamos que, do ponto de vista institucional, legal e discursivo, em nossa sociedade contemporânea a mulher é considerada como ser frágil, que necessita de proteção em razão de um posicionamento machista, ainda vigente na atualidade; contudo, há mulheres que realizam grandes feitos e que já ocupam lugares até então destinados ao homem estabelecendo uma nova cristalização desses sentidos em nossa cultura.</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texto e discurso dessa lei são marcados por contradições; trata da violência doméstica e famíliar em que a  mulher é sempre ofendida/vitimizada, enquanto o homem é sempre o agressor, ficando evidente que há uma ruptura com a memória discursiva referente á família, que passou a ser reconhecida também por outras formas de constituição que não apenas a pautada no casamento e na união dos sexos opostos e na coabitação.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Percebemos que houve alterações nas condições de produção do discurso em decorrência das alterações nas relações sociais entre os homens e mulheres, as quais tornam possível a existência deste discurso. A igualdade de “direitos” é uma modificação da ideologia dominante e do dizível neste momento. Percebemos ainda que a ideologia feminista, como forma de conseguir libertar-se da dominação machista, utiliza-se de algumas das práticas discursivas que por elas são combatidas.</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Essa conclusão está na própria Lei quando utiliza a expressão “toda mulher” ao invés de utilizar “toda pessoa”. A Lei “Maria da Penha” utiliza-se da terminologia “gênero” cujo sentido está ligado aos movimentos sociais de mulheres, </w:t>
      </w:r>
      <w:r>
        <w:rPr>
          <w:rFonts w:ascii="Times New Roman" w:hAnsi="Times New Roman" w:cs="Times New Roman" w:eastAsia="Times New Roman"/>
          <w:i/>
          <w:color w:val="auto"/>
          <w:spacing w:val="0"/>
          <w:position w:val="0"/>
          <w:sz w:val="24"/>
          <w:shd w:fill="auto" w:val="clear"/>
        </w:rPr>
        <w:t xml:space="preserve">gays</w:t>
      </w:r>
      <w:r>
        <w:rPr>
          <w:rFonts w:ascii="Times New Roman" w:hAnsi="Times New Roman" w:cs="Times New Roman" w:eastAsia="Times New Roman"/>
          <w:color w:val="auto"/>
          <w:spacing w:val="0"/>
          <w:position w:val="0"/>
          <w:sz w:val="24"/>
          <w:shd w:fill="auto" w:val="clear"/>
        </w:rPr>
        <w:t xml:space="preserve">, lésbicas e feministas na busca por direitos iguais, no entanto, a lei somente é aplicada à mulher vítima de violência. </w:t>
      </w:r>
    </w:p>
    <w:p>
      <w:pPr>
        <w:spacing w:before="0" w:after="0" w:line="360"/>
        <w:ind w:right="0" w:left="0" w:firstLine="1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entendemos que essa lei é um avanço na construção da igualdade de gênero; no entanto, é um instrumento insuficiente para dirimir as desigualdades existentes em nossa sociedade contemporânea.</w:t>
      </w:r>
    </w:p>
    <w:p>
      <w:pPr>
        <w:spacing w:before="0" w:after="0" w:line="240"/>
        <w:ind w:right="0" w:left="0" w:firstLine="1423"/>
        <w:jc w:val="both"/>
        <w:rPr>
          <w:rFonts w:ascii="Times New Roman" w:hAnsi="Times New Roman" w:cs="Times New Roman" w:eastAsia="Times New Roman"/>
          <w:color w:val="auto"/>
          <w:spacing w:val="0"/>
          <w:position w:val="0"/>
          <w:sz w:val="16"/>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ALTHUSSER, l. </w:t>
      </w:r>
      <w:r>
        <w:rPr>
          <w:rFonts w:ascii="11,5" w:hAnsi="11,5" w:cs="11,5" w:eastAsia="11,5"/>
          <w:b/>
          <w:color w:val="auto"/>
          <w:spacing w:val="0"/>
          <w:position w:val="0"/>
          <w:sz w:val="22"/>
          <w:shd w:fill="auto" w:val="clear"/>
        </w:rPr>
        <w:t xml:space="preserve">Ideologia e aparelhos ideológicos de estado</w:t>
      </w:r>
      <w:r>
        <w:rPr>
          <w:rFonts w:ascii="11,5" w:hAnsi="11,5" w:cs="11,5" w:eastAsia="11,5"/>
          <w:color w:val="auto"/>
          <w:spacing w:val="0"/>
          <w:position w:val="0"/>
          <w:sz w:val="22"/>
          <w:shd w:fill="auto" w:val="clear"/>
        </w:rPr>
        <w:t xml:space="preserve">. Tradução de Joaquim Jose de Moura Ramos. Lisboa: Editorial Presença, 1974.</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BARROS, Fernanda Otoni. </w:t>
      </w:r>
      <w:r>
        <w:rPr>
          <w:rFonts w:ascii="11,5" w:hAnsi="11,5" w:cs="11,5" w:eastAsia="11,5"/>
          <w:b/>
          <w:color w:val="auto"/>
          <w:spacing w:val="0"/>
          <w:position w:val="0"/>
          <w:sz w:val="22"/>
          <w:shd w:fill="auto" w:val="clear"/>
        </w:rPr>
        <w:t xml:space="preserve">Do direito ao pai: sobre a paternidade no ordenamento Jurídico</w:t>
      </w:r>
      <w:r>
        <w:rPr>
          <w:rFonts w:ascii="11,5" w:hAnsi="11,5" w:cs="11,5" w:eastAsia="11,5"/>
          <w:color w:val="auto"/>
          <w:spacing w:val="0"/>
          <w:position w:val="0"/>
          <w:sz w:val="22"/>
          <w:shd w:fill="auto" w:val="clear"/>
        </w:rPr>
        <w:t xml:space="preserve">. Revista Brasileira de Direito de Família. Ano II – nº 6 – Jul-Ago-Set 2000.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BEAUVOIR, Simone. </w:t>
      </w:r>
      <w:r>
        <w:rPr>
          <w:rFonts w:ascii="11,5" w:hAnsi="11,5" w:cs="11,5" w:eastAsia="11,5"/>
          <w:b/>
          <w:color w:val="auto"/>
          <w:spacing w:val="0"/>
          <w:position w:val="0"/>
          <w:sz w:val="22"/>
          <w:shd w:fill="auto" w:val="clear"/>
        </w:rPr>
        <w:t xml:space="preserve">O segundo sexo.</w:t>
      </w:r>
      <w:r>
        <w:rPr>
          <w:rFonts w:ascii="11,5" w:hAnsi="11,5" w:cs="11,5" w:eastAsia="11,5"/>
          <w:color w:val="auto"/>
          <w:spacing w:val="0"/>
          <w:position w:val="0"/>
          <w:sz w:val="22"/>
          <w:shd w:fill="auto" w:val="clear"/>
        </w:rPr>
        <w:t xml:space="preserve"> São Paulo: Difusão Européia do Livro, 1970. </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BIRMAN, Joel. </w:t>
      </w:r>
      <w:r>
        <w:rPr>
          <w:rFonts w:ascii="11,5" w:hAnsi="11,5" w:cs="11,5" w:eastAsia="11,5"/>
          <w:b/>
          <w:color w:val="auto"/>
          <w:spacing w:val="0"/>
          <w:position w:val="0"/>
          <w:sz w:val="22"/>
          <w:shd w:fill="auto" w:val="clear"/>
        </w:rPr>
        <w:t xml:space="preserve">Gramática do erotismo: a feminilidade e as suas formas de subjetivação em psicanálise</w:t>
      </w:r>
      <w:r>
        <w:rPr>
          <w:rFonts w:ascii="11,5" w:hAnsi="11,5" w:cs="11,5" w:eastAsia="11,5"/>
          <w:color w:val="auto"/>
          <w:spacing w:val="0"/>
          <w:position w:val="0"/>
          <w:sz w:val="22"/>
          <w:shd w:fill="auto" w:val="clear"/>
        </w:rPr>
        <w:t xml:space="preserve">. Rio de Janeiro: Civilização Brasileira, 2001.</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BRANDÃO, Helena Nagamine. </w:t>
      </w:r>
      <w:r>
        <w:rPr>
          <w:rFonts w:ascii="11,5" w:hAnsi="11,5" w:cs="11,5" w:eastAsia="11,5"/>
          <w:b/>
          <w:color w:val="auto"/>
          <w:spacing w:val="0"/>
          <w:position w:val="0"/>
          <w:sz w:val="22"/>
          <w:shd w:fill="auto" w:val="clear"/>
        </w:rPr>
        <w:t xml:space="preserve">Introdução à análise do discurso</w:t>
      </w:r>
      <w:r>
        <w:rPr>
          <w:rFonts w:ascii="11,5" w:hAnsi="11,5" w:cs="11,5" w:eastAsia="11,5"/>
          <w:color w:val="auto"/>
          <w:spacing w:val="0"/>
          <w:position w:val="0"/>
          <w:sz w:val="22"/>
          <w:shd w:fill="auto" w:val="clear"/>
        </w:rPr>
        <w:t xml:space="preserve">. 8.ed. Campinas, São Paulo: Unicamp, 2002.</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CINTRA, Antônio Carlos de Araújo; GRINOVER, Ada Pellegrini; DINAMARCO, Cândido Rangel. </w:t>
      </w:r>
      <w:r>
        <w:rPr>
          <w:rFonts w:ascii="11,5" w:hAnsi="11,5" w:cs="11,5" w:eastAsia="11,5"/>
          <w:b/>
          <w:color w:val="auto"/>
          <w:spacing w:val="0"/>
          <w:position w:val="0"/>
          <w:sz w:val="22"/>
          <w:shd w:fill="auto" w:val="clear"/>
        </w:rPr>
        <w:t xml:space="preserve">Teoria geral do processo</w:t>
      </w:r>
      <w:r>
        <w:rPr>
          <w:rFonts w:ascii="11,5" w:hAnsi="11,5" w:cs="11,5" w:eastAsia="11,5"/>
          <w:color w:val="auto"/>
          <w:spacing w:val="0"/>
          <w:position w:val="0"/>
          <w:sz w:val="22"/>
          <w:shd w:fill="auto" w:val="clear"/>
        </w:rPr>
        <w:t xml:space="preserve">. 15. ed. São Paulo: Malheiros, 1999.</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COLLIN, Françoise. Teoria da diferenças dos sexos. In. </w:t>
      </w:r>
      <w:r>
        <w:rPr>
          <w:rFonts w:ascii="11,5" w:hAnsi="11,5" w:cs="11,5" w:eastAsia="11,5"/>
          <w:b/>
          <w:color w:val="auto"/>
          <w:spacing w:val="0"/>
          <w:position w:val="0"/>
          <w:sz w:val="22"/>
          <w:shd w:fill="auto" w:val="clear"/>
        </w:rPr>
        <w:t xml:space="preserve">Dicionário crítico do feminismo.</w:t>
      </w:r>
      <w:r>
        <w:rPr>
          <w:rFonts w:ascii="11,5" w:hAnsi="11,5" w:cs="11,5" w:eastAsia="11,5"/>
          <w:color w:val="auto"/>
          <w:spacing w:val="0"/>
          <w:position w:val="0"/>
          <w:sz w:val="22"/>
          <w:shd w:fill="auto" w:val="clear"/>
        </w:rPr>
        <w:t xml:space="preserve"> HELENA Hirata...[et. Al] (orgs.). São Paulo: Editora UNESP, 2009. </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CUNHA, Rogério Sanches PINTO, Ronaldo Batista. </w:t>
      </w:r>
      <w:r>
        <w:rPr>
          <w:rFonts w:ascii="11,5" w:hAnsi="11,5" w:cs="11,5" w:eastAsia="11,5"/>
          <w:b/>
          <w:color w:val="auto"/>
          <w:spacing w:val="0"/>
          <w:position w:val="0"/>
          <w:sz w:val="22"/>
          <w:shd w:fill="auto" w:val="clear"/>
        </w:rPr>
        <w:t xml:space="preserve">Violência Doméstica. Lei Maria da Penha comentada artigo por artigo</w:t>
      </w:r>
      <w:r>
        <w:rPr>
          <w:rFonts w:ascii="11,5" w:hAnsi="11,5" w:cs="11,5" w:eastAsia="11,5"/>
          <w:color w:val="auto"/>
          <w:spacing w:val="0"/>
          <w:position w:val="0"/>
          <w:sz w:val="22"/>
          <w:shd w:fill="auto" w:val="clear"/>
        </w:rPr>
        <w:t xml:space="preserve">. 2. ed. São Paulo: Revista dos Tribunais. 2008.</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DINIZ, Maria Helena. </w:t>
      </w:r>
      <w:r>
        <w:rPr>
          <w:rFonts w:ascii="11,5" w:hAnsi="11,5" w:cs="11,5" w:eastAsia="11,5"/>
          <w:b/>
          <w:color w:val="auto"/>
          <w:spacing w:val="0"/>
          <w:position w:val="0"/>
          <w:sz w:val="22"/>
          <w:shd w:fill="auto" w:val="clear"/>
        </w:rPr>
        <w:t xml:space="preserve">Curso de direito civil brasileiro</w:t>
      </w:r>
      <w:r>
        <w:rPr>
          <w:rFonts w:ascii="11,5" w:hAnsi="11,5" w:cs="11,5" w:eastAsia="11,5"/>
          <w:color w:val="auto"/>
          <w:spacing w:val="0"/>
          <w:position w:val="0"/>
          <w:sz w:val="22"/>
          <w:shd w:fill="auto" w:val="clear"/>
        </w:rPr>
        <w:t xml:space="preserve">, v.5: direito de família. 18.ed. aum.e atual. de acordo com o novo código civil (lei n. 10.406, de 10.01.2002): São Paulo : Saraiva, 2002.</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DURHAM, E. </w:t>
      </w:r>
      <w:r>
        <w:rPr>
          <w:rFonts w:ascii="11,5" w:hAnsi="11,5" w:cs="11,5" w:eastAsia="11,5"/>
          <w:b/>
          <w:color w:val="auto"/>
          <w:spacing w:val="0"/>
          <w:position w:val="0"/>
          <w:sz w:val="22"/>
          <w:shd w:fill="auto" w:val="clear"/>
        </w:rPr>
        <w:t xml:space="preserve">Família e casamento</w:t>
      </w:r>
      <w:r>
        <w:rPr>
          <w:rFonts w:ascii="11,5" w:hAnsi="11,5" w:cs="11,5" w:eastAsia="11,5"/>
          <w:color w:val="auto"/>
          <w:spacing w:val="0"/>
          <w:position w:val="0"/>
          <w:sz w:val="22"/>
          <w:shd w:fill="auto" w:val="clear"/>
        </w:rPr>
        <w:t xml:space="preserve">. Anais do Terceiro Encontro Nacional de Estudos Populacionais, ABEP, São Paulo, 1982, pp. 31-48. Disponível em </w:t>
      </w:r>
      <w:hyperlink xmlns:r="http://schemas.openxmlformats.org/officeDocument/2006/relationships" r:id="docRId178">
        <w:r>
          <w:rPr>
            <w:rFonts w:ascii="11,5" w:hAnsi="11,5" w:cs="11,5" w:eastAsia="11,5"/>
            <w:color w:val="0000FF"/>
            <w:spacing w:val="0"/>
            <w:position w:val="0"/>
            <w:sz w:val="22"/>
            <w:u w:val="single"/>
            <w:shd w:fill="auto" w:val="clear"/>
          </w:rPr>
          <w:t xml:space="preserve">http://www.abep.nepo.unicamp.br/docs/anais/pdf/1982/T82V1A002.pdf</w:t>
        </w:r>
      </w:hyperlink>
      <w:r>
        <w:rPr>
          <w:rFonts w:ascii="11,5" w:hAnsi="11,5" w:cs="11,5" w:eastAsia="11,5"/>
          <w:color w:val="auto"/>
          <w:spacing w:val="0"/>
          <w:position w:val="0"/>
          <w:sz w:val="22"/>
          <w:shd w:fill="auto" w:val="clear"/>
        </w:rPr>
        <w:t xml:space="preserve">. Acesso em 02 maio 2010.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FERNANDES, Cleudemar Alves. </w:t>
      </w:r>
      <w:r>
        <w:rPr>
          <w:rFonts w:ascii="11,5" w:hAnsi="11,5" w:cs="11,5" w:eastAsia="11,5"/>
          <w:b/>
          <w:color w:val="auto"/>
          <w:spacing w:val="0"/>
          <w:position w:val="0"/>
          <w:sz w:val="22"/>
          <w:shd w:fill="auto" w:val="clear"/>
        </w:rPr>
        <w:t xml:space="preserve">Análise do discurso: reflexões teóricas.</w:t>
      </w:r>
      <w:r>
        <w:rPr>
          <w:rFonts w:ascii="11,5" w:hAnsi="11,5" w:cs="11,5" w:eastAsia="11,5"/>
          <w:color w:val="auto"/>
          <w:spacing w:val="0"/>
          <w:position w:val="0"/>
          <w:sz w:val="22"/>
          <w:shd w:fill="auto" w:val="clear"/>
        </w:rPr>
        <w:t xml:space="preserve"> Goiânia, Goiás: Trilhas Urbanas, 2005.</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FIORIN, Jose Luiz. </w:t>
      </w:r>
      <w:r>
        <w:rPr>
          <w:rFonts w:ascii="11,5" w:hAnsi="11,5" w:cs="11,5" w:eastAsia="11,5"/>
          <w:b/>
          <w:color w:val="auto"/>
          <w:spacing w:val="0"/>
          <w:position w:val="0"/>
          <w:sz w:val="22"/>
          <w:shd w:fill="auto" w:val="clear"/>
        </w:rPr>
        <w:t xml:space="preserve">Linguagem e Ideologia.</w:t>
      </w:r>
      <w:r>
        <w:rPr>
          <w:rFonts w:ascii="11,5" w:hAnsi="11,5" w:cs="11,5" w:eastAsia="11,5"/>
          <w:color w:val="auto"/>
          <w:spacing w:val="0"/>
          <w:position w:val="0"/>
          <w:sz w:val="22"/>
          <w:shd w:fill="auto" w:val="clear"/>
        </w:rPr>
        <w:t xml:space="preserve"> 6. ed. São Paulo: Atica. 1998.</w:t>
      </w:r>
    </w:p>
    <w:p>
      <w:pPr>
        <w:spacing w:before="0" w:after="200" w:line="276"/>
        <w:ind w:right="0" w:left="0" w:firstLine="0"/>
        <w:jc w:val="both"/>
        <w:rPr>
          <w:rFonts w:ascii="11,5" w:hAnsi="11,5" w:cs="11,5" w:eastAsia="11,5"/>
          <w:b/>
          <w:color w:val="auto"/>
          <w:spacing w:val="0"/>
          <w:position w:val="0"/>
          <w:sz w:val="22"/>
          <w:shd w:fill="auto" w:val="clear"/>
        </w:rPr>
      </w:pPr>
      <w:r>
        <w:rPr>
          <w:rFonts w:ascii="11,5" w:hAnsi="11,5" w:cs="11,5" w:eastAsia="11,5"/>
          <w:b/>
          <w:color w:val="auto"/>
          <w:spacing w:val="0"/>
          <w:position w:val="0"/>
          <w:sz w:val="22"/>
          <w:shd w:fill="auto" w:val="clear"/>
        </w:rPr>
        <w:t xml:space="preserve">FOUCAULT, M. A arqueologia do saber. Tradução de Luiz Felipe Baeta Neves. 6. ed. Rio de Janeiro: Forense-Universirtária, 2000.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GOLDSTEIN, Norma; LOUZADA, Maria Silvia Olivi; IVAMOTO, Regina. </w:t>
      </w:r>
      <w:r>
        <w:rPr>
          <w:rFonts w:ascii="11,5" w:hAnsi="11,5" w:cs="11,5" w:eastAsia="11,5"/>
          <w:b/>
          <w:color w:val="auto"/>
          <w:spacing w:val="0"/>
          <w:position w:val="0"/>
          <w:sz w:val="22"/>
          <w:shd w:fill="auto" w:val="clear"/>
        </w:rPr>
        <w:t xml:space="preserve">O texto sem mistério: leitura e escrita na universidade</w:t>
      </w:r>
      <w:r>
        <w:rPr>
          <w:rFonts w:ascii="11,5" w:hAnsi="11,5" w:cs="11,5" w:eastAsia="11,5"/>
          <w:color w:val="auto"/>
          <w:spacing w:val="0"/>
          <w:position w:val="0"/>
          <w:sz w:val="22"/>
          <w:shd w:fill="auto" w:val="clear"/>
        </w:rPr>
        <w:t xml:space="preserve">. São Paulo: Ática, 2009.</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GREGOLIN, Maria do Rosário.</w:t>
      </w:r>
      <w:r>
        <w:rPr>
          <w:rFonts w:ascii="11,5" w:hAnsi="11,5" w:cs="11,5" w:eastAsia="11,5"/>
          <w:b/>
          <w:color w:val="auto"/>
          <w:spacing w:val="0"/>
          <w:position w:val="0"/>
          <w:sz w:val="22"/>
          <w:shd w:fill="auto" w:val="clear"/>
        </w:rPr>
        <w:t xml:space="preserve"> Estudos do texto e do discurso: mapeando conceitos e métodos.</w:t>
      </w:r>
      <w:r>
        <w:rPr>
          <w:rFonts w:ascii="11,5" w:hAnsi="11,5" w:cs="11,5" w:eastAsia="11,5"/>
          <w:color w:val="auto"/>
          <w:spacing w:val="0"/>
          <w:position w:val="0"/>
          <w:sz w:val="22"/>
          <w:shd w:fill="auto" w:val="clear"/>
        </w:rPr>
        <w:t xml:space="preserve"> Pedro Navarro (org). São Carlos: ClaraLuz, 2006.</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______. </w:t>
      </w:r>
      <w:r>
        <w:rPr>
          <w:rFonts w:ascii="11,5" w:hAnsi="11,5" w:cs="11,5" w:eastAsia="11,5"/>
          <w:b/>
          <w:color w:val="auto"/>
          <w:spacing w:val="0"/>
          <w:position w:val="0"/>
          <w:sz w:val="22"/>
          <w:shd w:fill="auto" w:val="clear"/>
        </w:rPr>
        <w:t xml:space="preserve">Foucault e Pêcheux na construção da análise do discurso: diálogos e duelos</w:t>
      </w:r>
      <w:r>
        <w:rPr>
          <w:rFonts w:ascii="11,5" w:hAnsi="11,5" w:cs="11,5" w:eastAsia="11,5"/>
          <w:color w:val="auto"/>
          <w:spacing w:val="0"/>
          <w:position w:val="0"/>
          <w:sz w:val="22"/>
          <w:shd w:fill="auto" w:val="clear"/>
        </w:rPr>
        <w:t xml:space="preserve">. São Carlos: ClaraLuz, 2004.</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HABERMAS, Jürgen. </w:t>
      </w:r>
      <w:r>
        <w:rPr>
          <w:rFonts w:ascii="11,5" w:hAnsi="11,5" w:cs="11,5" w:eastAsia="11,5"/>
          <w:b/>
          <w:color w:val="auto"/>
          <w:spacing w:val="0"/>
          <w:position w:val="0"/>
          <w:sz w:val="22"/>
          <w:shd w:fill="auto" w:val="clear"/>
        </w:rPr>
        <w:t xml:space="preserve">Dialética e Hermenêutica</w:t>
      </w:r>
      <w:r>
        <w:rPr>
          <w:rFonts w:ascii="11,5" w:hAnsi="11,5" w:cs="11,5" w:eastAsia="11,5"/>
          <w:color w:val="auto"/>
          <w:spacing w:val="0"/>
          <w:position w:val="0"/>
          <w:sz w:val="22"/>
          <w:shd w:fill="auto" w:val="clear"/>
        </w:rPr>
        <w:t xml:space="preserve">. LPM editores, 1987</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HOUAISS, A. </w:t>
      </w:r>
      <w:r>
        <w:rPr>
          <w:rFonts w:ascii="11,5" w:hAnsi="11,5" w:cs="11,5" w:eastAsia="11,5"/>
          <w:b/>
          <w:color w:val="auto"/>
          <w:spacing w:val="0"/>
          <w:position w:val="0"/>
          <w:sz w:val="22"/>
          <w:shd w:fill="auto" w:val="clear"/>
        </w:rPr>
        <w:t xml:space="preserve">Dicionário eletrônico Houaiss da Língua Portuguesa</w:t>
      </w:r>
      <w:r>
        <w:rPr>
          <w:rFonts w:ascii="11,5" w:hAnsi="11,5" w:cs="11,5" w:eastAsia="11,5"/>
          <w:color w:val="auto"/>
          <w:spacing w:val="0"/>
          <w:position w:val="0"/>
          <w:sz w:val="22"/>
          <w:shd w:fill="auto" w:val="clear"/>
        </w:rPr>
        <w:t xml:space="preserve">. Rio de Janeiro: Objetiva, 2003.</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INDURSKY, Freda. A fragmentação do sujeito em análise do discurso. In INDURSKY, F. e CAMPUS, M. do C. (orgs.) </w:t>
      </w:r>
      <w:r>
        <w:rPr>
          <w:rFonts w:ascii="11,5" w:hAnsi="11,5" w:cs="11,5" w:eastAsia="11,5"/>
          <w:b/>
          <w:color w:val="auto"/>
          <w:spacing w:val="0"/>
          <w:position w:val="0"/>
          <w:sz w:val="22"/>
          <w:shd w:fill="auto" w:val="clear"/>
        </w:rPr>
        <w:t xml:space="preserve">Discurso, memória e identidade. </w:t>
      </w:r>
      <w:r>
        <w:rPr>
          <w:rFonts w:ascii="11,5" w:hAnsi="11,5" w:cs="11,5" w:eastAsia="11,5"/>
          <w:color w:val="auto"/>
          <w:spacing w:val="0"/>
          <w:position w:val="0"/>
          <w:sz w:val="22"/>
          <w:shd w:fill="auto" w:val="clear"/>
        </w:rPr>
        <w:t xml:space="preserve">Porto Alegre: Sagra Luzzato, 2000.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JUTEAU, Daniele. Gênero e sexo. In. </w:t>
      </w:r>
      <w:r>
        <w:rPr>
          <w:rFonts w:ascii="11,5" w:hAnsi="11,5" w:cs="11,5" w:eastAsia="11,5"/>
          <w:b/>
          <w:color w:val="auto"/>
          <w:spacing w:val="0"/>
          <w:position w:val="0"/>
          <w:sz w:val="22"/>
          <w:shd w:fill="auto" w:val="clear"/>
        </w:rPr>
        <w:t xml:space="preserve">Dicionário crítico do feminismo</w:t>
      </w:r>
      <w:r>
        <w:rPr>
          <w:rFonts w:ascii="11,5" w:hAnsi="11,5" w:cs="11,5" w:eastAsia="11,5"/>
          <w:color w:val="auto"/>
          <w:spacing w:val="0"/>
          <w:position w:val="0"/>
          <w:sz w:val="22"/>
          <w:shd w:fill="auto" w:val="clear"/>
        </w:rPr>
        <w:t xml:space="preserve">. HELENA Hirata...[et. Al] (orgs.). São Paulo: Editora UNESP, 2009.</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KEHL, Maria Rita. </w:t>
      </w:r>
      <w:r>
        <w:rPr>
          <w:rFonts w:ascii="11,5" w:hAnsi="11,5" w:cs="11,5" w:eastAsia="11,5"/>
          <w:b/>
          <w:color w:val="auto"/>
          <w:spacing w:val="0"/>
          <w:position w:val="0"/>
          <w:sz w:val="22"/>
          <w:shd w:fill="auto" w:val="clear"/>
        </w:rPr>
        <w:t xml:space="preserve">Deslocamentos do feminino: a mulher freudiana na passagem para a modernidade</w:t>
      </w:r>
      <w:r>
        <w:rPr>
          <w:rFonts w:ascii="11,5" w:hAnsi="11,5" w:cs="11,5" w:eastAsia="11,5"/>
          <w:color w:val="auto"/>
          <w:spacing w:val="0"/>
          <w:position w:val="0"/>
          <w:sz w:val="22"/>
          <w:shd w:fill="auto" w:val="clear"/>
        </w:rPr>
        <w:t xml:space="preserve">. Rio de Janeiro: Imago, 1998.</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LEMOS, Ada Pellegrini. </w:t>
      </w:r>
      <w:r>
        <w:rPr>
          <w:rFonts w:ascii="11,5" w:hAnsi="11,5" w:cs="11,5" w:eastAsia="11,5"/>
          <w:b/>
          <w:color w:val="auto"/>
          <w:spacing w:val="0"/>
          <w:position w:val="0"/>
          <w:sz w:val="22"/>
          <w:shd w:fill="auto" w:val="clear"/>
        </w:rPr>
        <w:t xml:space="preserve">Sempre a mesma família....Nunca a mesma família</w:t>
      </w:r>
      <w:r>
        <w:rPr>
          <w:rFonts w:ascii="11,5" w:hAnsi="11,5" w:cs="11,5" w:eastAsia="11,5"/>
          <w:color w:val="auto"/>
          <w:spacing w:val="0"/>
          <w:position w:val="0"/>
          <w:sz w:val="22"/>
          <w:shd w:fill="auto" w:val="clear"/>
        </w:rPr>
        <w:t xml:space="preserve">. in: A família, Pai, Mãe e filhos ainda existe? O resultado de uma pesquisa. Núcleo de Pesquisa e Estudos de Família – NUFEP – PUC.SP. Julho 1996.</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LENZA, Pedro. </w:t>
      </w:r>
      <w:r>
        <w:rPr>
          <w:rFonts w:ascii="11,5" w:hAnsi="11,5" w:cs="11,5" w:eastAsia="11,5"/>
          <w:b/>
          <w:color w:val="auto"/>
          <w:spacing w:val="0"/>
          <w:position w:val="0"/>
          <w:sz w:val="22"/>
          <w:shd w:fill="auto" w:val="clear"/>
        </w:rPr>
        <w:t xml:space="preserve">Direito constitucional esquematizado</w:t>
      </w:r>
      <w:r>
        <w:rPr>
          <w:rFonts w:ascii="11,5" w:hAnsi="11,5" w:cs="11,5" w:eastAsia="11,5"/>
          <w:color w:val="auto"/>
          <w:spacing w:val="0"/>
          <w:position w:val="0"/>
          <w:sz w:val="22"/>
          <w:shd w:fill="auto" w:val="clear"/>
        </w:rPr>
        <w:t xml:space="preserve">. 9. ed. rev., atual. e ampl. São Paulo : Editora Método, 2005.</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MALDIDIER, Denise. </w:t>
      </w:r>
      <w:r>
        <w:rPr>
          <w:rFonts w:ascii="11,5" w:hAnsi="11,5" w:cs="11,5" w:eastAsia="11,5"/>
          <w:b/>
          <w:color w:val="auto"/>
          <w:spacing w:val="0"/>
          <w:position w:val="0"/>
          <w:sz w:val="22"/>
          <w:shd w:fill="auto" w:val="clear"/>
        </w:rPr>
        <w:t xml:space="preserve">A inquietação do discurso. (Re) ler Michel Pêcheux Hoje</w:t>
      </w:r>
      <w:r>
        <w:rPr>
          <w:rFonts w:ascii="11,5" w:hAnsi="11,5" w:cs="11,5" w:eastAsia="11,5"/>
          <w:color w:val="auto"/>
          <w:spacing w:val="0"/>
          <w:position w:val="0"/>
          <w:sz w:val="22"/>
          <w:shd w:fill="auto" w:val="clear"/>
        </w:rPr>
        <w:t xml:space="preserve">. Tradução Eni. P. Orlandi. Campinas: Pontes, 2003.</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MAZIÈRE, Francine. </w:t>
      </w:r>
      <w:r>
        <w:rPr>
          <w:rFonts w:ascii="11,5" w:hAnsi="11,5" w:cs="11,5" w:eastAsia="11,5"/>
          <w:b/>
          <w:color w:val="auto"/>
          <w:spacing w:val="0"/>
          <w:position w:val="0"/>
          <w:sz w:val="22"/>
          <w:shd w:fill="auto" w:val="clear"/>
        </w:rPr>
        <w:t xml:space="preserve">A análise do discurso: história e práticas</w:t>
      </w:r>
      <w:r>
        <w:rPr>
          <w:rFonts w:ascii="11,5" w:hAnsi="11,5" w:cs="11,5" w:eastAsia="11,5"/>
          <w:color w:val="auto"/>
          <w:spacing w:val="0"/>
          <w:position w:val="0"/>
          <w:sz w:val="22"/>
          <w:shd w:fill="auto" w:val="clear"/>
        </w:rPr>
        <w:t xml:space="preserve">. Tradução de Marcos Marcionilo. São Paulo: Parábola Editorial, 2007.</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MELO, Eduardo Rezende. </w:t>
      </w:r>
      <w:r>
        <w:rPr>
          <w:rFonts w:ascii="11,5" w:hAnsi="11,5" w:cs="11,5" w:eastAsia="11,5"/>
          <w:b/>
          <w:color w:val="auto"/>
          <w:spacing w:val="0"/>
          <w:position w:val="0"/>
          <w:sz w:val="22"/>
          <w:shd w:fill="auto" w:val="clear"/>
        </w:rPr>
        <w:t xml:space="preserve">Novos arranjos familares à luz da constituição de 1988</w:t>
      </w:r>
      <w:r>
        <w:rPr>
          <w:rFonts w:ascii="11,5" w:hAnsi="11,5" w:cs="11,5" w:eastAsia="11,5"/>
          <w:color w:val="auto"/>
          <w:spacing w:val="0"/>
          <w:position w:val="0"/>
          <w:sz w:val="22"/>
          <w:shd w:fill="auto" w:val="clear"/>
        </w:rPr>
        <w:t xml:space="preserve">. Disponível em http://www.foncaij.org./dwnld/ac_apoio/artigos_doutrinarios </w:t>
      </w:r>
      <w:hyperlink xmlns:r="http://schemas.openxmlformats.org/officeDocument/2006/relationships" r:id="docRId179">
        <w:r>
          <w:rPr>
            <w:rFonts w:ascii="11,5" w:hAnsi="11,5" w:cs="11,5" w:eastAsia="11,5"/>
            <w:color w:val="0000FF"/>
            <w:spacing w:val="0"/>
            <w:position w:val="0"/>
            <w:sz w:val="22"/>
            <w:u w:val="single"/>
            <w:shd w:fill="auto" w:val="clear"/>
          </w:rPr>
          <w:t xml:space="preserve">/outros /novos_arranjos_familiares.pdf</w:t>
        </w:r>
      </w:hyperlink>
      <w:r>
        <w:rPr>
          <w:rFonts w:ascii="11,5" w:hAnsi="11,5" w:cs="11,5" w:eastAsia="11,5"/>
          <w:color w:val="auto"/>
          <w:spacing w:val="0"/>
          <w:position w:val="0"/>
          <w:sz w:val="22"/>
          <w:shd w:fill="auto" w:val="clear"/>
        </w:rPr>
        <w:t xml:space="preserve">. Acesso em 12 maio 2010.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MOLINER, Pascale, LANG, Daniel Welzer. Feminilidade, masculinidade, virilidade. in</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b/>
          <w:color w:val="auto"/>
          <w:spacing w:val="0"/>
          <w:position w:val="0"/>
          <w:sz w:val="22"/>
          <w:shd w:fill="auto" w:val="clear"/>
        </w:rPr>
        <w:t xml:space="preserve">Dicionário crítico do feminismo.</w:t>
      </w:r>
      <w:r>
        <w:rPr>
          <w:rFonts w:ascii="11,5" w:hAnsi="11,5" w:cs="11,5" w:eastAsia="11,5"/>
          <w:color w:val="auto"/>
          <w:spacing w:val="0"/>
          <w:position w:val="0"/>
          <w:sz w:val="22"/>
          <w:shd w:fill="auto" w:val="clear"/>
        </w:rPr>
        <w:t xml:space="preserve"> HELENA Hirata...[et. Al] (orgs.). São Paulo: Editora UNESP, 2009.</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MONTEIRO, Washington de Barros. </w:t>
      </w:r>
      <w:r>
        <w:rPr>
          <w:rFonts w:ascii="11,5" w:hAnsi="11,5" w:cs="11,5" w:eastAsia="11,5"/>
          <w:b/>
          <w:color w:val="auto"/>
          <w:spacing w:val="0"/>
          <w:position w:val="0"/>
          <w:sz w:val="22"/>
          <w:shd w:fill="auto" w:val="clear"/>
        </w:rPr>
        <w:t xml:space="preserve">Curso de direito civil</w:t>
      </w:r>
      <w:r>
        <w:rPr>
          <w:rFonts w:ascii="11,5" w:hAnsi="11,5" w:cs="11,5" w:eastAsia="11,5"/>
          <w:color w:val="auto"/>
          <w:spacing w:val="0"/>
          <w:position w:val="0"/>
          <w:sz w:val="22"/>
          <w:shd w:fill="auto" w:val="clear"/>
        </w:rPr>
        <w:t xml:space="preserve">. 18. ed. vol.2. São Paulo : Saraiva, 1979.</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MORAES, Alexandre de. Direito constitucional. 5. ed. rev. e ampl.São Paulo : Atlas, 1999.</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ORLANDI, Eni Puccinelli. </w:t>
      </w:r>
      <w:r>
        <w:rPr>
          <w:rFonts w:ascii="11,5" w:hAnsi="11,5" w:cs="11,5" w:eastAsia="11,5"/>
          <w:b/>
          <w:color w:val="auto"/>
          <w:spacing w:val="0"/>
          <w:position w:val="0"/>
          <w:sz w:val="22"/>
          <w:shd w:fill="auto" w:val="clear"/>
        </w:rPr>
        <w:t xml:space="preserve">Análise de discurso. Princípios e procedimentos</w:t>
      </w:r>
      <w:r>
        <w:rPr>
          <w:rFonts w:ascii="11,5" w:hAnsi="11,5" w:cs="11,5" w:eastAsia="11,5"/>
          <w:color w:val="auto"/>
          <w:spacing w:val="0"/>
          <w:position w:val="0"/>
          <w:sz w:val="22"/>
          <w:shd w:fill="auto" w:val="clear"/>
        </w:rPr>
        <w:t xml:space="preserve">.7.ed. Campinas: Pontes. 2007.</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______. </w:t>
      </w:r>
      <w:r>
        <w:rPr>
          <w:rFonts w:ascii="11,5" w:hAnsi="11,5" w:cs="11,5" w:eastAsia="11,5"/>
          <w:b/>
          <w:color w:val="auto"/>
          <w:spacing w:val="0"/>
          <w:position w:val="0"/>
          <w:sz w:val="22"/>
          <w:shd w:fill="auto" w:val="clear"/>
        </w:rPr>
        <w:t xml:space="preserve">Interpretação; autoria, leitura e efeitos do trabalho simbólico</w:t>
      </w:r>
      <w:r>
        <w:rPr>
          <w:rFonts w:ascii="11,5" w:hAnsi="11,5" w:cs="11,5" w:eastAsia="11,5"/>
          <w:color w:val="auto"/>
          <w:spacing w:val="0"/>
          <w:position w:val="0"/>
          <w:sz w:val="22"/>
          <w:shd w:fill="auto" w:val="clear"/>
        </w:rPr>
        <w:t xml:space="preserve">. Petrópolis, Rio de Janeiro: Vozes, 1996.</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______. </w:t>
      </w:r>
      <w:r>
        <w:rPr>
          <w:rFonts w:ascii="11,5" w:hAnsi="11,5" w:cs="11,5" w:eastAsia="11,5"/>
          <w:b/>
          <w:color w:val="auto"/>
          <w:spacing w:val="0"/>
          <w:position w:val="0"/>
          <w:sz w:val="22"/>
          <w:shd w:fill="auto" w:val="clear"/>
        </w:rPr>
        <w:t xml:space="preserve">As formas do silêncio: no movimento dos sentidos</w:t>
      </w:r>
      <w:r>
        <w:rPr>
          <w:rFonts w:ascii="11,5" w:hAnsi="11,5" w:cs="11,5" w:eastAsia="11,5"/>
          <w:color w:val="auto"/>
          <w:spacing w:val="0"/>
          <w:position w:val="0"/>
          <w:sz w:val="22"/>
          <w:shd w:fill="auto" w:val="clear"/>
        </w:rPr>
        <w:t xml:space="preserve">. 4.ed. Campinas : Editora da UNICAMP, 1997.</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PECHEUX, Michel. </w:t>
      </w:r>
      <w:r>
        <w:rPr>
          <w:rFonts w:ascii="11,5" w:hAnsi="11,5" w:cs="11,5" w:eastAsia="11,5"/>
          <w:b/>
          <w:color w:val="auto"/>
          <w:spacing w:val="0"/>
          <w:position w:val="0"/>
          <w:sz w:val="22"/>
          <w:shd w:fill="auto" w:val="clear"/>
        </w:rPr>
        <w:t xml:space="preserve">Semântica e discurso: uma critica á afirmação do obvio</w:t>
      </w:r>
      <w:r>
        <w:rPr>
          <w:rFonts w:ascii="11,5" w:hAnsi="11,5" w:cs="11,5" w:eastAsia="11,5"/>
          <w:color w:val="auto"/>
          <w:spacing w:val="0"/>
          <w:position w:val="0"/>
          <w:sz w:val="22"/>
          <w:shd w:fill="auto" w:val="clear"/>
        </w:rPr>
        <w:t xml:space="preserve">. Tradução de Eni Pulcinelli Orlandi...et al....Campinas: Editora da UNICAMP, 1988.</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______. A Análise de Discurso: três épocas (1983). In: GADET, F.; HACK, T. (org). </w:t>
      </w:r>
      <w:r>
        <w:rPr>
          <w:rFonts w:ascii="11,5" w:hAnsi="11,5" w:cs="11,5" w:eastAsia="11,5"/>
          <w:b/>
          <w:color w:val="auto"/>
          <w:spacing w:val="0"/>
          <w:position w:val="0"/>
          <w:sz w:val="22"/>
          <w:shd w:fill="auto" w:val="clear"/>
        </w:rPr>
        <w:t xml:space="preserve">Por uma análise automática do discurso. Uma introdução à obra de Michel Pêcheux</w:t>
      </w:r>
      <w:r>
        <w:rPr>
          <w:rFonts w:ascii="11,5" w:hAnsi="11,5" w:cs="11,5" w:eastAsia="11,5"/>
          <w:color w:val="auto"/>
          <w:spacing w:val="0"/>
          <w:position w:val="0"/>
          <w:sz w:val="22"/>
          <w:shd w:fill="auto" w:val="clear"/>
        </w:rPr>
        <w:t xml:space="preserve">. Campinas: Editora da UNICAMP, 1997.</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______. </w:t>
      </w:r>
      <w:r>
        <w:rPr>
          <w:rFonts w:ascii="11,5" w:hAnsi="11,5" w:cs="11,5" w:eastAsia="11,5"/>
          <w:b/>
          <w:color w:val="auto"/>
          <w:spacing w:val="0"/>
          <w:position w:val="0"/>
          <w:sz w:val="22"/>
          <w:shd w:fill="auto" w:val="clear"/>
        </w:rPr>
        <w:t xml:space="preserve">Discurso. Estrutura ou acontecimento</w:t>
      </w:r>
      <w:r>
        <w:rPr>
          <w:rFonts w:ascii="11,5" w:hAnsi="11,5" w:cs="11,5" w:eastAsia="11,5"/>
          <w:color w:val="auto"/>
          <w:spacing w:val="0"/>
          <w:position w:val="0"/>
          <w:sz w:val="22"/>
          <w:shd w:fill="auto" w:val="clear"/>
        </w:rPr>
        <w:t xml:space="preserve">. Tradução de  Eni Pulcinelli Orlandi. Campinas : Pontes, 1990.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PEDRO, Joana Maria. </w:t>
      </w:r>
      <w:r>
        <w:rPr>
          <w:rFonts w:ascii="11,5" w:hAnsi="11,5" w:cs="11,5" w:eastAsia="11,5"/>
          <w:b/>
          <w:color w:val="auto"/>
          <w:spacing w:val="0"/>
          <w:position w:val="0"/>
          <w:sz w:val="22"/>
          <w:shd w:fill="auto" w:val="clear"/>
        </w:rPr>
        <w:t xml:space="preserve">Traduzindo o debate: o uso da categoria gênero na pesquisa histórica</w:t>
      </w:r>
      <w:r>
        <w:rPr>
          <w:rFonts w:ascii="11,5" w:hAnsi="11,5" w:cs="11,5" w:eastAsia="11,5"/>
          <w:color w:val="auto"/>
          <w:spacing w:val="0"/>
          <w:position w:val="0"/>
          <w:sz w:val="22"/>
          <w:shd w:fill="auto" w:val="clear"/>
        </w:rPr>
        <w:t xml:space="preserve">. São Paulo, v.24, n.1, p.77-98, 2005. Disponível em </w:t>
      </w:r>
      <w:hyperlink xmlns:r="http://schemas.openxmlformats.org/officeDocument/2006/relationships" r:id="docRId180">
        <w:r>
          <w:rPr>
            <w:rFonts w:ascii="11,5" w:hAnsi="11,5" w:cs="11,5" w:eastAsia="11,5"/>
            <w:color w:val="0000FF"/>
            <w:spacing w:val="0"/>
            <w:position w:val="0"/>
            <w:sz w:val="22"/>
            <w:u w:val="single"/>
            <w:shd w:fill="auto" w:val="clear"/>
          </w:rPr>
          <w:t xml:space="preserve">http://www.scielo.br/pdf/his/v24n1/a04v24n1.pdf</w:t>
        </w:r>
      </w:hyperlink>
      <w:r>
        <w:rPr>
          <w:rFonts w:ascii="11,5" w:hAnsi="11,5" w:cs="11,5" w:eastAsia="11,5"/>
          <w:color w:val="auto"/>
          <w:spacing w:val="0"/>
          <w:position w:val="0"/>
          <w:sz w:val="22"/>
          <w:shd w:fill="auto" w:val="clear"/>
        </w:rPr>
        <w:t xml:space="preserve">. Acesso em 04 junh 2010.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PEREIRA, Virgílio de Sá. </w:t>
      </w:r>
      <w:r>
        <w:rPr>
          <w:rFonts w:ascii="11,5" w:hAnsi="11,5" w:cs="11,5" w:eastAsia="11,5"/>
          <w:b/>
          <w:color w:val="auto"/>
          <w:spacing w:val="0"/>
          <w:position w:val="0"/>
          <w:sz w:val="22"/>
          <w:shd w:fill="auto" w:val="clear"/>
        </w:rPr>
        <w:t xml:space="preserve">Direito de Família.</w:t>
      </w:r>
      <w:r>
        <w:rPr>
          <w:rFonts w:ascii="11,5" w:hAnsi="11,5" w:cs="11,5" w:eastAsia="11,5"/>
          <w:color w:val="auto"/>
          <w:spacing w:val="0"/>
          <w:position w:val="0"/>
          <w:sz w:val="22"/>
          <w:shd w:fill="auto" w:val="clear"/>
        </w:rPr>
        <w:t xml:space="preserve"> 2. ed. Rio de Janeiro: Freitas Bastos, 1959.</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RODRIGUES, Silvio. </w:t>
      </w:r>
      <w:r>
        <w:rPr>
          <w:rFonts w:ascii="11,5" w:hAnsi="11,5" w:cs="11,5" w:eastAsia="11,5"/>
          <w:b/>
          <w:color w:val="auto"/>
          <w:spacing w:val="0"/>
          <w:position w:val="0"/>
          <w:sz w:val="22"/>
          <w:shd w:fill="auto" w:val="clear"/>
        </w:rPr>
        <w:t xml:space="preserve">Direito Civil</w:t>
      </w:r>
      <w:r>
        <w:rPr>
          <w:rFonts w:ascii="11,5" w:hAnsi="11,5" w:cs="11,5" w:eastAsia="11,5"/>
          <w:color w:val="auto"/>
          <w:spacing w:val="0"/>
          <w:position w:val="0"/>
          <w:sz w:val="22"/>
          <w:shd w:fill="auto" w:val="clear"/>
        </w:rPr>
        <w:t xml:space="preserve">; direito de família. v.6. São Paulo: Saraiva, 1980.</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TEMER, Michel. </w:t>
      </w:r>
      <w:r>
        <w:rPr>
          <w:rFonts w:ascii="11,5" w:hAnsi="11,5" w:cs="11,5" w:eastAsia="11,5"/>
          <w:b/>
          <w:color w:val="auto"/>
          <w:spacing w:val="0"/>
          <w:position w:val="0"/>
          <w:sz w:val="22"/>
          <w:shd w:fill="auto" w:val="clear"/>
        </w:rPr>
        <w:t xml:space="preserve">Elementos de Direito Constitucional</w:t>
      </w:r>
      <w:r>
        <w:rPr>
          <w:rFonts w:ascii="11,5" w:hAnsi="11,5" w:cs="11,5" w:eastAsia="11,5"/>
          <w:color w:val="auto"/>
          <w:spacing w:val="0"/>
          <w:position w:val="0"/>
          <w:sz w:val="22"/>
          <w:shd w:fill="auto" w:val="clear"/>
        </w:rPr>
        <w:t xml:space="preserve">.14. ed. São Paulo: Malheiros, 1998.</w:t>
      </w:r>
    </w:p>
    <w:p>
      <w:pPr>
        <w:spacing w:before="0" w:after="0" w:line="360"/>
        <w:ind w:right="0" w:left="0" w:firstLine="0"/>
        <w:jc w:val="both"/>
        <w:rPr>
          <w:rFonts w:ascii="11,5" w:hAnsi="11,5" w:cs="11,5" w:eastAsia="11,5"/>
          <w:color w:val="auto"/>
          <w:spacing w:val="0"/>
          <w:position w:val="0"/>
          <w:sz w:val="22"/>
          <w:shd w:fill="auto" w:val="clear"/>
        </w:rPr>
      </w:pPr>
      <w:r>
        <w:rPr>
          <w:rFonts w:ascii="11,5" w:hAnsi="11,5" w:cs="11,5" w:eastAsia="11,5"/>
          <w:color w:val="auto"/>
          <w:spacing w:val="0"/>
          <w:position w:val="0"/>
          <w:sz w:val="22"/>
          <w:shd w:fill="auto" w:val="clear"/>
        </w:rPr>
        <w:t xml:space="preserve">VITALE, Maria Amália Faller. Socialização e família: uma análise intergeracional. In: </w:t>
      </w:r>
      <w:r>
        <w:rPr>
          <w:rFonts w:ascii="11,5" w:hAnsi="11,5" w:cs="11,5" w:eastAsia="11,5"/>
          <w:b/>
          <w:color w:val="auto"/>
          <w:spacing w:val="0"/>
          <w:position w:val="0"/>
          <w:sz w:val="22"/>
          <w:shd w:fill="auto" w:val="clear"/>
        </w:rPr>
        <w:t xml:space="preserve">Família Contemporânea em Debate</w:t>
      </w:r>
      <w:r>
        <w:rPr>
          <w:rFonts w:ascii="11,5" w:hAnsi="11,5" w:cs="11,5" w:eastAsia="11,5"/>
          <w:color w:val="auto"/>
          <w:spacing w:val="0"/>
          <w:position w:val="0"/>
          <w:sz w:val="22"/>
          <w:shd w:fill="auto" w:val="clear"/>
        </w:rPr>
        <w:t xml:space="preserve">. São Paulo: EDUC/ Cortez, 2003.</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uppressAutoHyphens w:val="true"/>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INTRODUÇÃO </w:t>
      </w:r>
    </w:p>
    <w:p>
      <w:pPr>
        <w:suppressAutoHyphens w:val="true"/>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Condições de trabalho são diferentes para homens e mulheres, marcando assim uma desigualdade de gênero também neste campo. As mulheres têm conquistado espaço profissional, contudo, ainda existem pontos de resistência que impedem que seja de forma mais igualitária. A discussão por igualdade de condições de trabalho não quer dizer que se almeja espaços dos homens. Mas reafirma-se que mulheres têm que ser consideradas como sujeitos de direitos. Porém, a questão não está apenas no âmbito do discurso político da cidadania, essas diferenças são marcadas sócio-historicamente privilegiando o poder ao masculino e designando fragilidade ao feminino.</w:t>
      </w:r>
    </w:p>
    <w:p>
      <w:pPr>
        <w:suppressAutoHyphens w:val="true"/>
        <w:spacing w:before="0" w:after="0" w:line="360"/>
        <w:ind w:right="0" w:left="0" w:firstLine="708"/>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Desde muito cedo somos inseridos num “mar de diferenças”, no qual são demarcados os espaços que ocuparemos. Essas concepções tem sido reproduzidas de geração em geração, formando um ciclo que impõe sutilmente espaços restritos de estar e agir no mundo. Refletindo sobre essas questões, surge o interesse pela escolha das mulheres como sujeitos de pesquisa. Abordamos mulheres que passaram por comunidades terapêuticas para o tratamento de dependência química. O interesse específico por essas mulheres deu-se a partir de um estágio supervisionado em um centro de triagem de uma comunidade terapêutica de cunho religioso, que conta com o trabalho de acolhimento e escuta da psicologia para a seleção dos candidatos à internação. Considerando o lugar central que a categoria trabalho ocupa no nosso modo de organização social, colocamo-nos a pensar sobre mulheres que saiam do período de tratamento, e na busca pela inserção no mercado de trabalho após o tempo de internação, e como elas, de certa forma, poderiam encontrar entraves ao buscar um emprego, não apenas porque são mulheres, mas também porque foram dependentes químicas. De certa forma, supúnhamos que nesse momento pós-internação elas poderiam atribuir novos sentidos ao trabalho. Diante dessas inquietações acerca de gênero, trabalho, dependência química, apresentamos a seguinte questão: </w:t>
      </w:r>
      <w:r>
        <w:rPr>
          <w:rFonts w:ascii="Times New Roman" w:hAnsi="Times New Roman" w:cs="Times New Roman" w:eastAsia="Times New Roman"/>
          <w:i/>
          <w:color w:val="auto"/>
          <w:spacing w:val="0"/>
          <w:position w:val="0"/>
          <w:sz w:val="24"/>
          <w:shd w:fill="auto" w:val="clear"/>
        </w:rPr>
        <w:t xml:space="preserve">“A categoria trabalho é uma via de reinserção social para mulheres que finalizaram tratamento da dependência química em comunidades terapêuticas?” </w:t>
      </w:r>
    </w:p>
    <w:p>
      <w:pPr>
        <w:tabs>
          <w:tab w:val="left" w:pos="720"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Na contemporaneidade um dos temas discutidos em diversos âmbitos da sociedade é o uso e dependência de álcool e outras drogas. Segundo Velho (1997), o uso de drogas tem aspectos histórico-culturais, isto é, </w:t>
      </w:r>
    </w:p>
    <w:p>
      <w:pPr>
        <w:tabs>
          <w:tab w:val="left" w:pos="720"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2268" w:firstLine="709"/>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relação das sociedades humanas com as drogas expressa simultaneamente uma relação com a natureza e um processo de construção social. [...] A utilização de substâncias dos mais variados tipos que provoquem mudanças no tipo de consciência e </w:t>
      </w:r>
      <w:r>
        <w:rPr>
          <w:rFonts w:ascii="Times New Roman" w:hAnsi="Times New Roman" w:cs="Times New Roman" w:eastAsia="Times New Roman"/>
          <w:i/>
          <w:color w:val="auto"/>
          <w:spacing w:val="0"/>
          <w:position w:val="0"/>
          <w:sz w:val="20"/>
          <w:shd w:fill="auto" w:val="clear"/>
        </w:rPr>
        <w:t xml:space="preserve">attention à la vie </w:t>
      </w:r>
      <w:r>
        <w:rPr>
          <w:rFonts w:ascii="Times New Roman" w:hAnsi="Times New Roman" w:cs="Times New Roman" w:eastAsia="Times New Roman"/>
          <w:color w:val="auto"/>
          <w:spacing w:val="0"/>
          <w:position w:val="0"/>
          <w:sz w:val="20"/>
          <w:shd w:fill="auto" w:val="clear"/>
        </w:rPr>
        <w:t xml:space="preserve">é uma experiência universalmente disseminada. (VELHO, 1997, p.10).</w:t>
      </w: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expoente que também marca a existência humana é a passagem do ser humano da natureza à cultura, por meio do trabalho como atividade criadora, de modificação da natureza para a sobrevivência da espécie. (CODO, 1988). Entretanto, a história do trabalho e do trabalhador foi transformada social e economicamente, e o que se encontra atualmente no cenário brasileiro, como um dos problemas sociais, é o desemprego. Temos assim o uso e dependência de álcool e outras drogas e o desemprego como importantes problemas sociais contemporâneos, embora existam diversos propostas de tratamento.</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Diante dessas problemáticas, surge o interesse pela pesquisa sobre o trabalho como via de reinserção social para mulheres que passaram pelo tratamento de dependência química, uma vez que, segundo o Observatório Brasileiro de Informações Sobre Drogas da Secretaria Nacional Antidrogas (2006), a relação do dependente de substâncias psicoativas com o trabalho é rompida antes mesmo da internação em comunidades terapêuticas. O Centro Brasileiro de Informações Sobre Drogas (CEBRID) é um núcleo de pesquisas que traz atualizações acerca do consumo de álcool e outras drogas nos estados brasileiros. Em 2001 realizou o primeiro “Levantamento Domiciliar sobre Uso de Drogas Psicotrópicas” e em 2005, o II Levantamento, demarcando um avanço nos estudos relacionados à toxicomania, já que estes levantamentos, por terem sido feitos nos domicílios dos sujeitos pesquisados, abarcaram diversos tipos de pessoas e não apenas dependentes químicos, retirando a restrição das amostras anteriores, cujas pesquisas eram realizadas em instituições (escolas, clínicas, prisões, etc.), o que definia </w:t>
      </w:r>
      <w:r>
        <w:rPr>
          <w:rFonts w:ascii="Times New Roman" w:hAnsi="Times New Roman" w:cs="Times New Roman" w:eastAsia="Times New Roman"/>
          <w:i/>
          <w:color w:val="auto"/>
          <w:spacing w:val="0"/>
          <w:position w:val="0"/>
          <w:sz w:val="24"/>
          <w:shd w:fill="auto" w:val="clear"/>
        </w:rPr>
        <w:t xml:space="preserve">a priori</w:t>
      </w:r>
      <w:r>
        <w:rPr>
          <w:rFonts w:ascii="Times New Roman" w:hAnsi="Times New Roman" w:cs="Times New Roman" w:eastAsia="Times New Roman"/>
          <w:color w:val="auto"/>
          <w:spacing w:val="0"/>
          <w:position w:val="0"/>
          <w:sz w:val="24"/>
          <w:shd w:fill="auto" w:val="clear"/>
        </w:rPr>
        <w:t xml:space="preserve"> o público pesquisado.</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Com relação ao álcool, o último levantamento revelou que 9,1% dos homens e 1,7% das mulheres fazem uso regular de álcool no Brasil e que 19,5% dos homens e 6,9% das mulheres são dependentes de bebidas alcoólicas. A pesquisa também mostra que a região sudeste é o local em que mais se consome álcool no país, sendo que 80,4% da população desta região já fez o uso experimental de bebidas alcoólicas. Em relação às drogas ilícitas, a maconha apareceu como a mais utilizada, chegando ao percentual de 10,3% de uso pelo menos uma vez na vida. Quanto à dependência química por idade, na região sudeste, dos 18 aos 24 anos, 15,2% das mulheres entrevistadas declararam ser dependentes químicas, enquanto 28,3% dos homens também se declaram dependentes. Na faixa-etária de 25 a 34 anos, 9,4,% das mulheres são dependentes químicas, enquanto os homens dependentes atingem o percentual de 23,1%. (CEBRID, 2005). Esta pesquisa evidenciou que em comparação ao levantamento de 2001, houve um aumento do uso de drogas na região sudeste, o que justifica a preocupação em realizar estudos que possam contribuir para entendermos e criarmos estratégias para lidar com a problemática do uso e abuso de álcool e outras drogas no Brasil e, principalmente, na região sudeste.</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Ainda neste sentido, a Universidade Estadual de Maringá, no Paraná, que desenvolve o Projeto de Atenção ao Dependente Químico (PADEQ) afirma em 2009, que a maioria das pessoas que procura pelo atendimento e tratamento são jovens, com idade entre 18 e 25 anos, do sexo masculino. Amparados em informações da Organização Mundial de Saúde (OMS), afirmam que existe aproximadamente um milhão de pessoas dependentes de drogas lícitas e ilícitas no Brasil, e que foram atendidos pelo Sistema Único de Saúde, em 2001, uma média de 84.467 pacientes para tratamento relacionado ao uso de álcool. (MELLO, 2009). Esses dados são alarmantes se pensarmos que apenas parte dessas pessoas buscaram  algum tipo de tratamento. Por isso, pesquisas que privilegiam a problemática da dependência química são de suma importância para o desenvolvimento de referenciais teóricos, programas e posteriormente planos de ação para as organizações governamentais e não governamentais.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escolha do público feminino como sujeitos dessa pesquisa deve-se ao fato de que o consumo de drogas por mulheres tem aumentado consideravelmente. Segundo Zilberman (2006), com o advento da entrada da mulher no mercado de trabalho e da ocupação de cargos antes destinados somente aos homens, se percebe certo aumento da dependência de álcool e outras substâncias por mulheres. Além disso, especula-se que talvez existam diferenças entre o diagnóstico e o tratamento da dependência química para o gênero feminino e masculino. É importante ressaltar, contudo, que não são somente as mulheres que saíram para o espaço público que tornam-se dependentes. A reflexão sobre a dependência química entre mulheres deve incorporar diálogos relativos aos papéis sociais de gênero, em especial, tendo em vista a problemática principal deste trabalho e as discussões sobre as ocupações consideradas tradicionalmente masculinas ou femininas.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é curioso observar que mulheres que não saíram de casa para ocupar funções públicas, em espaços tradicionalmente masculinos, como as donas de casa, quitandeiras e outras, também desenvolvem dependência de substâncias psicoativas.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questão, segundo Cesar (2006), vem revelar modos do “beber feminino”, uma vez que o uso e abuso de álcool e outras drogas por mulheres deve levar em conta as peculiaridades de gênero, que engloba fatores psicossociais, culturais e históricos. </w:t>
        <w:tab/>
        <w:t xml:space="preserve">Aquino (1997) e Cesar (2006) retratam que socialmente a preocupação com o consumo de álcool e outras drogas vem crescendo, porém, a atenção ao problema está mais voltada para o homem, produzindo uma ausência de sentidos e discursos sobre o modo como as mulheres se relacionam com as substâncias psicoativas. Segundo Cesar (2006) o uso de álcool por mulheres em ambientes privados é muito maior do que em espaços públicos, 90% das mulheres declararam beber em espaços privados. Além disso, a procura das mulheres pelos serviços de saúde para tratamento do alcoolismo é mínima, o que, de certa forma, mascara o problema, e pode ser um indicativo para o baixo número de programas voltados para a mulher dependente química.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percentagem alta de mulheres que bebem privadamente não atesta que mulheres alcoolistas não bebam em público. Porém a representatividade dada por elas ao beber na esfera privada, como o comportamento que revela o seu alcoolismo, parece apontar uma particularidade do beber feminino. [...] o comportamento dos homens alcoolizados seria um com reações </w:t>
      </w:r>
      <w:r>
        <w:rPr>
          <w:rFonts w:ascii="Times New Roman" w:hAnsi="Times New Roman" w:cs="Times New Roman" w:eastAsia="Times New Roman"/>
          <w:i/>
          <w:color w:val="auto"/>
          <w:spacing w:val="0"/>
          <w:position w:val="0"/>
          <w:sz w:val="20"/>
          <w:shd w:fill="auto" w:val="clear"/>
        </w:rPr>
        <w:t xml:space="preserve">para fora</w:t>
      </w:r>
      <w:r>
        <w:rPr>
          <w:rFonts w:ascii="Times New Roman" w:hAnsi="Times New Roman" w:cs="Times New Roman" w:eastAsia="Times New Roman"/>
          <w:color w:val="auto"/>
          <w:spacing w:val="0"/>
          <w:position w:val="0"/>
          <w:sz w:val="20"/>
          <w:shd w:fill="auto" w:val="clear"/>
        </w:rPr>
        <w:t xml:space="preserve">, externalizado, enquanto as mulheres tenderiam a um comportamento mais retraído, ficando menos expostas e internalizando emoções. (CESAR, 2006, p. 210). </w:t>
      </w: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Desse modo, a procura mínima das mulheres usuárias e dependentes de álcool e outras drogas aos serviços de saúde pode estar relacionada a uma peculiaridade do beber feminino, que implica em questões sociais. Nesse sentido, o consumo em espaços privados poderia ser uma maneira da mulher proteger sua imagem das “acusações” e imposições sociais impregnadas de questões de desigualdade de gênero, que tributam à mulher posições, comportamentos e modos de expressão e vida diferenciados em relação aos “padrões” masculinos. O alcoolismo feminino ainda carrega a peculiaridade relacionada ao “caráter da mulher”, pois “corrompe” a imagem de um padrão construído socialmente, que as define como frágeis, e, principalmente na cultura patriarcal brasileira, realizadas no papel de “rainhas do lar”, de “Amélias”, que carregam em si a mansidão e o interesse pelos cuidados com os filhos e o lar.  Robbins, citado por Cesar (2006), propõe a existência de um caráter social de gênero associado ao alcoolismo,</w:t>
      </w: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o alcoolismo vinculado ao sexo masculino seria basicamente de natureza social, e [...] a ausência de mulheres nessa categoria poderia estar vinculada a uma dupla moral implícita na prática do consumo de álcool. Essa dupla moral não só favoreceria o consumo entre mulheres como aumentaria o estigma para com as mulheres que bebem, impondo ao sexo feminino padrões mais rígidos. (ROBBINS </w:t>
      </w:r>
      <w:r>
        <w:rPr>
          <w:rFonts w:ascii="Times New Roman" w:hAnsi="Times New Roman" w:cs="Times New Roman" w:eastAsia="Times New Roman"/>
          <w:i/>
          <w:color w:val="auto"/>
          <w:spacing w:val="0"/>
          <w:position w:val="0"/>
          <w:sz w:val="20"/>
          <w:shd w:fill="auto" w:val="clear"/>
        </w:rPr>
        <w:t xml:space="preserve">apud</w:t>
      </w:r>
      <w:r>
        <w:rPr>
          <w:rFonts w:ascii="Times New Roman" w:hAnsi="Times New Roman" w:cs="Times New Roman" w:eastAsia="Times New Roman"/>
          <w:color w:val="auto"/>
          <w:spacing w:val="0"/>
          <w:position w:val="0"/>
          <w:sz w:val="20"/>
          <w:shd w:fill="auto" w:val="clear"/>
        </w:rPr>
        <w:t xml:space="preserve"> CESAR, 2006, p. 209). </w:t>
      </w: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Ora, a mulher alcoolista é culturalmente repudiada, discriminada, dada às condições de desigualdade de gênero que implicam em maneiras de se comportar, de ser e agir que seguem as normas sociais impostas. Assim, o beber feminino distingue-se do beber masculino não apenas porque o metabolismo da mulher e outros aspectos fisiológicos sejam distintos, mas porque há uma dupla moral relacionada ao uso de álcool marcada por desigualdades de gênero. A dupla moral abarca ainda um espectro mais amplo, relacionado à contradição social perversa que, ao mesmo tempo em que proíbe determinados tipos de comportamento, por exemplo, o uso abusivo de bebidas, o valoriza.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fator relevante é a compreensão sobre o quanto o trabalho se torna um “laço” na reinserção social das mulheres que finalizam o tratamento em comunidades terapêuticas, uma vez que, ao completar o tratamento, presume-se que elas paulatinamente retomarão seus projetos de vida e se integrarão novamente aos “[...] sistemas sociais básicos, como a família, moradia, trabalho formal ou informal, saúde, dentre outros.” (DUARTE, 2006, p 162). Sabe-se da necessidade de políticas públicas destinadas às mulheres e também da luta de movimentos sociais feministas e que militam pelos direitos das mulheres. Nesse sentido, faz-se importante saber se o trabalho é uma via de reinserção social para que comunidades terapêuticas e organizações não governamentais (ONGS), e principalmente a Secretaria Especial de Políticas para as Mulheres (SPM) do Governo Federal, tenham subsídios para a elaboração de políticas que gerem ações, programas e projetos que contemplem as mulheres dependentes e ex-dependentes químicas em sua (re)entrada no mercado de trabalho. Uma vez que um dos objetivos desta secretaria é a valorização, a melhoria da qualidade de vida e a garantia dos direitos da mulher como cidadã. </w:t>
      </w: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OBJETIVOS</w:t>
      </w: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 Objetivo Geral</w:t>
      </w:r>
    </w:p>
    <w:p>
      <w:pPr>
        <w:numPr>
          <w:ilvl w:val="0"/>
          <w:numId w:val="4380"/>
        </w:numPr>
        <w:tabs>
          <w:tab w:val="left" w:pos="720" w:leader="none"/>
        </w:tabs>
        <w:suppressAutoHyphens w:val="true"/>
        <w:spacing w:before="0" w:after="0" w:line="480"/>
        <w:ind w:right="0" w:left="714" w:hanging="35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Compreender se a categoria trabalho é uma via de reinserção social para mulheres que passaram por tratamento da dependência química em comunidades terapêuticas.</w:t>
      </w:r>
    </w:p>
    <w:p>
      <w:pPr>
        <w:suppressAutoHyphens w:val="true"/>
        <w:spacing w:before="0" w:after="0" w:line="480"/>
        <w:ind w:right="0" w:left="714"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357"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2.2 Objetivos Específicos</w:t>
      </w:r>
    </w:p>
    <w:p>
      <w:pPr>
        <w:numPr>
          <w:ilvl w:val="0"/>
          <w:numId w:val="4384"/>
        </w:numPr>
        <w:tabs>
          <w:tab w:val="left" w:pos="720"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Realizar um levantamento bibliográfico sobre o uso e abuso de álcool e outras drogas por mulheres.</w:t>
      </w:r>
    </w:p>
    <w:p>
      <w:pPr>
        <w:numPr>
          <w:ilvl w:val="0"/>
          <w:numId w:val="4384"/>
        </w:numPr>
        <w:tabs>
          <w:tab w:val="left" w:pos="720"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Compreender o caráter ambivalente do trabalho historicamente e na contemporaneidade.</w:t>
      </w:r>
    </w:p>
    <w:p>
      <w:pPr>
        <w:numPr>
          <w:ilvl w:val="0"/>
          <w:numId w:val="4384"/>
        </w:numPr>
        <w:tabs>
          <w:tab w:val="left" w:pos="720"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Compreender o processo sócio-histórico da entrada de mulheres no mercado de trabalho.</w:t>
      </w:r>
    </w:p>
    <w:p>
      <w:pPr>
        <w:numPr>
          <w:ilvl w:val="0"/>
          <w:numId w:val="4384"/>
        </w:numPr>
        <w:tabs>
          <w:tab w:val="left" w:pos="720"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Identificar as relações entre trabalho, reinserção social e dependência química.</w:t>
      </w: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METODOLOGIA</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Tendo em vista o objetivo desta pesquisa, adotamos metodologia qualitativa. A pesquisa bibliográfica permeou todo o processo de construção desta investigação, permitindo fazer articulações e elaboração de considerações a respeito do problema colocado. Para a coleta de dados utilizamos a entrevista semi-estruturada e para interpretação, análise de conteúdo. No que se refere à definição da amostra dessa pesquisa, foram entrevistadas quatro mulheres com idade entre 28 e 51 anos, que haviam passado por tratamento de dependência química em comunidade terapêutica e que estavam novamente em tratamento, sendo caracterizadas então como reincidentes. A escolha por mulheres reincidentes deveu-se ao fato de termos como objetivo compreender o processo de saída de uma comunidade terapêutica e a sua (re)inserção  no mundo do trabalho. Ainda em relação à coleta de dados e definição da amostra, não havia a definição </w:t>
      </w:r>
      <w:r>
        <w:rPr>
          <w:rFonts w:ascii="Times New Roman" w:hAnsi="Times New Roman" w:cs="Times New Roman" w:eastAsia="Times New Roman"/>
          <w:i/>
          <w:color w:val="auto"/>
          <w:spacing w:val="0"/>
          <w:position w:val="0"/>
          <w:sz w:val="24"/>
          <w:shd w:fill="auto" w:val="clear"/>
        </w:rPr>
        <w:t xml:space="preserve">a priori </w:t>
      </w:r>
      <w:r>
        <w:rPr>
          <w:rFonts w:ascii="Times New Roman" w:hAnsi="Times New Roman" w:cs="Times New Roman" w:eastAsia="Times New Roman"/>
          <w:color w:val="auto"/>
          <w:spacing w:val="0"/>
          <w:position w:val="0"/>
          <w:sz w:val="24"/>
          <w:shd w:fill="auto" w:val="clear"/>
        </w:rPr>
        <w:t xml:space="preserve">do número de entrevistas a serem realizadas, uma vez que “o critério de interrupção de coleta de informações é a saturação [...].” (PALMADE, 1988 </w:t>
      </w:r>
      <w:r>
        <w:rPr>
          <w:rFonts w:ascii="Times New Roman" w:hAnsi="Times New Roman" w:cs="Times New Roman" w:eastAsia="Times New Roman"/>
          <w:i/>
          <w:color w:val="auto"/>
          <w:spacing w:val="0"/>
          <w:position w:val="0"/>
          <w:sz w:val="24"/>
          <w:shd w:fill="auto" w:val="clear"/>
        </w:rPr>
        <w:t xml:space="preserve">apud</w:t>
      </w:r>
      <w:r>
        <w:rPr>
          <w:rFonts w:ascii="Times New Roman" w:hAnsi="Times New Roman" w:cs="Times New Roman" w:eastAsia="Times New Roman"/>
          <w:color w:val="auto"/>
          <w:spacing w:val="0"/>
          <w:position w:val="0"/>
          <w:sz w:val="24"/>
          <w:shd w:fill="auto" w:val="clear"/>
        </w:rPr>
        <w:t xml:space="preserve"> MACHADO, 2002). Sendo assim, as entrevistas foram feitas até o momento em que as informações específicas necessárias à compreensão do nosso objeto de estudo foram consideradas alcançadas.</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mulheres selecionadas para as entrevistas receberam um termo de consentimento livre e esclarecido (TCLE), lido e assinado por elas, e aceitaram, por espontânea vontade, participar dessa pesquisa. Conforme descrito no TCLE, as entrevistas foram gravadas em áudio, no formato digital MP3 e ficarão armazenadas por um período de cinco anos, sendo, depois, descartadas. As entrevistas foram transcritas e analisadas.</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amostra entrevistada foi acessada em duas diferentes comunidades terapêuticas, ambas de cunho religioso, uma de orientação católica e a outra evangélica, e localizam-se na região metropolitana de Belo Horizonte. Foram entrevistadas duas mulheres em cada CT. A análise dos dados foi realizada a partir das entrevistas nos permitindo criar categorias temáticas de análise, sobre a qual pudemos articular nossas hipóteses. </w:t>
      </w: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RESULTADOS DA PESQUISA</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resultados desta pesquisa verificamos que ao contrário do que pensávamos, as entrevistadas consideraram que a (re)inserção no mercado de trabalho não era algo atravessado por impedimentos sociais, pois não precisavam informar no momento de concorrer a uma vaga, que passaram por tratamento ou que eram dependentes químicas. Todavia, as quatro entrevistadas eram reincidentes nas comunidades terapêuticas e não conseguiram se fixar em um emprego, apontando como projeção para o futuro, trabalhos autônomos.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da hipótese referente à exclusão do mercado de trabalho devido ao estigma de serem dependentes químicas, para elas, esta não é uma questão “existente”, uma vez que consideram que podem sair e conseguir, como qualquer outra pessoa, uma vaga no mercado de trabalho.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Observamos que frente às perguntas relacionadas às questões de gênero, as entrevistadas nos deram respostas curtas, sem muitas elaborações ou reflexões, o que mostra que a naturalização de fato impede a discussão acerca do sexismo, que, segundo Von Smigay (2002), é a diferenciação das pessoas devido ao seu sexo, o que também sustenta as hierarquias e promove desigualdades. Na cultura brasileira, o sexismo é permeado pela misoginia, que, para a mesma autora, seria o horror ao feminino.</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 fato de serem mulheres em busca de um trabalho, consideraram que podem competir igualmente com o sexo masculino, uma vez que para elas, homens e mulheres são considerados como iguais no mercado de trabalho. Concluímos que esse posicionamento reflete a reprodução de um discurso sexista, veiculado socialmente e assimilado por nós, desconsiderando assim a tensão existente entre o reconhecimento da diferença e da desigualdade social. Foi possível perceber que as entrevistadas também reproduzem um posicionamento marcado pela socialização de gênero, ou seja,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existem cargos específicos para homens e mulheres, sendo que para os homens são destinados cargos que exigem força entre outras características atribuídas socialmente ao poder másculo, enquanto para mulheres seriam aqueles relacionados a fatores como a sensibilidade, “leveza”, entre outros.</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Compreendemos também que o trabalho, aparece na voz das mulheres como uma possibilidade de se protegerem do uso abusivo de drogas e também de se (re)inserirem socialmente, garantindo-lhes novas construções identitárias. Temos que nos atentar, contudo, para a relação que elas estabelecem com o trabalho que fazem ou farão, uma vez que dependendo da imposição de uma organização do trabalho provocadora de sofrimento, o uso abusivo de drogas pode reaparecer gerando novas internações, desconstruções e, novamente, a busca por “recuperação” e posteriormente por “reinserção”. </w:t>
      </w: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DISCUSSÃO</w:t>
      </w:r>
    </w:p>
    <w:p>
      <w:pPr>
        <w:suppressAutoHyphens w:val="true"/>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 A relação do ser humano com seu trabalho: produções e atravessamentos.</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Para compreendermos a categoria trabalho como uma via de reinserção social para mulheres que finalizaram o tratamento da dependência química, é necessário entendermos tal categoria em sua dimensão histórica. O trabalho marca a passagem do ser humano da natureza à cultura, uma vez que ainda no tempo primitivo, os homens das cavernas começaram a criar seus instrumentos de trabalho, diferenciando-se assim dos animais que não precisavam exercer tal atividade para sobreviver. Desse modo compreendemos a marca que o trabalho causa em nossa identidade. Para Ciampa (2001), nossa identidade passa por metamorfoses, assim compreendemos que nossa constituição identitária também é marcada por nossa relação com a atividade que realizamos. Jaques (1996) concorda que a identidade do ser humano está em constante construção, sendo formada, assim, por várias identidades, uma delas, seria a identidade de trabalhador. Codo (1988) diz que o trabalho na sociedade capitalista tem uma dupla significação, a saber, o castigo e a transformação. Viegas (1989) também reforça essa idéia, dizendo que o trabalho tem um sentido positivo e um negativo, e que isto está relacionado a um processo sócio-histórico-cultural. Ambos os autores explicam a ambivalência de sentidos da categoria trabalho em função do modelo econômico vigente, o capitalismo.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Acerca da discussão sobre o caráter ambivalente do trabalho, Dejours e outros (1994), compreendem que a relação ser humano com o trabalho pode ser criativa ou causar sofrimento, e isso se relaciona ao dispêndio</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energia psíquica no trabalho. Dejours (1986) acredita então que determinadas organizações do trabalho podem provocar alterações no funcionamento psíquico do trabalhador, além das condições do trabalho, que podem gerar enfermidades físicas.</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Dejours e outros (1994) reafirmam que enquanto as condições de trabalho teriam como alvo o corpo do trabalhador, a organização do trabalho teria como campo de ação seu funcionamento psíquico. Destacam que há uma diferença entre a organização prescrita do trabalho, que entendemos como aquilo que “deve ser feito” seguindo as normas e regras, e a organização real do trabalho, compreendida por nós como o modo peculiar de cada trabalhador lidar com aquele trabalho específico. Salientam por meio da psicopatologia do trabalho que, de fato, a organização do trabalho tem causado sofrimento, porém, este sofrimento pode ser criativo ou patogênico (DEJOURS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1994). No sofrimento criativo há uma carga de energia positiva, já que o trabalhador, mesmo diante de um ambiente de trabalho hostil, pode criar, transformar e sente-se “livre” para exercer sua atividade. Isso na verdade é uma forma de defender-se psiquicamente dessa organização de trabalho enlouquecedora.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Quando o sofrimento pode ser transformado em criatividade, ele traz uma contribuição que beneficia a identidade. Ele aumenta a resistência do sujeito ao risco de desestabilização psíquica e somática. O trabalho funciona então como um mediador para a saúde. (DEJOURS</w:t>
      </w:r>
      <w:r>
        <w:rPr>
          <w:rFonts w:ascii="Times New Roman" w:hAnsi="Times New Roman" w:cs="Times New Roman" w:eastAsia="Times New Roman"/>
          <w:i/>
          <w:color w:val="auto"/>
          <w:spacing w:val="0"/>
          <w:position w:val="0"/>
          <w:sz w:val="20"/>
          <w:shd w:fill="auto" w:val="clear"/>
        </w:rPr>
        <w:t xml:space="preserve"> et al.</w:t>
      </w:r>
      <w:r>
        <w:rPr>
          <w:rFonts w:ascii="Times New Roman" w:hAnsi="Times New Roman" w:cs="Times New Roman" w:eastAsia="Times New Roman"/>
          <w:color w:val="auto"/>
          <w:spacing w:val="0"/>
          <w:position w:val="0"/>
          <w:sz w:val="20"/>
          <w:shd w:fill="auto" w:val="clear"/>
        </w:rPr>
        <w:t xml:space="preserve">, 1994, p. 137).</w:t>
      </w: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Inversamente, no sofrimento patogênico, há um excesso de carga psíquica e o trabalhador por diversos fatores, não apenas psíquicos, mas também por sua história de vida, sua história de trabalho, não consegue mais utilizar defesas psíquicas ante uma organização de trabalho pressionadora. </w:t>
        <w:tab/>
        <w:t xml:space="preserve">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auto" w:val="clear"/>
        </w:rPr>
        <w:t xml:space="preserve">Le Guillant chama atenção para atentarmo-nos não apenas às características subjetivas e individuais ao analisarmos o adoecimento do trabalhador, atribuindo também ao contexto social, à organização e condições de trabalho, influência nos processos de saúde e doença, considerando o sujeito como alguém atravessado pela cultura, pelos aspectos sócio-históricos. (LE GUILLANT; LIMA, 2006). Para autores como Lima, Assunção e Francisco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2002), o trabalho é fonte de humanidade, assim, apontam uma primazia ontológica do trabalho, isto é, o trabalho teria uma centralidade na vida humana, já que por meio dele o sujeito se homeniza. Le Guillant e Lima (2006) defendem ainda que há uma forte relação entre o adoecimento de trabalhadores e a sua exposição ou submissão a determinadas tarefas em condições específicas. Entre estes trabalhadores estão aqueles de turnos fixos (noturno), tele-atendentes e, atualmente, estudos como o de Vieira (2009) apontam para o forte nexo causal entre o Transtorno de Estresse Pós- Traumático (TEPT – CID 43.1) e as condições de trabalho de vigilantes bancários e de outros segmentos.</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Especificamente no âmbito da dependência química, os estudos de Silva (2006) assinalam o problema do alcoolismo dos trabalhadores da construção civil. Para a autora existe nexo causal entre este adoecimento e as condições e organização do trabalho às quais estes trabalhadores estão submetidos. Tendo em vista a relação entre adoecimento e trabalho e ainda considerando como o trabalho pode ser fonte de criação e transformação, passaremos a refletir sobre o processo sócio-histórico de entrada das mulheres no mercado de trabalho e o modo como esse processo define formas de vivenciar, positiva ou negativamente, a relação com o trabalho.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 Mulheres e mercado de trabalho: um histórico sutil de segregação.</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Retomando o histórico da entrada das mulheres no mercado de trabalho, verifica-se que com o advento da Revolução Industrial várias mulheres passaram a trabalhar em outro espaço além do doméstico, entretanto, como cita Fonseca (2000), os cargos ocupados por elas eram consonantes com as tarefas de uma dona-de-casa, sendo raros os casos em que alcançavam cargos de chefia, ocupados geralmente por homens. Essa divisão sexual do trabalho, influenciada também pelo modelo taylorista e fordista, marca o histórico e o lugar da mulher no mercado de trabalho. O marco histórico da revolução industrial promoveu uma divisão do trabalho, uma vez que no modelo capitalista de produção os trabalhadores detêm apenas parte da produção. Assim, cada trabalhador fica responsável por uma parte da tarefa até que enfim se chegue ao produto final. Nesse contexto, as mulheres e as crianças, caracterizadas culturalmente como frágeis e indefesas, operavam máquinas mais leves e que exigiam menos raciocínio. Desse modo, mulheres e crianças tinham menor salário que os homens. Percebe-se assim que questões presentes ainda hoje na esfera do trabalho decorrem dessa época, marcando desde esse momento uma divisão sexual do trabalho, designada por tarefas e competências específicas aos homens e às mulheres. A designação </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tabs>
          <w:tab w:val="left" w:pos="16768992" w:leader="none"/>
        </w:tabs>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de atributos de masculinidade e de feminilidade a trabalhos específicos e sua direta correspondência com uma mão-de-obra sexuada particular partem, como se vê, de um sistema simbólico atribuído às diferenças entre os sexos, que para além de construir identidades sociais masculinas e femininas, também ordena, segundo um princípio e valor, o próprio mundo e cada um de seus espaços. As conseqüências do fato fundante de estarem/serem as mulheres enquadradas em uma perspectiva naturalizante e logo, inferior à reservada aos homens, estendem-se, por conseguinte, a tudo o que lhes é associado, o que suposta e obviamente passa a sê-lo “por natureza.” (FONSECA, 2000, p. 48). </w:t>
      </w:r>
    </w:p>
    <w:p>
      <w:pPr>
        <w:tabs>
          <w:tab w:val="left" w:pos="16768992" w:leader="none"/>
        </w:tabs>
        <w:suppressAutoHyphens w:val="true"/>
        <w:spacing w:before="0" w:after="0" w:line="360"/>
        <w:ind w:right="0" w:left="2268" w:firstLine="0"/>
        <w:jc w:val="both"/>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Nessa discussão acerca de trabalho e gênero, não estamos falando apenas da divisão do trabalho como um processo decorrente das transformações dos modos econômicos e de produção, mas de uma divisão sexual do trabalho que “[...] é a forma de divisão do trabalho social decorrente das relações sociais entre os sexos, mais do que isso, é um fator para a sobrevivência da relação social entre os sexos.” (HIRATA; KERGOAT, 2007, p. 599). A questão sobre à divisão sexual do trabalho denuncia o modo como as discussões sobre gênero recebem uma atribuição de sentido naturalizada, de que “as coisas são assim mesmo”, de que a situação de desigualdade não pode mudar. Assim, aceita-se e reproduzem tais idéias, que caracterizam um discurso opressor que faz com que os oprimidos pensem que os problemas sociais são coisas naturais que fogem ao controle e não podem ser dirimidos. Um exemplo disso é o modelo de vida patriarcal muito presente no Brasil, que destaca um lugar especial aos homens, o que por muito tempo não foi questionado. É assim que, segundo Hirata e Kergoat (2007), aos homens é designada a produção enquanto às mulheres a reprodução. </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discussão acerca das questões de gênero, segundo Scott (1995), não devem ser pensadas apenas como uma diferenciação entre o que é da ordem masculina ou feminina. Para a autora, gênero é uma categoria de análise histórica, pois diz de uma construção sócio-histórica marcada por processos econômicos, sociais, históricos, culturais, subjetivos, entre outros.</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tabs>
          <w:tab w:val="left" w:pos="11952" w:leader="none"/>
        </w:tabs>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relações de gênero, como as relações de poder, são marcadas por hierarquias, obediências e desigualdades, onde estão presentes os conflitos, tensões, negociações, alianças, sejam por meio da manutenção dos poderes masculinos, sejam na luta das mulheres a se desvincular desses domínios. (PERRELLI; TONELI, 2006, p. 34).</w:t>
      </w:r>
    </w:p>
    <w:p>
      <w:pPr>
        <w:tabs>
          <w:tab w:val="left" w:pos="11952" w:leader="none"/>
        </w:tabs>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Compreender o processo sócio-histórico da entrada das mulheres no mercado de trabalho não pode excluir a discussão acerca do trabalho domiciliar pois, antes de se inserirem no mercado formal de trabalho, as mulheres, desde os tempos primitivos, são as responsáveis pelo cuidado dos filhos e da casa. Hirata e Kergoat (2007) pontuam que a categoria “trabalho doméstico” é uma das grandes marcas da divisão sexual do trabalho, pois esse foi um dos únicos trabalhos que não se dividiu e cuja atribuição é especificamente das mulheres. </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divisão sexual do trabalho organiza-se, então, segundo Hirata e Kergoat (2007), por dois princípios, que regem sua lógica e têm status de conceito: a saber, o </w:t>
      </w:r>
      <w:r>
        <w:rPr>
          <w:rFonts w:ascii="Times New Roman" w:hAnsi="Times New Roman" w:cs="Times New Roman" w:eastAsia="Times New Roman"/>
          <w:i/>
          <w:color w:val="auto"/>
          <w:spacing w:val="0"/>
          <w:position w:val="0"/>
          <w:sz w:val="24"/>
          <w:shd w:fill="auto" w:val="clear"/>
        </w:rPr>
        <w:t xml:space="preserve">princípio da separação</w:t>
      </w:r>
      <w:r>
        <w:rPr>
          <w:rFonts w:ascii="Times New Roman" w:hAnsi="Times New Roman" w:cs="Times New Roman" w:eastAsia="Times New Roman"/>
          <w:color w:val="auto"/>
          <w:spacing w:val="0"/>
          <w:position w:val="0"/>
          <w:sz w:val="24"/>
          <w:shd w:fill="auto" w:val="clear"/>
        </w:rPr>
        <w:t xml:space="preserve">, uma vez que existem trabalhos específicos para homens e mulheres, e o </w:t>
      </w:r>
      <w:r>
        <w:rPr>
          <w:rFonts w:ascii="Times New Roman" w:hAnsi="Times New Roman" w:cs="Times New Roman" w:eastAsia="Times New Roman"/>
          <w:i/>
          <w:color w:val="auto"/>
          <w:spacing w:val="0"/>
          <w:position w:val="0"/>
          <w:sz w:val="24"/>
          <w:shd w:fill="auto" w:val="clear"/>
        </w:rPr>
        <w:t xml:space="preserve">princípio da hierarquia,</w:t>
      </w:r>
      <w:r>
        <w:rPr>
          <w:rFonts w:ascii="Times New Roman" w:hAnsi="Times New Roman" w:cs="Times New Roman" w:eastAsia="Times New Roman"/>
          <w:color w:val="auto"/>
          <w:spacing w:val="0"/>
          <w:position w:val="0"/>
          <w:sz w:val="24"/>
          <w:shd w:fill="auto" w:val="clear"/>
        </w:rPr>
        <w:t xml:space="preserve"> já que o trabalho masculino é mais valorizado que o feminino. Questiona-se então: a mulher de fato concorre de forma igualitária por uma vaga de trabalho com um homem? E se essa mulher tiver saído de um processo de internação para tratamento da dependência química, em que isso interfere em sua entrada no mercado de trabalho? </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158" w:left="15"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5.3 “</w:t>
      </w:r>
      <w:r>
        <w:rPr>
          <w:rFonts w:ascii="Times New Roman" w:hAnsi="Times New Roman" w:cs="Times New Roman" w:eastAsia="Times New Roman"/>
          <w:b/>
          <w:i/>
          <w:color w:val="auto"/>
          <w:spacing w:val="0"/>
          <w:position w:val="0"/>
          <w:sz w:val="24"/>
          <w:shd w:fill="auto" w:val="clear"/>
        </w:rPr>
        <w:t xml:space="preserve">E agora, Maria ? Você marcha, Maria! Maria, pra onde ?” – </w:t>
      </w:r>
      <w:r>
        <w:rPr>
          <w:rFonts w:ascii="Times New Roman" w:hAnsi="Times New Roman" w:cs="Times New Roman" w:eastAsia="Times New Roman"/>
          <w:b/>
          <w:color w:val="auto"/>
          <w:spacing w:val="0"/>
          <w:position w:val="0"/>
          <w:sz w:val="24"/>
          <w:shd w:fill="auto" w:val="clear"/>
        </w:rPr>
        <w:t xml:space="preserve">Exclusão social, isso me afeta?</w:t>
      </w:r>
    </w:p>
    <w:p>
      <w:pPr>
        <w:spacing w:before="0" w:after="0" w:line="240"/>
        <w:ind w:right="158" w:left="15" w:firstLine="0"/>
        <w:jc w:val="left"/>
        <w:rPr>
          <w:rFonts w:ascii="Times New Roman" w:hAnsi="Times New Roman" w:cs="Times New Roman" w:eastAsia="Times New Roman"/>
          <w:b/>
          <w:color w:val="auto"/>
          <w:spacing w:val="0"/>
          <w:position w:val="0"/>
          <w:sz w:val="24"/>
          <w:shd w:fill="auto" w:val="clear"/>
        </w:rPr>
      </w:pP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Fonseca (2008), historicamente a exclusão social está ligada ao advento da segregação dos loucos, das pessoas que tinham doenças contagiosas como, por exemplo, a lepra, além dos sujeitos de comportamentos desviantes, que eram estigmatizados pela sociedade e levados para a “borda” da cidade, em lugares reclusos, evitando assim a perturbação da organização social. O autor também cita que pode-se compreender o termo exclusão considerando-o sob diferentes vieses, como ruptura dos laços sociais, ou seja, o sujeito estaria fora da noção de “nós”, de pertencimento e vinculação ao grupo social; por desvinculação do trabalho formal; como uma negação da cidadania; como um processo incompleto de inserção no sistema capitalista.</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ao mundo do trabalho, é possível pensar na exclusão como um dos sentidos negativos do trabalho, e porque não dizer como um sentido contraditório, já que o trabalho marca a ruptura do ser humano como um ser biológico, inserindo-o como ser social capaz de transformar a natureza, de criar, inovar. Dessa maneira, o trabalho é formador de identidade, considerando assim o sentido criativo do trabalho, como citam Dejours e outros (1994). Por outro lado, o trabalho também causa impactos negativos, como a exclusão e o adoecimento, como já fora discutido acima, acerca do sofrimento patogênico do trabalho. (DEJOURS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1994).</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caso das mulheres, podemos pensar que além do processo de exclusão que poderá ocorrer devido ao estigma de dependente química, existe uma questão histórica de exclusão a partir do sexo biológico, assim, ela ocuparia lugares inferiores na hierarquia social a partir de uma questão física, como pontua Scott (2005). Não podemos desconsiderar a existência de uma tensão na discussão entre igualdade e diferença em relação a homens e mulheres e que as mulheres por estarem vinculadas ao grupo sexual diferente dos homens sofrem uma exclusão coletiva, além do que ocorre no plano individual A proposta então seria o reconhecimento da diferença entre os gêneros, entre os grupos sociais e não a exclusão dela. (SCOTT, 2005). </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pensamento sociológico de Berger (1983) nos permite pensar sinteticamente que em uma sociedade há regras, um controle de tais regras e que como seres humanos, a partir do momento em que nascemos, somos incluídos nos grupos, nas instituições. Desse modo, somos atravessados pela linguagem, que nos permite conhecer e compartilhar ou transgredir tais normas sociais. Passamos por processos de socialização, isto é de internalizarão dessas regras sociais. Primariamente por intermédio de nossa família, que segundo Berger e Berger (1978) nos prepara para conhecer o mundo e aprender a viver em sociedade, e secundariamente pela escola, que tem também como tarefa preparar-nos para o mundo do trabalho. Se alguém decide-se por não cumprir as regras impostas ou se a convenção social decide que a pessoa tem comportamentos que desviam do que todos os outros compartilham, será punido, coagido a respeitar a norma e, em última instância, será excluído da sociedade, como é o caso dos sujeitos em situação de prisão, dos dependentes químicos, dos desabrigados, das pessoas de orientação homossexual, entre outros.</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Demo (1998) convida-nos a pensar criticamente sobre a exclusão, retratando que o conceito de exclusão não se limita ao afastamento do mercado de trabalho decorrente do desenvolvimento do sistema capitalista, da divisão do trabalho e da desigualdade social como resultante da evolução de tal modelo econômico. Antes, pelo contrário, deve ser pensada como um processo social, que envolve vários fatores como relação familiar, poder nas instituições, funcionamento social, contexto, história de vida e trabalho, todos eles atravessados por processos econômicos. O autor pontua que os países marcados pela pobreza econômica têm maior número de pessoas “excluídas” do que os que estão dentro do sistema e propõe se seria o caso de pensarmos nos incluídos como excluídos (da pobreza, da miséria), já que são minoria em uma massa considerada “fora”.</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tabs>
          <w:tab w:val="left" w:pos="848" w:leader="none"/>
        </w:tabs>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Excluir maiorias, mesmo que estas se sintam angustiadamente inúteis no sistema, implica movimento violento de reorganização dos privilégios sociais. Esta violência comparece em pelo menos duas das preocupações por parte do sistema: a exclusão de maiorias representa ameaça à ordem; a necessidade de assistência indica no mínimo que essa situação incomoda. (DEMO, 1998, p. 34).</w:t>
      </w:r>
    </w:p>
    <w:p>
      <w:pPr>
        <w:tabs>
          <w:tab w:val="left" w:pos="2880"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Sawaia (2008), não é possível pensar em inclusão social, em (re)inserção social, sem falar em exclusão, pois há aí uma dialética, o que a autora denomina de dialética exclusão/inclusão. Nessa lógica, Sawaia (2008), influenciada pela teoria foucaltiana, pontua que  “[...] a inclusão social é o processo de disciplinarização dos excluídos, portanto, um processo de controle social e manutenção da ordem na desigualdade social.” (SAWAIA, 2008, p. 107-108). </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podemos pensar que no caso das comunidades terapêuticas as residentes em tratamento estão sendo “disciplinadas” para conviverem novamente na sociedade, cumprindo as regras sociais impostas a todos nós se quisermos pertencer aos grupos sociais. Além de terem ingressado, através de uma escolha delas (na maioria das vezes) em uma comunidade terapêutica que geograficamente localiza-se nas áreas rurais ou em lugares marginais à cidade, também têm o estigma (GOFFMAN, 1988), a marca de terem sido dependentes de drogas. No momento que decidem pela internação afastam-se dos laços sociais mais próximos, do mercado de trabalho (quando são trabalhadoras formais) ou das ocupações que possuíam. Dentro da comunidade constroem novos vínculos, aprendem novas atividades, sendo também submetidas a um tratamento moral, através da disciplina, do trabalho e da espiritualidade.</w:t>
      </w:r>
    </w:p>
    <w:p>
      <w:pPr>
        <w:tabs>
          <w:tab w:val="left" w:pos="2880"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término do período de internação, elas retornam para os espaços que dantes viviam e podem querer se vincular novamente aos grupos, ao trabalho. Essas mulheres podem enfrentar diversos tipos de desafios, entre eles o da invisibilidade social. Soares (2004) discute o conceito de invisibilidade social, que se refere a um mecanismo de exclusão usado socialmente frente a certas categorias de pessoas. A invisibilidade pode acontecer por duas vias: através do preconceito ou do estigma, por meio dos quais a subjetividade é anulada, esmagada, uma vez que é projetada sobre aquela pessoa apenas “[...] uma imagem estereotipada, a partir de uma classificação feita </w:t>
      </w:r>
      <w:r>
        <w:rPr>
          <w:rFonts w:ascii="Times New Roman" w:hAnsi="Times New Roman" w:cs="Times New Roman" w:eastAsia="Times New Roman"/>
          <w:i/>
          <w:color w:val="auto"/>
          <w:spacing w:val="0"/>
          <w:position w:val="0"/>
          <w:sz w:val="24"/>
          <w:shd w:fill="auto" w:val="clear"/>
        </w:rPr>
        <w:t xml:space="preserve">a priori</w:t>
      </w:r>
      <w:r>
        <w:rPr>
          <w:rFonts w:ascii="Times New Roman" w:hAnsi="Times New Roman" w:cs="Times New Roman" w:eastAsia="Times New Roman"/>
          <w:color w:val="auto"/>
          <w:spacing w:val="0"/>
          <w:position w:val="0"/>
          <w:sz w:val="24"/>
          <w:shd w:fill="auto" w:val="clear"/>
        </w:rPr>
        <w:t xml:space="preserve">.” (SOARES, 2004, p. 133). É assim que, por exemplo, a alcoolista, a dependente química passa, na categorização comum, a ser conhecida como a “cachaceira”, “a bêbada”, a “drogada”, a “traficante”. O outro mecanismo de invisibilidade social acontece por meio da indiferença, através da qual a presença do sujeito é negligenciada.</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infere-se que ao procurarem um novo emprego ou retorno ao emprego antigo, essas mulheres podem de fato conseguir um espaço de trabalho, seja ele formal ou informal, ou, por outro lado, podem se tornar invisíveis, não apenas para o mercado de trabalho, mas para a família, vizinhos, governo, enfim, tudo aquilo que as “autorizaria” a busca por um “colorido” a essa vida tornada “sem graça”.</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Colorido este procurado e de certa forma encontrado nas substâncias químicas, gerando assim, um ciclo de repetição da história dessas mulheres. A questão do desemprego para as pessoas que passaram por um tratamento para a dependência química pode causar ainda algum tipo de adoecimento ou vergonha e, segundo Barros, Sales e Nogueira (2002), essa vergonha poderá servir como um reconhecimento social, que pode ter sido procurado antes por outras vias, pois,</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quando o indivíduo não pode ser o que ele gostaria de ser, quando ele não consegue o emprego que precisa ter, a vergonha surge como sinal de alteração do reconhecimento social – índice mesmo da contradição entre a identidade prescrita, a desejada e a adquirida [...] o sujeito fracassa na tentativa de encontrar um lugar social, nascendo a vergonha. Essa contamina toda a identidade e, assim, se perpetua o “não-lugar” social do indivíduo (assujeitado/excluído), pois, apoiado por este sofrimento social, ele não encontra trabalho, e/ou no trabalho, a via de acesso e construção da dinâmica social. (BARROS, SALLES; NOGUEIRA</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2002, p. 332).</w:t>
      </w: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não serve de premissa para dizer, porém, que todas as pessoas que não conseguem um emprego, ou que são invisíveis, buscarão as drogas como forma de subterfúgio, mas, </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estar desempregado significa não estar integrado (trabalhando); não estando no cerne da vida social, os excluídos vãos para as periferias, para as margens que acabam por se constituir no local de 'relegação': é lá que se juntam os desfavorecidos.” (BARROS; SALES; NOGUEIRA, 2002, p. 328).</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Percebe-se então que o trabalho aparece como um elo importante de integração, de sentimento de pertença, de criação de sentido e de utilidade e valorização da mulher egressa de comunidades terapêuticas, sendo parte da “fita” que a ajudará a refazer os laços sociais. Isso se configura como um dos aspectos positivos do trabalho.</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Passaremos agora a discutir sobre a relação entre trabalho e dependência química e como o trabalho em seu aspecto negativo pode ser fonte de adoecimento e, no caso da dependência química, um fator de recaída para as mulheres que finalizaram o tratamento.</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5.4 Dependência química e trabalho: que relação se faz possível?</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6515"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estudos de Lima, Assunção e Francisco (2002) e Silva (2006) apontam para a relação entre trabalho e dependência química, a partir da análise de determinadas categorias de trabalho, a saber, trabalhadores em fixo noturno e trabalhadores de construção civil, ambos com condições e organizações de trabalho caracterizadas por tarefas prescritas rígidas e carga horária extensa. </w:t>
      </w:r>
    </w:p>
    <w:p>
      <w:pPr>
        <w:tabs>
          <w:tab w:val="left" w:pos="6515"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Tais pesquisas indicam que existe algo nesse tipo de organização de trabalho que, associado a questões da realidade subjetiva de cada trabalhador e do micro e macro contexto em que está inserido, pode ser uma fonte de adoecimento e de abertura para o uso de drogas. Nestes casos, o uso de álcool aparece como predominante. Desse modo, o trabalho pode ser percebido em seu sentido negativo com um caráter patogênico, uma vez que não há criação nem prazer na execução da tarefa, pelo contrário, o prazer é buscado nas drogas, que também têm um duplo caráter. Ela garante ao sujeito certo “alívio” e satisfação, porém, de forma momentânea, tornando-se sutilmente avassaladora, pois não há um objeto que garanta prazer absoluto a alguém, que tampone uma falta que é inerente ao ser humano. Assim, o prazer que o sujeito não encontra no trabalho, na vida amorosa, social, pode ser procurado nas drogas:</w:t>
      </w:r>
    </w:p>
    <w:p>
      <w:pPr>
        <w:tabs>
          <w:tab w:val="left" w:pos="16770359" w:leader="none"/>
        </w:tabs>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tabs>
          <w:tab w:val="left" w:pos="16770359" w:leader="none"/>
        </w:tabs>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toxicomania, em suma, realiza uma teoria do desejo. [...] a droga nos mostra a manifestação exemplar da força de um desejo, manifestação tão extrema, porém, que a necessidade não tem mais nada a ver com uma vitalidade feliz, ao contrário, torna-se um estado físico e psíquico atroz. [...] O desejo se desenvolve nesse movimento de encher-sem-nunca-encher, tão vão quanto incansável, sempre recomeçado e sem ter nenhuma razão para acabar, porque a parte desejante de nossa alma tem o fundo quebrado. (SISSA, 1999, p. 9-10).</w:t>
      </w:r>
    </w:p>
    <w:p>
      <w:pPr>
        <w:tabs>
          <w:tab w:val="left" w:pos="6515"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tabs>
          <w:tab w:val="left" w:pos="6515"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garantia então de prazer, de um bem-estar com o uso de drogas, vai se mostrando “furada” a cada novo consumo, pois o anseio por mais, aumenta, podendo levar o sujeito a um estado de “excesso de prazer” que gera desprazer e pode o levar à morte. Assim como a relação com uma condição ou organização do trabalho pode ser fonte de sofrimento para o sujeito, perdendo o trabalho assim, sua dimensão de criação, o sujeito que faz um elo com a droga, em busca de um prazer total, exime-se de pensar, de criar, perdendo progressivamente essa dimensão puramente humana, segundo Queiroz (MIMEO). Vemos desta maneira que as drogas, assim como o trabalho, possuem um caráter ambivalente. Ambos podem ser fonte de prazer e também de sofrimento/adoecimento. Se por um lado alguém busca na droga um refúgio para se aliviar do que tem vivenciando na organização de trabalho a qual está submetido, outros, que se encontravam totalmente dependentes de uma substância, podem buscar no trabalho o alívio e a tentativa de “ser – humano”, de poder voltar a pensar e criar. </w:t>
      </w:r>
    </w:p>
    <w:p>
      <w:pPr>
        <w:tabs>
          <w:tab w:val="left" w:pos="6515"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Lima, Assunção e Francisco (2002) apontam que o uso de bebidas alcoólicas por trabalhadores que atuam em organizações com padrões rígidos e especialmente com carga horária de trabalho noturno, pode ser uma maneira de relaxar a pressão do ambiente de trabalho.</w:t>
      </w:r>
    </w:p>
    <w:p>
      <w:pPr>
        <w:tabs>
          <w:tab w:val="left" w:pos="6515"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Seria então o uso de álcool e outras drogas uma defesa utilizada por alguns trabalhadores para não adoecerem ou para minimamente suportarem tal organização e condição de trabalho? Se por um lado para alguns a droga possa ser um “escape”, para outros, o consumo pode tornar-se abusivo e, assim, ao invés de manter-se trabalhando, o sujeito acabará sendo demitido, ou no caso de algumas empresas, encaminhado a centros de tratamento de dependência química.</w:t>
      </w:r>
    </w:p>
    <w:p>
      <w:pPr>
        <w:tabs>
          <w:tab w:val="left" w:pos="6515" w:leader="none"/>
        </w:tabs>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Consideramos que no caso das mulheres que passaram pelo tratamento e saíram das comunidades terapêuticas o trabalho pode ter sido uma ponte para a “volta” à sociedade para algumas, enquanto que para outras a inserção em uma organização de trabalho com padrões rígidos como as citadas acima pode se constituir como fator de recaída, propiciando a cadeia: reincidência – internação/exclusão – reinserção. Na verdade, só poderemos compreender a questão dialética do trabalho como via de reinserção social ou como fator contribuinte para a recaída, conforme a experiência e o sentido que mulheres que passaram pelo tratamento de dependência química atribuem ao trabalho em suas vidas. </w:t>
      </w:r>
    </w:p>
    <w:p>
      <w:pPr>
        <w:tabs>
          <w:tab w:val="left" w:pos="6515" w:leader="none"/>
        </w:tabs>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CONSIDERAÇÕES FINAIS</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Concluímos que a relação entre trabalho e dependência química é atravessada por fatores subjetivos, históricos, políticos, sociais, ideológicos, econômicos e que não pode ser encarado apenas como algo da dimensão individual. Vemos assim que, as drogas, assim como o trabalho, possuem caráter ambivalente. Ambos podem ser fonte de prazer e de sofrimento/adoecimento. </w:t>
        <w:tab/>
        <w:t xml:space="preserve">Apontamos assim a necessidade de se repensar os modelos de tratamento da dependência química em comunidades terapêuticas, uma vez que o sentido atribuído ao trabalho indicou o que já discutimos acerca do tratamento moral, que visa remodelar o sujeito. Será que remodelar um ser que está em constante mudança é uma proposta eficaz? Se entendermos a vida como algo dinâmico e processual, compreenderemos que as pessoas precisam atribuir sentido ao que fazem e sentirem-se implicadas com o que faz sentido para elas. Desse modo, colocamos aqui nossa inquietação e intuito de repensar o tratamento da dependência química e o modo como o trabalho poderá, mesmo tendo múltiplos sentidos, fazer sentido e dar sentido para a vida das pessoas.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Considerando as falas de nossas entrevistadas, constatamos que, para elas, o fato de ser mulher não influencia “em nada” sua entrada no mercado de trabalho. Acreditamos, porém, que esse posicionamento é atravessado pela construção da mídia de que homens e mulheres competem atualmente de forma igualitária no mercado de trabalho. Isso faz com que as discussões sobre gênero sejam silenciadas, pois, embora as mulheres venham conquistando espaço no mercado de trabalho, isso é desigual em relação aos homens, já que nós não ocupamos cargos de alta gerência, e quando isso ocorre, os homens têm salário maior que as mulheres. Nesse sentido, o Departamento Intersindical de Estatística e Estudos Socioeconômicos (DIEESE), em um estudo que abarca o período de 1998 à janeiro 2010, aponta no indicador sobre o mercado de trabalho o rendimento em reais dos assalariados por sexo e o que se vê é que em algumas metrópoles do Brasil, embora o número de homens e mulheres no mercado formal seja semelhante, com preponderância ainda masculina, o maior rendimento salarial é dos homens. (DIEESE, 2010).</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Percebemos assim que somos afetadas pelas construções sociais e tomamos como nosso aquilo que ouvimos ou vimos sem fazermos uma avaliação da real situação, como é o caso do preconceito contra mulheres, que nos coloca em lugar desigual, por sermos do sexo feminino, fazendo com que uma diferença biológica marque nossa posição na sociedade, gerando um preconceito que acaba por ser assimilado por nós, mulheres. O preconceito assimilado seria a internalização do que é imposto socialmente acerca das questões de gênero, o que mantém as hierarquias sociais (os lugares pré-determinados para homens e mulheres) e promove a naturalização da violência contra as mulheres, negros, homossexuais, entre outras minorias. (PRADO; MACHADO, 2008). Já que essas mulheres aceitam o que a mídia diz, que homens e mulheres já competem de forma igualitária no mercado de trabalho, para quê discutir sobre isso?</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Somos mulheres e acabamos por reproduzir todas as questões discutidas acima, porque vivemos em um contexto que nos ensina isso. Porém, mesmo reproduzindo ainda o preconceito contra a mulher, sendo sexistas e misóginas, devemos saber que é possível politizar sobre tais assuntos, teorizando, produzindo pesquisas, criando espaços para discussões e debates acerca desses temas para assim construirmos uma consciência crítica e reduzirmos a naturalização que cerca temas dados culturalmente como tabus ou como não tendo importância para problematizarmos: sexismo, homofobia, racismo, aborto, entre outros.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Espera-se ainda que essas transformações aconteçam não apenas no âmbito do discurso, não somente no plano individual, mas também no coletivo, e que se expressem mudanças nas</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ações cotidianas, políticas, sociais, culturais. Politizar a discussão acerca da mulher no mercado de trabalho é romper com as hierarquias sociais colocadas, lutando em prol do reconhecimento da diferença entre homens e mulheres, construindo pontes para a igualdade de gênero.</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200" w:line="276"/>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BIBLIOGRÁFICAS</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AQUINO, Maria Thereza C. de. A Mulher e a droga: motivação para o uso, efeitos diferenciados, tratamento e possibilidades de prevenção. In: BAPTISTA, Marcos; INEM, Clara (Orgs.). T</w:t>
      </w:r>
      <w:r>
        <w:rPr>
          <w:rFonts w:ascii="Times New Roman" w:hAnsi="Times New Roman" w:cs="Times New Roman" w:eastAsia="Times New Roman"/>
          <w:b/>
          <w:color w:val="auto"/>
          <w:spacing w:val="0"/>
          <w:position w:val="0"/>
          <w:sz w:val="24"/>
          <w:shd w:fill="auto" w:val="clear"/>
        </w:rPr>
        <w:t xml:space="preserve">oxicomania:</w:t>
      </w:r>
      <w:r>
        <w:rPr>
          <w:rFonts w:ascii="Times New Roman" w:hAnsi="Times New Roman" w:cs="Times New Roman" w:eastAsia="Times New Roman"/>
          <w:color w:val="auto"/>
          <w:spacing w:val="0"/>
          <w:position w:val="0"/>
          <w:sz w:val="24"/>
          <w:shd w:fill="auto" w:val="clear"/>
        </w:rPr>
        <w:t xml:space="preserve"> abordagem multidisciplinar. Rio de Janeiro: NEPAD/UERJ;Sette Letras, 1997.p.43-52.</w:t>
      </w:r>
    </w:p>
    <w:p>
      <w:pPr>
        <w:suppressAutoHyphens w:val="true"/>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BARROS, Vanessa Andrade; SALES, Mara Marçal; NOGUEIRA, Maria Luísa Magalhães. Exclusão, favela e vergonha: uma interrogação ao trabalho. In: GOULART, Íris Barbosa. </w:t>
      </w:r>
      <w:r>
        <w:rPr>
          <w:rFonts w:ascii="Times New Roman" w:hAnsi="Times New Roman" w:cs="Times New Roman" w:eastAsia="Times New Roman"/>
          <w:b/>
          <w:color w:val="auto"/>
          <w:spacing w:val="0"/>
          <w:position w:val="0"/>
          <w:sz w:val="24"/>
          <w:shd w:fill="auto" w:val="clear"/>
        </w:rPr>
        <w:t xml:space="preserve">Psicologia organizacional e do trabalho:</w:t>
      </w:r>
      <w:r>
        <w:rPr>
          <w:rFonts w:ascii="Times New Roman" w:hAnsi="Times New Roman" w:cs="Times New Roman" w:eastAsia="Times New Roman"/>
          <w:color w:val="auto"/>
          <w:spacing w:val="0"/>
          <w:position w:val="0"/>
          <w:sz w:val="24"/>
          <w:shd w:fill="auto" w:val="clear"/>
        </w:rPr>
        <w:t xml:space="preserve"> teoria, pesquisa e temas correlatos. São Paulo: Casa do Psicólogo, 2002. p. 323-355.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CENTRO Brasileiro de Informações Sobre Drogas</w:t>
      </w:r>
      <w:r>
        <w:rPr>
          <w:rFonts w:ascii="Times New Roman" w:hAnsi="Times New Roman" w:cs="Times New Roman" w:eastAsia="Times New Roman"/>
          <w:b/>
          <w:color w:val="auto"/>
          <w:spacing w:val="0"/>
          <w:position w:val="0"/>
          <w:sz w:val="24"/>
          <w:shd w:fill="auto" w:val="clear"/>
        </w:rPr>
        <w:t xml:space="preserve">. II Levantamento domiciliar sobre o uso de drogas psicotrópicas no Brasil – 2005: </w:t>
      </w:r>
      <w:r>
        <w:rPr>
          <w:rFonts w:ascii="Times New Roman" w:hAnsi="Times New Roman" w:cs="Times New Roman" w:eastAsia="Times New Roman"/>
          <w:color w:val="auto"/>
          <w:spacing w:val="0"/>
          <w:position w:val="0"/>
          <w:sz w:val="24"/>
          <w:shd w:fill="auto" w:val="clear"/>
        </w:rPr>
        <w:t xml:space="preserve">estudo envolvendo as 108 maiores cidades do país.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 em:</w:t>
      </w:r>
      <w:r>
        <w:rPr>
          <w:rFonts w:ascii="Times New Roman" w:hAnsi="Times New Roman" w:cs="Times New Roman" w:eastAsia="Times New Roman"/>
          <w:b/>
          <w:color w:val="auto"/>
          <w:spacing w:val="0"/>
          <w:position w:val="0"/>
          <w:sz w:val="24"/>
          <w:shd w:fill="auto" w:val="clear"/>
        </w:rPr>
        <w:t xml:space="preserve"> &lt;</w:t>
      </w:r>
      <w:hyperlink xmlns:r="http://schemas.openxmlformats.org/officeDocument/2006/relationships" r:id="docRId181">
        <w:r>
          <w:rPr>
            <w:rFonts w:ascii="Times New Roman" w:hAnsi="Times New Roman" w:cs="Times New Roman" w:eastAsia="Times New Roman"/>
            <w:color w:val="0000FF"/>
            <w:spacing w:val="0"/>
            <w:position w:val="0"/>
            <w:sz w:val="24"/>
            <w:u w:val="single"/>
            <w:shd w:fill="auto" w:val="clear"/>
          </w:rPr>
          <w:t xml:space="preserve">http://www.unifesp.br/dpsicobio/cebrid/lev_domiciliar2005/index.htm</w:t>
        </w:r>
      </w:hyperlink>
      <w:r>
        <w:rPr>
          <w:rFonts w:ascii="Times New Roman" w:hAnsi="Times New Roman" w:cs="Times New Roman" w:eastAsia="Times New Roman"/>
          <w:color w:val="auto"/>
          <w:spacing w:val="0"/>
          <w:position w:val="0"/>
          <w:sz w:val="24"/>
          <w:shd w:fill="auto" w:val="clear"/>
        </w:rPr>
        <w:t xml:space="preserve">&gt; ou em: &lt;</w:t>
      </w:r>
      <w:hyperlink xmlns:r="http://schemas.openxmlformats.org/officeDocument/2006/relationships" r:id="docRId182">
        <w:r>
          <w:rPr>
            <w:rFonts w:ascii="Times New Roman" w:hAnsi="Times New Roman" w:cs="Times New Roman" w:eastAsia="Times New Roman"/>
            <w:color w:val="0000FF"/>
            <w:spacing w:val="0"/>
            <w:position w:val="0"/>
            <w:sz w:val="24"/>
            <w:u w:val="single"/>
            <w:shd w:fill="auto" w:val="clear"/>
          </w:rPr>
          <w:t xml:space="preserve">http://www.obid.senad.gov.br/portais/OBID/index.php</w:t>
        </w:r>
      </w:hyperlink>
      <w:r>
        <w:rPr>
          <w:rFonts w:ascii="Times New Roman" w:hAnsi="Times New Roman" w:cs="Times New Roman" w:eastAsia="Times New Roman"/>
          <w:color w:val="auto"/>
          <w:spacing w:val="0"/>
          <w:position w:val="0"/>
          <w:sz w:val="24"/>
          <w:shd w:fill="auto" w:val="clear"/>
        </w:rPr>
        <w:t xml:space="preserve">&gt;. Acesso em: 02 out. 2009.</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CESAR, Beatriz Aceti Lenz. Alcoolismo feminino: um estudo de suas peculiaridades: resultados preliminares</w:t>
      </w:r>
      <w:r>
        <w:rPr>
          <w:rFonts w:ascii="Times New Roman" w:hAnsi="Times New Roman" w:cs="Times New Roman" w:eastAsia="Times New Roman"/>
          <w:b/>
          <w:color w:val="auto"/>
          <w:spacing w:val="0"/>
          <w:position w:val="0"/>
          <w:sz w:val="24"/>
          <w:shd w:fill="auto" w:val="clear"/>
        </w:rPr>
        <w:t xml:space="preserve">. Jornal Brasileiro de Psiquiatria [on-line]</w:t>
      </w:r>
      <w:r>
        <w:rPr>
          <w:rFonts w:ascii="Times New Roman" w:hAnsi="Times New Roman" w:cs="Times New Roman" w:eastAsia="Times New Roman"/>
          <w:color w:val="auto"/>
          <w:spacing w:val="0"/>
          <w:position w:val="0"/>
          <w:sz w:val="24"/>
          <w:shd w:fill="auto" w:val="clear"/>
        </w:rPr>
        <w:t xml:space="preserve">, Rio de Janeiro, a. 06, v. 55, n.3, p. 208-211, 2006.  Disponível em: &lt;</w:t>
      </w:r>
      <w:hyperlink xmlns:r="http://schemas.openxmlformats.org/officeDocument/2006/relationships" r:id="docRId183">
        <w:r>
          <w:rPr>
            <w:rFonts w:ascii="Times New Roman" w:hAnsi="Times New Roman" w:cs="Times New Roman" w:eastAsia="Times New Roman"/>
            <w:color w:val="0000FF"/>
            <w:spacing w:val="0"/>
            <w:position w:val="0"/>
            <w:sz w:val="24"/>
            <w:u w:val="single"/>
            <w:shd w:fill="auto" w:val="clear"/>
          </w:rPr>
          <w:t xml:space="preserve">http://www.scielo.br/pdf/jbpsiq/v55n3/v55n3a06.pdf</w:t>
        </w:r>
      </w:hyperlink>
      <w:r>
        <w:rPr>
          <w:rFonts w:ascii="Times New Roman" w:hAnsi="Times New Roman" w:cs="Times New Roman" w:eastAsia="Times New Roman"/>
          <w:i/>
          <w:color w:val="auto"/>
          <w:spacing w:val="0"/>
          <w:position w:val="0"/>
          <w:sz w:val="24"/>
          <w:shd w:fill="auto" w:val="clear"/>
        </w:rPr>
        <w:t xml:space="preserve">&gt;</w:t>
      </w:r>
      <w:r>
        <w:rPr>
          <w:rFonts w:ascii="Times New Roman" w:hAnsi="Times New Roman" w:cs="Times New Roman" w:eastAsia="Times New Roman"/>
          <w:color w:val="auto"/>
          <w:spacing w:val="0"/>
          <w:position w:val="0"/>
          <w:sz w:val="24"/>
          <w:shd w:fill="auto" w:val="clear"/>
        </w:rPr>
        <w:t xml:space="preserve"> Acesso em: 24 set. 2009.</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CIAMPA, Antônio da Costa. Identidade. In: LANE, Silvia T. M.; CODO, Wanderley (Orgs.). </w:t>
      </w:r>
      <w:r>
        <w:rPr>
          <w:rFonts w:ascii="Times New Roman" w:hAnsi="Times New Roman" w:cs="Times New Roman" w:eastAsia="Times New Roman"/>
          <w:b/>
          <w:color w:val="auto"/>
          <w:spacing w:val="0"/>
          <w:position w:val="0"/>
          <w:sz w:val="24"/>
          <w:shd w:fill="auto" w:val="clear"/>
        </w:rPr>
        <w:t xml:space="preserve">Psicologia Social:</w:t>
      </w:r>
      <w:r>
        <w:rPr>
          <w:rFonts w:ascii="Times New Roman" w:hAnsi="Times New Roman" w:cs="Times New Roman" w:eastAsia="Times New Roman"/>
          <w:color w:val="auto"/>
          <w:spacing w:val="0"/>
          <w:position w:val="0"/>
          <w:sz w:val="24"/>
          <w:shd w:fill="auto" w:val="clear"/>
        </w:rPr>
        <w:t xml:space="preserve"> o homem em movimento. São Paulo: Brasiliense, 2001. p. 58-75.</w:t>
      </w:r>
    </w:p>
    <w:p>
      <w:pPr>
        <w:tabs>
          <w:tab w:val="center" w:pos="4535"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center" w:pos="4535"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center" w:pos="4535"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CODO, Wanderley. </w:t>
      </w:r>
      <w:r>
        <w:rPr>
          <w:rFonts w:ascii="Times New Roman" w:hAnsi="Times New Roman" w:cs="Times New Roman" w:eastAsia="Times New Roman"/>
          <w:b/>
          <w:color w:val="auto"/>
          <w:spacing w:val="0"/>
          <w:position w:val="0"/>
          <w:sz w:val="24"/>
          <w:shd w:fill="auto" w:val="clear"/>
        </w:rPr>
        <w:t xml:space="preserve">O que é alienação. </w:t>
      </w:r>
      <w:r>
        <w:rPr>
          <w:rFonts w:ascii="Times New Roman" w:hAnsi="Times New Roman" w:cs="Times New Roman" w:eastAsia="Times New Roman"/>
          <w:color w:val="auto"/>
          <w:spacing w:val="0"/>
          <w:position w:val="0"/>
          <w:sz w:val="24"/>
          <w:shd w:fill="auto" w:val="clear"/>
        </w:rPr>
        <w:t xml:space="preserve">5ª ed. São Paulo: Brasiliense, 1988.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DEJOURS, Christophe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Psicodinâmica do trabalho:</w:t>
      </w:r>
      <w:r>
        <w:rPr>
          <w:rFonts w:ascii="Times New Roman" w:hAnsi="Times New Roman" w:cs="Times New Roman" w:eastAsia="Times New Roman"/>
          <w:color w:val="auto"/>
          <w:spacing w:val="0"/>
          <w:position w:val="0"/>
          <w:sz w:val="24"/>
          <w:shd w:fill="auto" w:val="clear"/>
        </w:rPr>
        <w:t xml:space="preserve"> contribuições da Escola Dejouriana à análise da relação prazer, sofrimento e trabalho. 2ª ed. São Paulo: Atlas, 1994.</w:t>
      </w: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DEJOURS, Christophe. Por um novo conceito de saúde. </w:t>
      </w:r>
      <w:r>
        <w:rPr>
          <w:rFonts w:ascii="Times New Roman" w:hAnsi="Times New Roman" w:cs="Times New Roman" w:eastAsia="Times New Roman"/>
          <w:b/>
          <w:color w:val="auto"/>
          <w:spacing w:val="0"/>
          <w:position w:val="0"/>
          <w:sz w:val="24"/>
          <w:shd w:fill="auto" w:val="clear"/>
        </w:rPr>
        <w:t xml:space="preserve">Revista Brasileira de Saúde Ocupacional</w:t>
      </w:r>
      <w:r>
        <w:rPr>
          <w:rFonts w:ascii="Times New Roman" w:hAnsi="Times New Roman" w:cs="Times New Roman" w:eastAsia="Times New Roman"/>
          <w:color w:val="auto"/>
          <w:spacing w:val="0"/>
          <w:position w:val="0"/>
          <w:sz w:val="24"/>
          <w:shd w:fill="auto" w:val="clear"/>
        </w:rPr>
        <w:t xml:space="preserve">, n. 54, v. 14, p. 7-11, abr, mai, jun, 1986.</w:t>
      </w: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DEMO, Pedro. Discutindo exclusão social. In: DEMO, Pedro. </w:t>
      </w:r>
      <w:r>
        <w:rPr>
          <w:rFonts w:ascii="Times New Roman" w:hAnsi="Times New Roman" w:cs="Times New Roman" w:eastAsia="Times New Roman"/>
          <w:b/>
          <w:color w:val="auto"/>
          <w:spacing w:val="0"/>
          <w:position w:val="0"/>
          <w:sz w:val="24"/>
          <w:shd w:fill="auto" w:val="clear"/>
        </w:rPr>
        <w:t xml:space="preserve">Charme da exclusão social.</w:t>
      </w:r>
      <w:r>
        <w:rPr>
          <w:rFonts w:ascii="Times New Roman" w:hAnsi="Times New Roman" w:cs="Times New Roman" w:eastAsia="Times New Roman"/>
          <w:color w:val="auto"/>
          <w:spacing w:val="0"/>
          <w:position w:val="0"/>
          <w:sz w:val="24"/>
          <w:shd w:fill="auto" w:val="clear"/>
        </w:rPr>
        <w:t xml:space="preserve"> Campinas: Autores Associados, 1998.</w:t>
      </w: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DEPARTAMENTO Intersindical de Estatística e Estudos Socioeconômicos. Tabela 12 – </w:t>
      </w:r>
      <w:r>
        <w:rPr>
          <w:rFonts w:ascii="Times New Roman" w:hAnsi="Times New Roman" w:cs="Times New Roman" w:eastAsia="Times New Roman"/>
          <w:b/>
          <w:color w:val="auto"/>
          <w:spacing w:val="0"/>
          <w:position w:val="0"/>
          <w:sz w:val="24"/>
          <w:shd w:fill="auto" w:val="clear"/>
        </w:rPr>
        <w:t xml:space="preserve">Rendimento médio real dos assalariados, por sexo. Regiões Metropolitanas e Distrito Federal – 1998/2010.</w:t>
      </w:r>
      <w:r>
        <w:rPr>
          <w:rFonts w:ascii="Times New Roman" w:hAnsi="Times New Roman" w:cs="Times New Roman" w:eastAsia="Times New Roman"/>
          <w:color w:val="auto"/>
          <w:spacing w:val="0"/>
          <w:position w:val="0"/>
          <w:sz w:val="24"/>
          <w:shd w:fill="auto" w:val="clear"/>
        </w:rPr>
        <w:t xml:space="preserve"> Disponível em: &lt;</w:t>
      </w:r>
      <w:hyperlink xmlns:r="http://schemas.openxmlformats.org/officeDocument/2006/relationships" r:id="docRId184">
        <w:r>
          <w:rPr>
            <w:rFonts w:ascii="Times New Roman" w:hAnsi="Times New Roman" w:cs="Times New Roman" w:eastAsia="Times New Roman"/>
            <w:color w:val="0000FF"/>
            <w:spacing w:val="0"/>
            <w:position w:val="0"/>
            <w:sz w:val="24"/>
            <w:u w:val="single"/>
            <w:shd w:fill="auto" w:val="clear"/>
          </w:rPr>
          <w:t xml:space="preserve">http://turandot.dieese.org.br/icv/TabelaPed?tabela=14</w:t>
        </w:r>
      </w:hyperlink>
      <w:r>
        <w:rPr>
          <w:rFonts w:ascii="Times New Roman" w:hAnsi="Times New Roman" w:cs="Times New Roman" w:eastAsia="Times New Roman"/>
          <w:color w:val="auto"/>
          <w:spacing w:val="0"/>
          <w:position w:val="0"/>
          <w:sz w:val="24"/>
          <w:shd w:fill="auto" w:val="clear"/>
        </w:rPr>
        <w:t xml:space="preserve">&gt;  Acesso em 19 abr, 2010.</w:t>
      </w:r>
    </w:p>
    <w:p>
      <w:pPr>
        <w:tabs>
          <w:tab w:val="left" w:pos="111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DUARTE, Paulina Vieira. Reinserção Social. In: SECRETARIA Nacional Antidrogas (SENAD) – Observatório de Informações sobre Drogas (OBID). </w:t>
      </w:r>
      <w:r>
        <w:rPr>
          <w:rFonts w:ascii="Times New Roman" w:hAnsi="Times New Roman" w:cs="Times New Roman" w:eastAsia="Times New Roman"/>
          <w:b/>
          <w:color w:val="auto"/>
          <w:spacing w:val="0"/>
          <w:position w:val="0"/>
          <w:sz w:val="24"/>
          <w:shd w:fill="auto" w:val="clear"/>
        </w:rPr>
        <w:t xml:space="preserve">Informações sobre drogas</w:t>
      </w:r>
      <w:r>
        <w:rPr>
          <w:rFonts w:ascii="Times New Roman" w:hAnsi="Times New Roman" w:cs="Times New Roman" w:eastAsia="Times New Roman"/>
          <w:color w:val="auto"/>
          <w:spacing w:val="0"/>
          <w:position w:val="0"/>
          <w:sz w:val="24"/>
          <w:shd w:fill="auto" w:val="clear"/>
        </w:rPr>
        <w:t xml:space="preserve">. Gabinete de Segurança Institucional: Brasília, 2006. p. 162-168.</w:t>
      </w:r>
    </w:p>
    <w:p>
      <w:pPr>
        <w:tabs>
          <w:tab w:val="left" w:pos="111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FONSECA, João César de Freitas. </w:t>
      </w:r>
      <w:r>
        <w:rPr>
          <w:rFonts w:ascii="Times New Roman" w:hAnsi="Times New Roman" w:cs="Times New Roman" w:eastAsia="Times New Roman"/>
          <w:b/>
          <w:color w:val="auto"/>
          <w:spacing w:val="0"/>
          <w:position w:val="0"/>
          <w:sz w:val="24"/>
          <w:shd w:fill="auto" w:val="clear"/>
        </w:rPr>
        <w:t xml:space="preserve">Saber é Poder?</w:t>
      </w:r>
      <w:r>
        <w:rPr>
          <w:rFonts w:ascii="Times New Roman" w:hAnsi="Times New Roman" w:cs="Times New Roman" w:eastAsia="Times New Roman"/>
          <w:color w:val="auto"/>
          <w:spacing w:val="0"/>
          <w:position w:val="0"/>
          <w:sz w:val="24"/>
          <w:shd w:fill="auto" w:val="clear"/>
        </w:rPr>
        <w:t xml:space="preserve"> A psicologia do trabalho e os modos operatórios de educadores de educação profissional em cursos livres. 2008. 275f. Tese (Doutorado) - Universidade Federal de Minas Gerais, Programa de Pós-Graduação da Faculdade de Educação, Belo Horizonte.</w:t>
      </w: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FONSECA, Tania Mara Galli. (Re)Produzindo mulheres trabalhadoras. In: FONSECA, Tania Mara Galli. </w:t>
      </w:r>
      <w:r>
        <w:rPr>
          <w:rFonts w:ascii="Times New Roman" w:hAnsi="Times New Roman" w:cs="Times New Roman" w:eastAsia="Times New Roman"/>
          <w:b/>
          <w:color w:val="auto"/>
          <w:spacing w:val="0"/>
          <w:position w:val="0"/>
          <w:sz w:val="24"/>
          <w:shd w:fill="auto" w:val="clear"/>
        </w:rPr>
        <w:t xml:space="preserve">Gênero, subjetividade e trabalho.</w:t>
      </w:r>
      <w:r>
        <w:rPr>
          <w:rFonts w:ascii="Times New Roman" w:hAnsi="Times New Roman" w:cs="Times New Roman" w:eastAsia="Times New Roman"/>
          <w:color w:val="auto"/>
          <w:spacing w:val="0"/>
          <w:position w:val="0"/>
          <w:sz w:val="24"/>
          <w:shd w:fill="auto" w:val="clear"/>
        </w:rPr>
        <w:t xml:space="preserve"> Petrópolis, Rio de Janeiro: Vozes, 2000. p. 87-119.</w:t>
      </w: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GOFFMAN, Erving. </w:t>
      </w:r>
      <w:r>
        <w:rPr>
          <w:rFonts w:ascii="Times New Roman" w:hAnsi="Times New Roman" w:cs="Times New Roman" w:eastAsia="Times New Roman"/>
          <w:b/>
          <w:color w:val="auto"/>
          <w:spacing w:val="0"/>
          <w:position w:val="0"/>
          <w:sz w:val="24"/>
          <w:shd w:fill="auto" w:val="clear"/>
        </w:rPr>
        <w:t xml:space="preserve">Estigma:</w:t>
      </w:r>
      <w:r>
        <w:rPr>
          <w:rFonts w:ascii="Times New Roman" w:hAnsi="Times New Roman" w:cs="Times New Roman" w:eastAsia="Times New Roman"/>
          <w:color w:val="auto"/>
          <w:spacing w:val="0"/>
          <w:position w:val="0"/>
          <w:sz w:val="24"/>
          <w:shd w:fill="auto" w:val="clear"/>
        </w:rPr>
        <w:t xml:space="preserve"> notas sobre a manipulação da identidade deteriorada. 4ª ed. Rio de Janeiro: LTC - Livros Técnicos e Científicos, 1988.</w:t>
      </w:r>
    </w:p>
    <w:p>
      <w:pPr>
        <w:tabs>
          <w:tab w:val="left" w:pos="288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HIRATA, Helena; KERGOAT, Daniele. Novas configurações da divisão sexual do trabalho. </w:t>
      </w:r>
      <w:r>
        <w:rPr>
          <w:rFonts w:ascii="Times New Roman" w:hAnsi="Times New Roman" w:cs="Times New Roman" w:eastAsia="Times New Roman"/>
          <w:b/>
          <w:color w:val="auto"/>
          <w:spacing w:val="0"/>
          <w:position w:val="0"/>
          <w:sz w:val="24"/>
          <w:shd w:fill="auto" w:val="clear"/>
        </w:rPr>
        <w:t xml:space="preserve">Cadernos de Pesquisa</w:t>
      </w:r>
      <w:r>
        <w:rPr>
          <w:rFonts w:ascii="Times New Roman" w:hAnsi="Times New Roman" w:cs="Times New Roman" w:eastAsia="Times New Roman"/>
          <w:color w:val="auto"/>
          <w:spacing w:val="0"/>
          <w:position w:val="0"/>
          <w:sz w:val="24"/>
          <w:shd w:fill="auto" w:val="clear"/>
        </w:rPr>
        <w:t xml:space="preserve">,  São Paulo, v. 37, n. 132. p. 595-609, set/dez. 2007. Disponível em: &lt;</w:t>
      </w:r>
      <w:hyperlink xmlns:r="http://schemas.openxmlformats.org/officeDocument/2006/relationships" r:id="docRId185">
        <w:r>
          <w:rPr>
            <w:rFonts w:ascii="Times New Roman" w:hAnsi="Times New Roman" w:cs="Times New Roman" w:eastAsia="Times New Roman"/>
            <w:color w:val="0000FF"/>
            <w:spacing w:val="0"/>
            <w:position w:val="0"/>
            <w:sz w:val="24"/>
            <w:u w:val="single"/>
            <w:shd w:fill="auto" w:val="clear"/>
          </w:rPr>
          <w:t xml:space="preserve">http://www.scielo.br/pdf/cp/v37n132/a0537132.pdf</w:t>
        </w:r>
      </w:hyperlink>
      <w:r>
        <w:rPr>
          <w:rFonts w:ascii="Times New Roman" w:hAnsi="Times New Roman" w:cs="Times New Roman" w:eastAsia="Times New Roman"/>
          <w:color w:val="auto"/>
          <w:spacing w:val="0"/>
          <w:position w:val="0"/>
          <w:sz w:val="24"/>
          <w:shd w:fill="auto" w:val="clear"/>
        </w:rPr>
        <w:t xml:space="preserve">&gt;. Acesso em: 23 out. 2009.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JAQUES, Maria da Graça Corrêa. Identidade e Trabalho: uma articulação indispensável. In: TAMAYO, A.; BORGES-ANDRADE, J; CODO, W. (Orgs.). </w:t>
      </w:r>
      <w:r>
        <w:rPr>
          <w:rFonts w:ascii="Times New Roman" w:hAnsi="Times New Roman" w:cs="Times New Roman" w:eastAsia="Times New Roman"/>
          <w:b/>
          <w:color w:val="auto"/>
          <w:spacing w:val="0"/>
          <w:position w:val="0"/>
          <w:sz w:val="24"/>
          <w:shd w:fill="auto" w:val="clear"/>
        </w:rPr>
        <w:t xml:space="preserve">Trabalho, Organizações e Cultura</w:t>
      </w:r>
      <w:r>
        <w:rPr>
          <w:rFonts w:ascii="Times New Roman" w:hAnsi="Times New Roman" w:cs="Times New Roman" w:eastAsia="Times New Roman"/>
          <w:color w:val="auto"/>
          <w:spacing w:val="0"/>
          <w:position w:val="0"/>
          <w:sz w:val="24"/>
          <w:shd w:fill="auto" w:val="clear"/>
        </w:rPr>
        <w:t xml:space="preserve">. São Paulo: Cooperativa de Autores Associados, 1996. p. 21-26.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GUILLANT, Louis; LIMA, Maria Elizabeth Antunes. </w:t>
      </w:r>
      <w:r>
        <w:rPr>
          <w:rFonts w:ascii="Times New Roman" w:hAnsi="Times New Roman" w:cs="Times New Roman" w:eastAsia="Times New Roman"/>
          <w:b/>
          <w:color w:val="auto"/>
          <w:spacing w:val="0"/>
          <w:position w:val="0"/>
          <w:sz w:val="24"/>
          <w:shd w:fill="auto" w:val="clear"/>
        </w:rPr>
        <w:t xml:space="preserve">Escritos de Louis Le Guillant:</w:t>
      </w:r>
      <w:r>
        <w:rPr>
          <w:rFonts w:ascii="Times New Roman" w:hAnsi="Times New Roman" w:cs="Times New Roman" w:eastAsia="Times New Roman"/>
          <w:color w:val="auto"/>
          <w:spacing w:val="0"/>
          <w:position w:val="0"/>
          <w:sz w:val="24"/>
          <w:shd w:fill="auto" w:val="clear"/>
        </w:rPr>
        <w:t xml:space="preserve"> da ergoterapia à psicopatologia do trabalho. Petrópolis: Vozes, 2006.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LIMA, Maria Elizabeth Antunes; ASSUNÇÃO, Ada Ávila; FRANCISCO, João Manuel Saveia Daniel. Aprisionado pelos ponteiros de um relógio: o caso de um transtorno mental desencadeado no trabalho. In: JACQUES, Maria da Graça Corrêa; CODO, Wanderley. </w:t>
      </w:r>
      <w:r>
        <w:rPr>
          <w:rFonts w:ascii="Times New Roman" w:hAnsi="Times New Roman" w:cs="Times New Roman" w:eastAsia="Times New Roman"/>
          <w:b/>
          <w:color w:val="auto"/>
          <w:spacing w:val="0"/>
          <w:position w:val="0"/>
          <w:sz w:val="24"/>
          <w:shd w:fill="auto" w:val="clear"/>
        </w:rPr>
        <w:t xml:space="preserve">Saúde mental e trabalho: </w:t>
      </w:r>
      <w:r>
        <w:rPr>
          <w:rFonts w:ascii="Times New Roman" w:hAnsi="Times New Roman" w:cs="Times New Roman" w:eastAsia="Times New Roman"/>
          <w:color w:val="auto"/>
          <w:spacing w:val="0"/>
          <w:position w:val="0"/>
          <w:sz w:val="24"/>
          <w:shd w:fill="auto" w:val="clear"/>
        </w:rPr>
        <w:t xml:space="preserve">leituras. Petrópolis: Vozes, 2002. p. 209-246.</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MACHADO, Marília Novais da Mata. </w:t>
      </w:r>
      <w:r>
        <w:rPr>
          <w:rFonts w:ascii="Times New Roman" w:hAnsi="Times New Roman" w:cs="Times New Roman" w:eastAsia="Times New Roman"/>
          <w:b/>
          <w:color w:val="auto"/>
          <w:spacing w:val="0"/>
          <w:position w:val="0"/>
          <w:sz w:val="24"/>
          <w:shd w:fill="auto" w:val="clear"/>
        </w:rPr>
        <w:t xml:space="preserve">Entrevista de pesquisa:</w:t>
      </w:r>
      <w:r>
        <w:rPr>
          <w:rFonts w:ascii="Times New Roman" w:hAnsi="Times New Roman" w:cs="Times New Roman" w:eastAsia="Times New Roman"/>
          <w:color w:val="auto"/>
          <w:spacing w:val="0"/>
          <w:position w:val="0"/>
          <w:sz w:val="24"/>
          <w:shd w:fill="auto" w:val="clear"/>
        </w:rPr>
        <w:t xml:space="preserve"> a interação pesquisador/ entrevistado. Belo Horizonte: C/Arte, 2002.</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MELLO, Liliana. A UEM aposta em programas de prevenção: a universidade mantém dois programas de atendimento aos dependentes químicos. </w:t>
      </w:r>
      <w:r>
        <w:rPr>
          <w:rFonts w:ascii="Times New Roman" w:hAnsi="Times New Roman" w:cs="Times New Roman" w:eastAsia="Times New Roman"/>
          <w:b/>
          <w:color w:val="auto"/>
          <w:spacing w:val="0"/>
          <w:position w:val="0"/>
          <w:sz w:val="24"/>
          <w:shd w:fill="auto" w:val="clear"/>
        </w:rPr>
        <w:t xml:space="preserve">Jornal da UEM on line</w:t>
      </w:r>
      <w:r>
        <w:rPr>
          <w:rFonts w:ascii="Times New Roman" w:hAnsi="Times New Roman" w:cs="Times New Roman" w:eastAsia="Times New Roman"/>
          <w:color w:val="auto"/>
          <w:spacing w:val="0"/>
          <w:position w:val="0"/>
          <w:sz w:val="24"/>
          <w:shd w:fill="auto" w:val="clear"/>
        </w:rPr>
        <w:t xml:space="preserve">, Maringá, junho. 2009. Disponível em: &lt;</w:t>
      </w:r>
      <w:hyperlink xmlns:r="http://schemas.openxmlformats.org/officeDocument/2006/relationships" r:id="docRId186">
        <w:r>
          <w:rPr>
            <w:rFonts w:ascii="Times New Roman" w:hAnsi="Times New Roman" w:cs="Times New Roman" w:eastAsia="Times New Roman"/>
            <w:color w:val="0000FF"/>
            <w:spacing w:val="0"/>
            <w:position w:val="0"/>
            <w:sz w:val="24"/>
            <w:u w:val="single"/>
            <w:shd w:fill="auto" w:val="clear"/>
          </w:rPr>
          <w:t xml:space="preserve">http://www.jornal.uem.br/cms/index.php?option=com_content</w:t>
        </w:r>
        <w:r>
          <w:rPr>
            <w:rFonts w:ascii="Times New Roman" w:hAnsi="Times New Roman" w:cs="Times New Roman" w:eastAsia="Times New Roman"/>
            <w:vanish/>
            <w:color w:val="0000FF"/>
            <w:spacing w:val="0"/>
            <w:position w:val="0"/>
            <w:sz w:val="24"/>
            <w:u w:val="single"/>
            <w:shd w:fill="auto" w:val="clear"/>
          </w:rPr>
          <w:t xml:space="preserve">HYPERLINK "http://www.jornal.uem.br/cms/index.php?option=com_content&amp;task=view&amp;id=223&amp;Itemid=2"</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"http://www.jornal.uem.br/cms/index.php?option=com_content&amp;task=view&amp;id=223&amp;Itemid=2"</w:t>
        </w:r>
        <w:r>
          <w:rPr>
            <w:rFonts w:ascii="Times New Roman" w:hAnsi="Times New Roman" w:cs="Times New Roman" w:eastAsia="Times New Roman"/>
            <w:color w:val="0000FF"/>
            <w:spacing w:val="0"/>
            <w:position w:val="0"/>
            <w:sz w:val="24"/>
            <w:u w:val="single"/>
            <w:shd w:fill="auto" w:val="clear"/>
          </w:rPr>
          <w:t xml:space="preserve">task=view</w:t>
        </w:r>
        <w:r>
          <w:rPr>
            <w:rFonts w:ascii="Times New Roman" w:hAnsi="Times New Roman" w:cs="Times New Roman" w:eastAsia="Times New Roman"/>
            <w:vanish/>
            <w:color w:val="0000FF"/>
            <w:spacing w:val="0"/>
            <w:position w:val="0"/>
            <w:sz w:val="24"/>
            <w:u w:val="single"/>
            <w:shd w:fill="auto" w:val="clear"/>
          </w:rPr>
          <w:t xml:space="preserve">HYPERLINK "http://www.jornal.uem.br/cms/index.php?option=com_content&amp;task=view&amp;id=223&amp;Itemid=2"</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"http://www.jornal.uem.br/cms/index.php?option=com_content&amp;task=view&amp;id=223&amp;Itemid=2"</w:t>
        </w:r>
        <w:r>
          <w:rPr>
            <w:rFonts w:ascii="Times New Roman" w:hAnsi="Times New Roman" w:cs="Times New Roman" w:eastAsia="Times New Roman"/>
            <w:color w:val="0000FF"/>
            <w:spacing w:val="0"/>
            <w:position w:val="0"/>
            <w:sz w:val="24"/>
            <w:u w:val="single"/>
            <w:shd w:fill="auto" w:val="clear"/>
          </w:rPr>
          <w:t xml:space="preserve">id=223</w:t>
        </w:r>
        <w:r>
          <w:rPr>
            <w:rFonts w:ascii="Times New Roman" w:hAnsi="Times New Roman" w:cs="Times New Roman" w:eastAsia="Times New Roman"/>
            <w:vanish/>
            <w:color w:val="0000FF"/>
            <w:spacing w:val="0"/>
            <w:position w:val="0"/>
            <w:sz w:val="24"/>
            <w:u w:val="single"/>
            <w:shd w:fill="auto" w:val="clear"/>
          </w:rPr>
          <w:t xml:space="preserve">HYPERLINK "http://www.jornal.uem.br/cms/index.php?option=com_content&amp;task=view&amp;id=223&amp;Itemid=2"</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"http://www.jornal.uem.br/cms/index.php?option=com_content&amp;task=view&amp;id=223&amp;Itemid=2"</w:t>
        </w:r>
        <w:r>
          <w:rPr>
            <w:rFonts w:ascii="Times New Roman" w:hAnsi="Times New Roman" w:cs="Times New Roman" w:eastAsia="Times New Roman"/>
            <w:color w:val="0000FF"/>
            <w:spacing w:val="0"/>
            <w:position w:val="0"/>
            <w:sz w:val="24"/>
            <w:u w:val="single"/>
            <w:shd w:fill="auto" w:val="clear"/>
          </w:rPr>
          <w:t xml:space="preserve">Itemid=2</w:t>
        </w:r>
      </w:hyperlink>
      <w:r>
        <w:rPr>
          <w:rFonts w:ascii="Times New Roman" w:hAnsi="Times New Roman" w:cs="Times New Roman" w:eastAsia="Times New Roman"/>
          <w:color w:val="auto"/>
          <w:spacing w:val="0"/>
          <w:position w:val="0"/>
          <w:sz w:val="24"/>
          <w:shd w:fill="auto" w:val="clear"/>
        </w:rPr>
        <w:t xml:space="preserve">&gt; Acesso em: 02 out. 2009.</w:t>
      </w: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PERRELLI, Marly Terezinha; TONELI, Maria Juracy Figueiras. Mulheres do petróleo: sentidos atribuídos por homens e mulheres a tarefas tradicionalmente consideradas masculinas.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Psicologia Argumento.</w:t>
      </w:r>
      <w:r>
        <w:rPr>
          <w:rFonts w:ascii="Times New Roman" w:hAnsi="Times New Roman" w:cs="Times New Roman" w:eastAsia="Times New Roman"/>
          <w:color w:val="auto"/>
          <w:spacing w:val="0"/>
          <w:position w:val="0"/>
          <w:sz w:val="24"/>
          <w:shd w:fill="auto" w:val="clear"/>
        </w:rPr>
        <w:t xml:space="preserve"> Curitiba, v.24, n.46. p. 31-38, jul./set. 2006. Disponível em: </w:t>
      </w:r>
      <w:r>
        <w:rPr>
          <w:rFonts w:ascii="Times New Roman" w:hAnsi="Times New Roman" w:cs="Times New Roman" w:eastAsia="Times New Roman"/>
          <w:i/>
          <w:color w:val="auto"/>
          <w:spacing w:val="0"/>
          <w:position w:val="0"/>
          <w:sz w:val="24"/>
          <w:shd w:fill="auto" w:val="clear"/>
        </w:rPr>
        <w:t xml:space="preserve">&lt;</w:t>
      </w:r>
      <w:hyperlink xmlns:r="http://schemas.openxmlformats.org/officeDocument/2006/relationships" r:id="docRId187">
        <w:r>
          <w:rPr>
            <w:rFonts w:ascii="Times New Roman" w:hAnsi="Times New Roman" w:cs="Times New Roman" w:eastAsia="Times New Roman"/>
            <w:color w:val="0000FF"/>
            <w:spacing w:val="0"/>
            <w:position w:val="0"/>
            <w:sz w:val="24"/>
            <w:u w:val="single"/>
            <w:shd w:fill="auto" w:val="clear"/>
          </w:rPr>
          <w:t xml:space="preserve">http://www2.pucpr.br/reol/index.php/PA?dd1=447</w:t>
        </w:r>
        <w:r>
          <w:rPr>
            <w:rFonts w:ascii="Times New Roman" w:hAnsi="Times New Roman" w:cs="Times New Roman" w:eastAsia="Times New Roman"/>
            <w:vanish/>
            <w:color w:val="0000FF"/>
            <w:spacing w:val="0"/>
            <w:position w:val="0"/>
            <w:sz w:val="24"/>
            <w:u w:val="single"/>
            <w:shd w:fill="auto" w:val="clear"/>
          </w:rPr>
          <w:t xml:space="preserve">HYPERLINK "http://www2.pucpr.br/reol/index.php/PA?dd1=447&amp;dd99=view"</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"http://www2.pucpr.br/reol/index.php/PA?dd1=447&amp;dd99=view"</w:t>
        </w:r>
        <w:r>
          <w:rPr>
            <w:rFonts w:ascii="Times New Roman" w:hAnsi="Times New Roman" w:cs="Times New Roman" w:eastAsia="Times New Roman"/>
            <w:color w:val="0000FF"/>
            <w:spacing w:val="0"/>
            <w:position w:val="0"/>
            <w:sz w:val="24"/>
            <w:u w:val="single"/>
            <w:shd w:fill="auto" w:val="clear"/>
          </w:rPr>
          <w:t xml:space="preserve">dd99=view</w:t>
        </w:r>
      </w:hyperlink>
      <w:r>
        <w:rPr>
          <w:rFonts w:ascii="Times New Roman" w:hAnsi="Times New Roman" w:cs="Times New Roman" w:eastAsia="Times New Roman"/>
          <w:color w:val="auto"/>
          <w:spacing w:val="0"/>
          <w:position w:val="0"/>
          <w:sz w:val="24"/>
          <w:shd w:fill="auto" w:val="clear"/>
        </w:rPr>
        <w:t xml:space="preserve">&gt; Acesso em: 30. set. 2009.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PRADO, Marco Aurélio Máximo; MACHADO, Frederico Viana. Preconceito, invisibilidades e manutenção das hierarquias sociais. In: </w:t>
      </w:r>
      <w:r>
        <w:rPr>
          <w:rFonts w:ascii="Times New Roman" w:hAnsi="Times New Roman" w:cs="Times New Roman" w:eastAsia="Times New Roman"/>
          <w:b/>
          <w:color w:val="auto"/>
          <w:spacing w:val="0"/>
          <w:position w:val="0"/>
          <w:sz w:val="24"/>
          <w:shd w:fill="auto" w:val="clear"/>
        </w:rPr>
        <w:t xml:space="preserve">Preconceitos contra homossexualidades:</w:t>
      </w:r>
      <w:r>
        <w:rPr>
          <w:rFonts w:ascii="Times New Roman" w:hAnsi="Times New Roman" w:cs="Times New Roman" w:eastAsia="Times New Roman"/>
          <w:color w:val="auto"/>
          <w:spacing w:val="0"/>
          <w:position w:val="0"/>
          <w:sz w:val="24"/>
          <w:shd w:fill="auto" w:val="clear"/>
        </w:rPr>
        <w:t xml:space="preserve"> a hierarquia da invisibilidade. São Paulo: Cortez, 2008. p. 67-82.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QUEIROZ, Isabela Saraiva de. </w:t>
      </w:r>
      <w:r>
        <w:rPr>
          <w:rFonts w:ascii="Times New Roman" w:hAnsi="Times New Roman" w:cs="Times New Roman" w:eastAsia="Times New Roman"/>
          <w:b/>
          <w:color w:val="auto"/>
          <w:spacing w:val="0"/>
          <w:position w:val="0"/>
          <w:sz w:val="24"/>
          <w:shd w:fill="auto" w:val="clear"/>
        </w:rPr>
        <w:t xml:space="preserve">Uso abusivo de drogas:</w:t>
      </w:r>
      <w:r>
        <w:rPr>
          <w:rFonts w:ascii="Times New Roman" w:hAnsi="Times New Roman" w:cs="Times New Roman" w:eastAsia="Times New Roman"/>
          <w:color w:val="auto"/>
          <w:spacing w:val="0"/>
          <w:position w:val="0"/>
          <w:sz w:val="24"/>
          <w:shd w:fill="auto" w:val="clear"/>
        </w:rPr>
        <w:t xml:space="preserve"> do escoamento ao desejo de saber. Belo Horizonte: MIMEO.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SAWAIA, Bader Burihan. O sofrimento ético-politico como categoria de análise da dialética exclusão/inclusão. In: SAWAIA, Bader Burihan (Org.). </w:t>
      </w:r>
      <w:r>
        <w:rPr>
          <w:rFonts w:ascii="Times New Roman" w:hAnsi="Times New Roman" w:cs="Times New Roman" w:eastAsia="Times New Roman"/>
          <w:b/>
          <w:color w:val="auto"/>
          <w:spacing w:val="0"/>
          <w:position w:val="0"/>
          <w:sz w:val="24"/>
          <w:shd w:fill="auto" w:val="clear"/>
        </w:rPr>
        <w:t xml:space="preserve">As artimanhas da exclusão:</w:t>
      </w:r>
      <w:r>
        <w:rPr>
          <w:rFonts w:ascii="Times New Roman" w:hAnsi="Times New Roman" w:cs="Times New Roman" w:eastAsia="Times New Roman"/>
          <w:color w:val="auto"/>
          <w:spacing w:val="0"/>
          <w:position w:val="0"/>
          <w:sz w:val="24"/>
          <w:shd w:fill="auto" w:val="clear"/>
        </w:rPr>
        <w:t xml:space="preserve"> análise psicossocial e ética da desigualdade social. 8ª ed. Petrópolis: Vozes, 2008. p. 98-127.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O enigma da igualdade. </w:t>
      </w:r>
      <w:r>
        <w:rPr>
          <w:rFonts w:ascii="Times New Roman" w:hAnsi="Times New Roman" w:cs="Times New Roman" w:eastAsia="Times New Roman"/>
          <w:b/>
          <w:color w:val="auto"/>
          <w:spacing w:val="0"/>
          <w:position w:val="0"/>
          <w:sz w:val="24"/>
          <w:shd w:fill="auto" w:val="clear"/>
        </w:rPr>
        <w:t xml:space="preserve">Estudos Feministas</w:t>
      </w:r>
      <w:r>
        <w:rPr>
          <w:rFonts w:ascii="Times New Roman" w:hAnsi="Times New Roman" w:cs="Times New Roman" w:eastAsia="Times New Roman"/>
          <w:color w:val="auto"/>
          <w:spacing w:val="0"/>
          <w:position w:val="0"/>
          <w:sz w:val="24"/>
          <w:shd w:fill="auto" w:val="clear"/>
        </w:rPr>
        <w:t xml:space="preserve">, Florianópolis, ano 13, v.1, n. 216, p. 11-30, jan-abr, 2005.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Gênero: uma categoria útil para a análise histórica. </w:t>
      </w:r>
      <w:r>
        <w:rPr>
          <w:rFonts w:ascii="Times New Roman" w:hAnsi="Times New Roman" w:cs="Times New Roman" w:eastAsia="Times New Roman"/>
          <w:b/>
          <w:color w:val="auto"/>
          <w:spacing w:val="0"/>
          <w:position w:val="0"/>
          <w:sz w:val="24"/>
          <w:shd w:fill="auto" w:val="clear"/>
        </w:rPr>
        <w:t xml:space="preserve">Educação e Realidade</w:t>
      </w:r>
      <w:r>
        <w:rPr>
          <w:rFonts w:ascii="Times New Roman" w:hAnsi="Times New Roman" w:cs="Times New Roman" w:eastAsia="Times New Roman"/>
          <w:color w:val="auto"/>
          <w:spacing w:val="0"/>
          <w:position w:val="0"/>
          <w:sz w:val="24"/>
          <w:shd w:fill="auto" w:val="clear"/>
        </w:rPr>
        <w:t xml:space="preserve">, Porto Alegre, v.20, n.2. p. 71-99. jul/dez 1995. Disponível em:</w:t>
      </w:r>
      <w:r>
        <w:rPr>
          <w:rFonts w:ascii="Times New Roman" w:hAnsi="Times New Roman" w:cs="Times New Roman" w:eastAsia="Times New Roman"/>
          <w:i/>
          <w:color w:val="auto"/>
          <w:spacing w:val="0"/>
          <w:position w:val="0"/>
          <w:sz w:val="24"/>
          <w:shd w:fill="auto" w:val="clear"/>
        </w:rPr>
        <w:t xml:space="preserve"> &lt;</w:t>
      </w:r>
      <w:hyperlink xmlns:r="http://schemas.openxmlformats.org/officeDocument/2006/relationships" r:id="docRId188">
        <w:r>
          <w:rPr>
            <w:rFonts w:ascii="Times New Roman" w:hAnsi="Times New Roman" w:cs="Times New Roman" w:eastAsia="Times New Roman"/>
            <w:color w:val="0000FF"/>
            <w:spacing w:val="0"/>
            <w:position w:val="0"/>
            <w:sz w:val="24"/>
            <w:u w:val="single"/>
            <w:shd w:fill="auto" w:val="clear"/>
          </w:rPr>
          <w:t xml:space="preserve">http://scholar.google.com.br/scholar?start=0</w:t>
        </w:r>
        <w:r>
          <w:rPr>
            <w:rFonts w:ascii="Times New Roman" w:hAnsi="Times New Roman" w:cs="Times New Roman" w:eastAsia="Times New Roman"/>
            <w:vanish/>
            <w:color w:val="0000FF"/>
            <w:spacing w:val="0"/>
            <w:position w:val="0"/>
            <w:sz w:val="24"/>
            <w:u w:val="single"/>
            <w:shd w:fill="auto" w:val="clear"/>
          </w:rPr>
          <w:t xml:space="preserve">HYPERLINK "http://scholar.google.com.br/scholar?start=0&amp;q=author:"</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"http://scholar.google.com.br/scholar?start=0&amp;q=author:"</w:t>
        </w:r>
        <w:r>
          <w:rPr>
            <w:rFonts w:ascii="Times New Roman" w:hAnsi="Times New Roman" w:cs="Times New Roman" w:eastAsia="Times New Roman"/>
            <w:color w:val="0000FF"/>
            <w:spacing w:val="0"/>
            <w:position w:val="0"/>
            <w:sz w:val="24"/>
            <w:u w:val="single"/>
            <w:shd w:fill="auto" w:val="clear"/>
          </w:rPr>
          <w:t xml:space="preserve">q=author:%22Scott%22+intitle:%22G%C3%AAnero:+uma+categoria+%C3%BAtil+de+an%C3%A1lise+hist%C3%B3rica%22+</w:t>
        </w:r>
        <w:r>
          <w:rPr>
            <w:rFonts w:ascii="Times New Roman" w:hAnsi="Times New Roman" w:cs="Times New Roman" w:eastAsia="Times New Roman"/>
            <w:vanish/>
            <w:color w:val="0000FF"/>
            <w:spacing w:val="0"/>
            <w:position w:val="0"/>
            <w:sz w:val="24"/>
            <w:u w:val="single"/>
            <w:shd w:fill="auto" w:val="clear"/>
          </w:rPr>
          <w:t xml:space="preserve">HYPERLINK "http://scholar.google.com.br/scholar?start=0&amp;q=author:"</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"http://scholar.google.com.br/scholar?start=0&amp;q=author:"</w:t>
        </w:r>
        <w:r>
          <w:rPr>
            <w:rFonts w:ascii="Times New Roman" w:hAnsi="Times New Roman" w:cs="Times New Roman" w:eastAsia="Times New Roman"/>
            <w:color w:val="0000FF"/>
            <w:spacing w:val="0"/>
            <w:position w:val="0"/>
            <w:sz w:val="24"/>
            <w:u w:val="single"/>
            <w:shd w:fill="auto" w:val="clear"/>
          </w:rPr>
          <w:t xml:space="preserve">hl=pt-BR</w:t>
        </w:r>
      </w:hyperlink>
      <w:r>
        <w:rPr>
          <w:rFonts w:ascii="Times New Roman" w:hAnsi="Times New Roman" w:cs="Times New Roman" w:eastAsia="Times New Roman"/>
          <w:i/>
          <w:color w:val="auto"/>
          <w:spacing w:val="0"/>
          <w:position w:val="0"/>
          <w:sz w:val="24"/>
          <w:shd w:fill="auto" w:val="clear"/>
        </w:rPr>
        <w:t xml:space="preserve">&gt; </w:t>
      </w:r>
      <w:r>
        <w:rPr>
          <w:rFonts w:ascii="Times New Roman" w:hAnsi="Times New Roman" w:cs="Times New Roman" w:eastAsia="Times New Roman"/>
          <w:color w:val="auto"/>
          <w:spacing w:val="0"/>
          <w:position w:val="0"/>
          <w:sz w:val="24"/>
          <w:shd w:fill="auto" w:val="clear"/>
        </w:rPr>
        <w:t xml:space="preserve">Acesso em: 18 set. 2009.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Fabiana Barggiona de Oliveira e. </w:t>
      </w:r>
      <w:r>
        <w:rPr>
          <w:rFonts w:ascii="Times New Roman" w:hAnsi="Times New Roman" w:cs="Times New Roman" w:eastAsia="Times New Roman"/>
          <w:b/>
          <w:color w:val="auto"/>
          <w:spacing w:val="0"/>
          <w:position w:val="0"/>
          <w:sz w:val="24"/>
          <w:shd w:fill="auto" w:val="clear"/>
        </w:rPr>
        <w:t xml:space="preserve">A relação entre o uso do álcool e o trabalho na construção civil</w:t>
      </w:r>
      <w:r>
        <w:rPr>
          <w:rFonts w:ascii="Times New Roman" w:hAnsi="Times New Roman" w:cs="Times New Roman" w:eastAsia="Times New Roman"/>
          <w:color w:val="auto"/>
          <w:spacing w:val="0"/>
          <w:position w:val="0"/>
          <w:sz w:val="24"/>
          <w:shd w:fill="auto" w:val="clear"/>
        </w:rPr>
        <w:t xml:space="preserve">. 2006. 187f. Dissertação (Mestrado em Psicologia Social) – Universidade Federal de Minas Gerais, Belo Horizonte.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SISSA, Giulia. As quebradoras da inquietação. In: SISSA, Giulia. </w:t>
      </w:r>
      <w:r>
        <w:rPr>
          <w:rFonts w:ascii="Times New Roman" w:hAnsi="Times New Roman" w:cs="Times New Roman" w:eastAsia="Times New Roman"/>
          <w:b/>
          <w:color w:val="auto"/>
          <w:spacing w:val="0"/>
          <w:position w:val="0"/>
          <w:sz w:val="24"/>
          <w:shd w:fill="auto" w:val="clear"/>
        </w:rPr>
        <w:t xml:space="preserve">O prazer e o mal:</w:t>
      </w:r>
      <w:r>
        <w:rPr>
          <w:rFonts w:ascii="Times New Roman" w:hAnsi="Times New Roman" w:cs="Times New Roman" w:eastAsia="Times New Roman"/>
          <w:color w:val="auto"/>
          <w:spacing w:val="0"/>
          <w:position w:val="0"/>
          <w:sz w:val="24"/>
          <w:shd w:fill="auto" w:val="clear"/>
        </w:rPr>
        <w:t xml:space="preserve"> filosofia da droga. Rio de Janeiro: Civilização Brasileira, 1999. p. 7-14.</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SOARES, Luiz Eduardo. Juventude e violência no Brasil contemporâneo. In: NOVAES, Regina; VANNUCHI, Paulo. </w:t>
      </w:r>
      <w:r>
        <w:rPr>
          <w:rFonts w:ascii="Times New Roman" w:hAnsi="Times New Roman" w:cs="Times New Roman" w:eastAsia="Times New Roman"/>
          <w:b/>
          <w:color w:val="auto"/>
          <w:spacing w:val="0"/>
          <w:position w:val="0"/>
          <w:sz w:val="24"/>
          <w:shd w:fill="auto" w:val="clear"/>
        </w:rPr>
        <w:t xml:space="preserve">Juventude e sociedade: </w:t>
      </w:r>
      <w:r>
        <w:rPr>
          <w:rFonts w:ascii="Times New Roman" w:hAnsi="Times New Roman" w:cs="Times New Roman" w:eastAsia="Times New Roman"/>
          <w:color w:val="auto"/>
          <w:spacing w:val="0"/>
          <w:position w:val="0"/>
          <w:sz w:val="24"/>
          <w:shd w:fill="auto" w:val="clear"/>
        </w:rPr>
        <w:t xml:space="preserve">trabalho, educação, cultura e participação. São Paulo: Fundação Perseu Abramo, 2004. p. 130-159.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VELHO, Gilberto. Drogas e construção da realidade. In: BAPTISTA, Marcos; INEM, Clara (Org.). </w:t>
      </w:r>
      <w:r>
        <w:rPr>
          <w:rFonts w:ascii="Times New Roman" w:hAnsi="Times New Roman" w:cs="Times New Roman" w:eastAsia="Times New Roman"/>
          <w:b/>
          <w:color w:val="auto"/>
          <w:spacing w:val="0"/>
          <w:position w:val="0"/>
          <w:sz w:val="24"/>
          <w:shd w:fill="auto" w:val="clear"/>
        </w:rPr>
        <w:t xml:space="preserve">Toxicomania</w:t>
      </w:r>
      <w:r>
        <w:rPr>
          <w:rFonts w:ascii="Times New Roman" w:hAnsi="Times New Roman" w:cs="Times New Roman" w:eastAsia="Times New Roman"/>
          <w:color w:val="auto"/>
          <w:spacing w:val="0"/>
          <w:position w:val="0"/>
          <w:sz w:val="24"/>
          <w:shd w:fill="auto" w:val="clear"/>
        </w:rPr>
        <w:t xml:space="preserve">: uma abordagem multidisciplinar. Rio de Janeiro: NEPAD/UERJ; Sette Letras, 1997. p. 9-13.</w:t>
      </w:r>
    </w:p>
    <w:p>
      <w:pPr>
        <w:suppressAutoHyphens w:val="true"/>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VIEGAS, Sônia. </w:t>
      </w:r>
      <w:r>
        <w:rPr>
          <w:rFonts w:ascii="Times New Roman" w:hAnsi="Times New Roman" w:cs="Times New Roman" w:eastAsia="Times New Roman"/>
          <w:b/>
          <w:color w:val="auto"/>
          <w:spacing w:val="0"/>
          <w:position w:val="0"/>
          <w:sz w:val="24"/>
          <w:shd w:fill="auto" w:val="clear"/>
        </w:rPr>
        <w:t xml:space="preserve">Trabalho e vida</w:t>
      </w:r>
      <w:r>
        <w:rPr>
          <w:rFonts w:ascii="Times New Roman" w:hAnsi="Times New Roman" w:cs="Times New Roman" w:eastAsia="Times New Roman"/>
          <w:color w:val="auto"/>
          <w:spacing w:val="0"/>
          <w:position w:val="0"/>
          <w:sz w:val="24"/>
          <w:shd w:fill="auto" w:val="clear"/>
        </w:rPr>
        <w:t xml:space="preserve">. In: Conferência pronunciada para os profissionais do Centro de Reabilitação Profissional do INSS-BH. 1989. Belo Horizonte: MIMEO.</w:t>
      </w: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VIEIRA, Carlos Eduardo Carrusca. O nexo causal entre transtorno de estresse-pós-traumático e trabalho: controvérsias acerca do laudo de uma perícia judicial. </w:t>
      </w:r>
      <w:r>
        <w:rPr>
          <w:rFonts w:ascii="Times New Roman" w:hAnsi="Times New Roman" w:cs="Times New Roman" w:eastAsia="Times New Roman"/>
          <w:b/>
          <w:color w:val="auto"/>
          <w:spacing w:val="0"/>
          <w:position w:val="0"/>
          <w:sz w:val="24"/>
          <w:shd w:fill="auto" w:val="clear"/>
        </w:rPr>
        <w:t xml:space="preserve">Revista Brasileira de Saúde Ocupacional,</w:t>
      </w:r>
      <w:r>
        <w:rPr>
          <w:rFonts w:ascii="Times New Roman" w:hAnsi="Times New Roman" w:cs="Times New Roman" w:eastAsia="Times New Roman"/>
          <w:color w:val="auto"/>
          <w:spacing w:val="0"/>
          <w:position w:val="0"/>
          <w:sz w:val="24"/>
          <w:shd w:fill="auto" w:val="clear"/>
        </w:rPr>
        <w:t xml:space="preserve"> São Paulo, ano 34, n. 120. p. 150-162, 2009.</w:t>
      </w: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VON SMIGAY, Karen E. Sexismo, homofobia e outras expressões correlatas de violência: desafios para a psicologia política. </w:t>
      </w:r>
      <w:r>
        <w:rPr>
          <w:rFonts w:ascii="Times New Roman" w:hAnsi="Times New Roman" w:cs="Times New Roman" w:eastAsia="Times New Roman"/>
          <w:b/>
          <w:color w:val="auto"/>
          <w:spacing w:val="0"/>
          <w:position w:val="0"/>
          <w:sz w:val="24"/>
          <w:shd w:fill="auto" w:val="clear"/>
        </w:rPr>
        <w:t xml:space="preserve">Psicologia em Revista</w:t>
      </w:r>
      <w:r>
        <w:rPr>
          <w:rFonts w:ascii="Times New Roman" w:hAnsi="Times New Roman" w:cs="Times New Roman" w:eastAsia="Times New Roman"/>
          <w:color w:val="auto"/>
          <w:spacing w:val="0"/>
          <w:position w:val="0"/>
          <w:sz w:val="24"/>
          <w:shd w:fill="auto" w:val="clear"/>
        </w:rPr>
        <w:t xml:space="preserve">, Belo Horizonte, v.8, n.11, p.32-46, jun. 2002. Disponível em:</w:t>
      </w:r>
      <w:r>
        <w:rPr>
          <w:rFonts w:ascii="Times New Roman" w:hAnsi="Times New Roman" w:cs="Times New Roman" w:eastAsia="Times New Roman"/>
          <w:color w:val="9900CC"/>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189">
        <w:r>
          <w:rPr>
            <w:rFonts w:ascii="Times New Roman" w:hAnsi="Times New Roman" w:cs="Times New Roman" w:eastAsia="Times New Roman"/>
            <w:color w:val="0000FF"/>
            <w:spacing w:val="0"/>
            <w:position w:val="0"/>
            <w:sz w:val="22"/>
            <w:u w:val="single"/>
            <w:shd w:fill="auto" w:val="clear"/>
          </w:rPr>
          <w:t xml:space="preserve">http://www.pucminas.br/imagedb/DOC_DSC_NOME_ARQUI20041214154032.pdf</w:t>
        </w:r>
      </w:hyperlink>
      <w:r>
        <w:rPr>
          <w:rFonts w:ascii="Times New Roman" w:hAnsi="Times New Roman" w:cs="Times New Roman" w:eastAsia="Times New Roman"/>
          <w:color w:val="auto"/>
          <w:spacing w:val="0"/>
          <w:position w:val="0"/>
          <w:sz w:val="22"/>
          <w:shd w:fill="auto" w:val="clear"/>
        </w:rPr>
        <w:t xml:space="preserve">&gt;</w:t>
      </w: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11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ZILBERMAN, Mônica L. Tratamento de mulheres. In: SECRETARIA Nacional Antidrogas (SENAD) – Observatório de Informações sobre Drogas (OBID). </w:t>
      </w:r>
      <w:r>
        <w:rPr>
          <w:rFonts w:ascii="Times New Roman" w:hAnsi="Times New Roman" w:cs="Times New Roman" w:eastAsia="Times New Roman"/>
          <w:b/>
          <w:color w:val="auto"/>
          <w:spacing w:val="0"/>
          <w:position w:val="0"/>
          <w:sz w:val="24"/>
          <w:shd w:fill="auto" w:val="clear"/>
        </w:rPr>
        <w:t xml:space="preserve">Informações sobre drogas</w:t>
      </w:r>
      <w:r>
        <w:rPr>
          <w:rFonts w:ascii="Times New Roman" w:hAnsi="Times New Roman" w:cs="Times New Roman" w:eastAsia="Times New Roman"/>
          <w:color w:val="auto"/>
          <w:spacing w:val="0"/>
          <w:position w:val="0"/>
          <w:sz w:val="24"/>
          <w:shd w:fill="auto" w:val="clear"/>
        </w:rPr>
        <w:t xml:space="preserve">. Gabinete de Segurança Institucional: Brasília, 2006. p. 127-132.</w:t>
      </w:r>
    </w:p>
    <w:p>
      <w:pPr>
        <w:suppressAutoHyphens w:val="true"/>
        <w:spacing w:before="0" w:after="200" w:line="276"/>
        <w:ind w:right="0" w:left="0" w:firstLine="0"/>
        <w:jc w:val="left"/>
        <w:rPr>
          <w:rFonts w:ascii="Calibri" w:hAnsi="Calibri" w:cs="Calibri" w:eastAsia="Calibri"/>
          <w:color w:val="auto"/>
          <w:spacing w:val="0"/>
          <w:position w:val="0"/>
          <w:sz w:val="24"/>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4"/>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Apontamentos sobre Cuidadores, Relações de Gênero e Conjugalidade</w:t>
      </w:r>
    </w:p>
    <w:p>
      <w:pPr>
        <w:spacing w:before="0" w:after="200" w:line="276"/>
        <w:ind w:right="0" w:left="3402"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Camila Cristina Bortolozzo Ximenes de Souza</w:t>
      </w:r>
    </w:p>
    <w:p>
      <w:pPr>
        <w:spacing w:before="0" w:after="0" w:line="240"/>
        <w:ind w:right="-1" w:left="3402" w:firstLine="0"/>
        <w:jc w:val="left"/>
        <w:rPr>
          <w:rFonts w:ascii="Verdana" w:hAnsi="Verdana" w:cs="Verdana" w:eastAsia="Verdana"/>
          <w:b/>
          <w:color w:val="auto"/>
          <w:spacing w:val="0"/>
          <w:position w:val="0"/>
          <w:sz w:val="20"/>
          <w:shd w:fill="auto" w:val="clear"/>
        </w:rPr>
      </w:pPr>
    </w:p>
    <w:p>
      <w:pPr>
        <w:spacing w:before="0" w:after="0" w:line="240"/>
        <w:ind w:right="-1" w:left="3402" w:firstLine="0"/>
        <w:jc w:val="left"/>
        <w:rPr>
          <w:rFonts w:ascii="Verdana" w:hAnsi="Verdana" w:cs="Verdana" w:eastAsia="Verdana"/>
          <w:b/>
          <w:color w:val="auto"/>
          <w:spacing w:val="0"/>
          <w:position w:val="0"/>
          <w:sz w:val="20"/>
          <w:shd w:fill="auto" w:val="clear"/>
        </w:rPr>
      </w:pPr>
    </w:p>
    <w:p>
      <w:pPr>
        <w:spacing w:before="0" w:after="0" w:line="240"/>
        <w:ind w:right="-1" w:left="3402"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 (...)Vai ser coxo na vida é maldição pra homem.</w:t>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Mulher é desdobrável. Eu sou.”</w:t>
      </w:r>
    </w:p>
    <w:p>
      <w:pPr>
        <w:spacing w:before="0" w:after="0" w:line="240"/>
        <w:ind w:right="-1" w:left="3402" w:firstLine="0"/>
        <w:jc w:val="left"/>
        <w:rPr>
          <w:rFonts w:ascii="Verdana" w:hAnsi="Verdana" w:cs="Verdana" w:eastAsia="Verdana"/>
          <w:b/>
          <w:color w:val="auto"/>
          <w:spacing w:val="0"/>
          <w:position w:val="0"/>
          <w:sz w:val="20"/>
          <w:shd w:fill="auto" w:val="clear"/>
        </w:rPr>
      </w:pPr>
    </w:p>
    <w:p>
      <w:pPr>
        <w:spacing w:before="0" w:after="0" w:line="240"/>
        <w:ind w:right="-1" w:left="3402"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(Adélia Prado – Com Licença poética – Bagagem, 1976) </w:t>
      </w:r>
    </w:p>
    <w:p>
      <w:pPr>
        <w:spacing w:before="0" w:after="200" w:line="276"/>
        <w:ind w:right="-1" w:left="3402" w:firstLine="0"/>
        <w:jc w:val="left"/>
        <w:rPr>
          <w:rFonts w:ascii="Calibri" w:hAnsi="Calibri" w:cs="Calibri" w:eastAsia="Calibri"/>
          <w:color w:val="auto"/>
          <w:spacing w:val="0"/>
          <w:position w:val="0"/>
          <w:sz w:val="22"/>
          <w:shd w:fill="auto" w:val="clear"/>
        </w:rPr>
      </w:pPr>
    </w:p>
    <w:p>
      <w:pPr>
        <w:spacing w:before="0" w:after="200" w:line="276"/>
        <w:ind w:right="-1" w:left="0" w:firstLine="0"/>
        <w:jc w:val="both"/>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Introdução</w:t>
      </w:r>
    </w:p>
    <w:p>
      <w:pPr>
        <w:spacing w:before="0" w:after="200" w:line="480"/>
        <w:ind w:right="0"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ato de cuidar, ainda que bastante objetivo, é permeado por questões sócio-histórico-culturais, econômicas, tecnológicas, subjetivas, marcadas pela construção no mundo de cada sujeito e por seus modos de andar a vida. </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Como define CANGUILHEM (2009), e como nos lembra Mattos (2004), os modos de andar a vida</w:t>
      </w:r>
    </w:p>
    <w:p>
      <w:pPr>
        <w:spacing w:before="0" w:after="200" w:line="480"/>
        <w:ind w:right="567" w:left="567"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0"/>
          <w:shd w:fill="auto" w:val="clear"/>
        </w:rPr>
        <w:t xml:space="preserve"> “(...) emerge[m] do próprio modo como a vida se produz coletivamente. O modo de andar a vida de um sujeito não pode ser compreendido como dissociado do modo como a vida anda num certo lugar, aonde ele vive"</w:t>
      </w:r>
      <w:r>
        <w:rPr>
          <w:rFonts w:ascii="Arial" w:hAnsi="Arial" w:cs="Arial" w:eastAsia="Arial"/>
          <w:color w:val="auto"/>
          <w:spacing w:val="0"/>
          <w:position w:val="0"/>
          <w:sz w:val="22"/>
          <w:shd w:fill="auto" w:val="clear"/>
        </w:rPr>
        <w:t xml:space="preserve"> (MATTOS, 2004. P.1414)</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Assim, pensando a família como uma instituição onde ocorre a mediação entre sociedade e indivíduo (SAWAIA, 2008), onde os costumes, valores e crenças serão difundidos e aprendidos por seus membros, faz-se necessária uma breve reflexão sobre a constituição da família moderna e o lugar atual que as relações de gênero ocupam em relação à construção do cuidado.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 acordo com SARTI (2008), contemporaneamente vive-se um esgarçamento dos laços familiares, o que implica em uma dificuldade em delimitar a família. Segundo a autora, com os avanços tecnológicos – como o desenvolvimento de anticoncepcionais, e do exame de DNA – a família perde seu caráter natural, pois os nascimentos passam a ser controlados, bem como a paternidade passa a ser garantida, o que altera o lugar de homens, mulheres e filhos, e da própria família.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Nesse sentido, foram desenvolvidas legislações, como o Estatuto da Criança e do Adolescente, que garantem a convivência dos filhos em família e a proteção destes contra pais violentos, o que também contribui para a dessacralização da família (SARTI; 2008).</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SARTI (2008), a partir de estudos com população de camadas sociais mais pobres, há também uma diferença significativa entre papéis de homens e mulheres na família. Os homens são responsáveis pela mediação das relações entre a família e sociedade, cabendo-lhes a autoridade moral e a garantia da respeitabilidade da família. Às mulheres é atribuída a manutenção da unidade familiar, bem como o cuidado dos membros: “Ela é quem cuida de todos e zela para que tudo esteja em seu lugar. (...) No discurso masculino, a casa deve estar ‘sob controle’, enquanto as mulheres ativamente a controlam”. (p.28).</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mundo doméstico-privado também é apontado por CHAUÍ (1984) como lugar preferencial do feminino, igualmente destinado a idosos, e homens quando escravos, enquanto que aos homens livres destinam-se os espaços públicos. O que aponta para uma diferença hierárquica entre homens livres e mulheres e aos espaços que ocupam social, cultural e historicamente.</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Assim, este é também o lugar da privação das relações e existências políticas, como lembra CHAUÍ (1984) apoiada em ARENDT, já que para as autoras, a definição de espaço privado não se restringe ao lugar da privacidade e da intimidade.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SCAVONE (2005) atenta para o fato de que homens e mulheres têm papéis específicos não apenas na família como na produção, relembrando que elas ocupam o lugar da produção do cuidado também no âmbito profissional. Para a autora, o lugar de cuidadora assumido pelas mulheres é um lugar de poder, todavia “(...) se esse capital lhes coloca em posição de poder, ele não esconde, por outro lado, o fato de ser produzido pelas relações de dominação masculina, que consideram os cuidados à saúde como ‘naturalmente’ femininos” (p.107).</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É possível perceber que há uma inversão de papéis na relação cuidadora/pessoa-sob-seus-cuidados, onde cuidadores revertem sobre aquele que está aos seus cuidados a dependência que lhes foi imputada com essa tarefa neste contexto. A pessoa cuidada, então, passa a aparentemente ocupar o lugar de dependente, e o cuidar passa a ser encarado como uma mera ajuda.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Segundo CHAUÍ (1985), a inversão de papéis faz parte do uso de uma liberdade imaginária, fruto da </w:t>
      </w:r>
      <w:r>
        <w:rPr>
          <w:rFonts w:ascii="Arial" w:hAnsi="Arial" w:cs="Arial" w:eastAsia="Arial"/>
          <w:i/>
          <w:color w:val="auto"/>
          <w:spacing w:val="0"/>
          <w:position w:val="0"/>
          <w:sz w:val="22"/>
          <w:shd w:fill="auto" w:val="clear"/>
        </w:rPr>
        <w:t xml:space="preserve">heteronomia</w:t>
      </w:r>
      <w:r>
        <w:rPr>
          <w:rFonts w:ascii="Arial" w:hAnsi="Arial" w:cs="Arial" w:eastAsia="Arial"/>
          <w:color w:val="auto"/>
          <w:spacing w:val="0"/>
          <w:position w:val="0"/>
          <w:sz w:val="22"/>
          <w:shd w:fill="auto" w:val="clear"/>
        </w:rPr>
        <w:t xml:space="preserve">, uma vez que não há efetivamente </w:t>
      </w:r>
      <w:r>
        <w:rPr>
          <w:rFonts w:ascii="Arial" w:hAnsi="Arial" w:cs="Arial" w:eastAsia="Arial"/>
          <w:i/>
          <w:color w:val="auto"/>
          <w:spacing w:val="0"/>
          <w:position w:val="0"/>
          <w:sz w:val="22"/>
          <w:shd w:fill="auto" w:val="clear"/>
        </w:rPr>
        <w:t xml:space="preserve">autonomia</w:t>
      </w:r>
      <w:r>
        <w:rPr>
          <w:rFonts w:ascii="Arial" w:hAnsi="Arial" w:cs="Arial" w:eastAsia="Arial"/>
          <w:color w:val="auto"/>
          <w:spacing w:val="0"/>
          <w:position w:val="0"/>
          <w:sz w:val="22"/>
          <w:shd w:fill="auto" w:val="clear"/>
        </w:rPr>
        <w:t xml:space="preserve">, pois as mulheres necessitam que outros as definam e que seus papéis sejam legitimados pelos e para os outros. Nessa relação, a dependência é convertida em qualidade da mulher, o que gera processos de alienação e conseqüente coisificação.</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Pensando a questão dos valores sociais, SCHRAIBER e colaboradores (2006), lembram que a sociedade atual vem substituindo escalas de valores por valores fluidos e adaptáveis aos desejos:</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480"/>
        <w:ind w:right="567" w:left="567"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“delimitadas e definidas por escalas de valores fluidas, maleáveis conforme as oportunidades (quase sempre de mercado) e, pois, sem possibilidade de permanência no tempo. Trata-se de uma adoção de valores adaptável aos desejos e ao próprio alargamento do que vem a ser ou não direitos.” (p.113)</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SCHRAIBER e colaboradores (2005), está ocorrendo um “borramento de limites” (p.113) no exercício dos direitos, “(...) deveres e os compromissos. Confundem-se a realização de direitos com a satisfação de desejos individuais”. (p.113). Neste processo, a coisificação do outro, como citado pelas autoras, é associada à liberdade do exercício dos direitos, o que fundamenta a existência da violência.</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a noção de direitos está abalada, a capacidade de reconhecer o outro como sujeito, e a alteridade também estão. Sem alteridade, não há cuidado, uma vez que o outro não é reconhecido e não há um auto-reconhecimento nesse processo.</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Neste sentido, pode-se conjeturar sobre o desvalor contemporâneo do cuidado, que abre espaços para relações mais violentas e mercadológicas. Ser/manter-se cuidador nesse contexto, certamente é um enorme desafio.</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Reflexões sobre o cuidar</w:t>
      </w:r>
    </w:p>
    <w:p>
      <w:pPr>
        <w:spacing w:before="0" w:after="200" w:line="480"/>
        <w:ind w:right="0" w:left="0" w:firstLine="567"/>
        <w:jc w:val="both"/>
        <w:rPr>
          <w:rFonts w:ascii="Arial" w:hAnsi="Arial" w:cs="Arial" w:eastAsia="Arial"/>
          <w:color w:val="FF0000"/>
          <w:spacing w:val="0"/>
          <w:position w:val="0"/>
          <w:sz w:val="22"/>
          <w:shd w:fill="auto" w:val="clear"/>
        </w:rPr>
      </w:pPr>
      <w:r>
        <w:rPr>
          <w:rFonts w:ascii="Arial" w:hAnsi="Arial" w:cs="Arial" w:eastAsia="Arial"/>
          <w:color w:val="auto"/>
          <w:spacing w:val="0"/>
          <w:position w:val="0"/>
          <w:sz w:val="22"/>
          <w:shd w:fill="auto" w:val="clear"/>
        </w:rPr>
        <w:t xml:space="preserve">Aprofundando a discussão sobre o cuidado, MAZZA (2008) relembra as palavras de BOFF (2000):</w:t>
      </w:r>
    </w:p>
    <w:p>
      <w:pPr>
        <w:spacing w:before="0" w:after="200" w:line="480"/>
        <w:ind w:right="0" w:left="0" w:firstLine="0"/>
        <w:jc w:val="both"/>
        <w:rPr>
          <w:rFonts w:ascii="Arial" w:hAnsi="Arial" w:cs="Arial" w:eastAsia="Arial"/>
          <w:color w:val="auto"/>
          <w:spacing w:val="0"/>
          <w:position w:val="0"/>
          <w:sz w:val="20"/>
          <w:shd w:fill="auto" w:val="clear"/>
        </w:rPr>
      </w:pPr>
    </w:p>
    <w:p>
      <w:pPr>
        <w:spacing w:before="0" w:after="200" w:line="480"/>
        <w:ind w:right="567" w:left="567"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ab/>
        <w:t xml:space="preserve">“‘O Cuidado somente surge quando a existência de alguém tem importância para mim. Passo então a dedicar-me a ele; dispondo-me a participar de seu destino, de suas buscas, de seus sofrimentos e de seus sucessos, enfim de sua vida.’ ” (p.100)</w:t>
      </w:r>
    </w:p>
    <w:p>
      <w:pPr>
        <w:spacing w:before="0" w:after="200" w:line="480"/>
        <w:ind w:right="567" w:left="567" w:firstLine="0"/>
        <w:jc w:val="both"/>
        <w:rPr>
          <w:rFonts w:ascii="Arial" w:hAnsi="Arial" w:cs="Arial" w:eastAsia="Arial"/>
          <w:color w:val="auto"/>
          <w:spacing w:val="0"/>
          <w:position w:val="0"/>
          <w:sz w:val="22"/>
          <w:shd w:fill="auto" w:val="clear"/>
        </w:rPr>
      </w:pPr>
    </w:p>
    <w:p>
      <w:pPr>
        <w:spacing w:before="0" w:after="200" w:line="480"/>
        <w:ind w:right="0"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Ambos os autores propõem ainda que cuidar é responsabilizar-se. AYRES (2008), apoiado em HEIDEGGER (1995) e GRONDIN (1999), compartilha da definição, e propõe novos sentidos para o “responsabilizar-se”, que passa a ser entendido como “responder por si e responder para si (...). Cuidar não é só projetar, é um projetar responsabilizando-se; um projetar ‘porque’ se responsabiliza.” (p.63). </w:t>
      </w:r>
    </w:p>
    <w:p>
      <w:pPr>
        <w:spacing w:before="0" w:after="200" w:line="480"/>
        <w:ind w:right="0"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AYRES (2008) fundamenta-se em HEIDEGGER (1995) para explicar o cuidado como um elemento existencial possibilitador da compreensão de si e da construção e reconstrução da condição humana. O cuidado é então, um ato individual e individualizador, construtor de identidades e é também uma relação necessária com o outro e com o mundo.</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AYRES (2001) ainda propõe que o ato de cuidar pressupõe a consideração e a construção de projetos, bem como a necessidade do esteio da relação entre “matéria e espírito, corpo e mente, moldados a partir de uma forma que o sujeito quer opor à dissolução, inerte e amorfa, de sua presença no mundo.” (p.71).</w:t>
      </w:r>
    </w:p>
    <w:p>
      <w:pPr>
        <w:spacing w:before="0" w:after="200" w:line="480"/>
        <w:ind w:right="567"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Mais especificamente relacionado à questão de gênero, SCHRAIBER e colaboradores (2005) abordam a dificuldade masculina em pensar o cuidar, o que demonstra uma construção social do masculino totalmente diverso ao feminino na esfera do cuidado: </w:t>
      </w:r>
    </w:p>
    <w:p>
      <w:pPr>
        <w:spacing w:before="0" w:after="200" w:line="480"/>
        <w:ind w:right="567" w:left="567" w:firstLine="567"/>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“Incluir a participação dos homens nas ações de saúde é, no mínimo, um desafio, por diferentes razões. Uma delas se refere ao fato de, em geral, o cuidar de si e a valorização do corpo no sentido da saúde, também no que se refere ao cuidar dos outros, não serem questões colocadas na sociedade dos homens” (p.8)</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SCHRAIBER e colaboradores (2005), apoiados em KORIN (2001), discutem que quando valores sociais tais como poder, sucesso e força estão dados como valores masculinos, há uma busca masculina no processo de socialização, do distanciamento de características femininas como a sensibilidade, dependência, fragilidade e cuidado.</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Nesta mesma linha, LYRA e colaboradores (2008) lembram que a participação do homem na família afastou-se do cuidado, assumindo historicamente o papel de enfrentar limites, prover sustento, produção de riquezas, garantindo segurança e respeitabilidade à família. </w:t>
      </w:r>
    </w:p>
    <w:p>
      <w:pPr>
        <w:spacing w:before="0" w:after="200" w:line="480"/>
        <w:ind w:right="-1" w:left="0" w:firstLine="567"/>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2"/>
          <w:shd w:fill="auto" w:val="clear"/>
        </w:rPr>
        <w:t xml:space="preserve">Esses autores comentam sobre a escolha dos brinquedos infantis para meninos e meninas como instrumentos que os treinarão para futuros papéis sociais.  Nessa atividade, os meninos podem sofrer repressão ao desejarem adotar posturas femininas ou relacionadas ao cuidado, como brincar de boneca, por exemplo, o que dificulta a entrada dos homens nesse tipo de atividade/papel (LYRA </w:t>
      </w:r>
      <w:r>
        <w:rPr>
          <w:rFonts w:ascii="Arial" w:hAnsi="Arial" w:cs="Arial" w:eastAsia="Arial"/>
          <w:i/>
          <w:color w:val="auto"/>
          <w:spacing w:val="0"/>
          <w:position w:val="0"/>
          <w:sz w:val="22"/>
          <w:shd w:fill="auto" w:val="clear"/>
        </w:rPr>
        <w:t xml:space="preserve">et Allii</w:t>
      </w:r>
      <w:r>
        <w:rPr>
          <w:rFonts w:ascii="Arial" w:hAnsi="Arial" w:cs="Arial" w:eastAsia="Arial"/>
          <w:color w:val="auto"/>
          <w:spacing w:val="0"/>
          <w:position w:val="0"/>
          <w:sz w:val="22"/>
          <w:shd w:fill="auto" w:val="clear"/>
        </w:rPr>
        <w:t xml:space="preserve">; 2008)</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Ainda com relação às particularidades do feminino e do masculino, GILLIGAN (1985; 2003) aponta peculiaridades no desenvolvimento e formação da personalidade de meninas e meninos, uma vez que à masculinidade relacionam-se as capacidades de ficar só e a renúncia a relacionamentos; ao passo que ao feminino relaciona-se a capacidade da renúncia de si mesma em prol dos relacionamentos e vínculos.</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Essa diferença no desenvolvimento de meninos e meninas, para a autora, resulta em uma construção moral e resolução de problemas distintos de acordo com o sexo: meninos levarão mais em conta as concepções universais da moral, enquanto as meninas acrescentarão os sentimentos, justiça, compaixão e cuidado ao julgamento moral – isso não quer dizer que há um desvio feminino no processo de desenvolvimento, mas sim que esses processos são particulares, e estão distintamente relacionados à forma de entender e de efetuar o cuidado  (GILLIGAN 1985).</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Reflexões sobre o cuidado, serviços de saúde e gênero</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 relação às concepções do cuidado, este vem sendo compreendido de forma limitada tanto por profissionais de saúde quanto por usuários dos serviços, que, em sua maioria, compreendem cuidar como um procedimento técnico de profissionais de saúde (GUTIERREZ e MINAYO, 2010).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Este é o resultado de um processo histórico onde o papel da família foi cada vez mais destituído de saberes, excluído da produção de cuidado, enquanto as instituições/serviços médicos e de saúde, foram cada vez mais reconhecidos e legitimados pelo saber biomédico, científico e pelos avanços tecnológicos, como os mais aptos para a realização de tratamentos, procedimentos em saúde e também o cuidado. (GUTIERREZ e MINAYO, 2010; MARQUES, 2001).</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outro lado, como ressalta SCHRAIBER (2008b), os profissionais de saúde solicitam que a família, e em especial a mulher, se responsabilize pelos cuidados de membros da família adoentados/acamados, e exerçam um papel de mediadoras entre serviço e domicílio. Para a autora, demandas das mulheres que extrapolam o papel de cuidar do outro e de si não são contempladas pelos serviços e profissionais de saúde, já que o papel da mulher está cristalizado para eles:</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 trabalho das mulheres é, então, desvalorizado, pois ela pode esperar (na Unidade), ou certamente pode dedicar-se a todas as intervenções propostas pela Unidade com a maior presteza. De um lado, o que tem para fazer em sua casa não é reconhecido como trabalho de igual importância ao realizado fora da vida privada, exterior ao espaço doméstico, tal como o desenvolvido pelos homens. De outro lado, quando não se trata de afazeres domésticos, não haveria porque a mulher estar menos disponível para as Unidades e sua forma de oferecer assistência. (p.51 e 52)”</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Entretanto, LEITE e VASCONCELOS (2006) atentam para o fato de que os serviços, os profissionais, as terapêuticas e tratamentos só são procurados e seguidos pelos usuários se fazem sentido, ou seja, se há uma “(...) congruência entre a base cultural do sujeito e o processo por ele desenvolvido para uma ação de saúde” (p.122). Nesse sentido, não apenas os serviços e profissionais de saúde pensam a mulher neste papel, como elas próprias se pensam assim ao pactuarem com os serviços e profissionais os lugares que ocupam na assistência.</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Alargando essa discussão para a questão do cuidado, este só ocorrerá se for congruente com a base cultural da família/sujeitos e o processo saúde/doença vivido. Dessa forma, a família e os sujeitos elegem que pessoas acometidas por quais patologias merecem ou necessitam de cuidados, quais são esses cuidados e quem são os cuidadores. Somando-se a isso, encontram-se as relações de poder e a característica afetiva das relações familiares, fatores que atravessam as relações e determinam ações e papéis.</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PIMENTA </w:t>
      </w:r>
      <w:r>
        <w:rPr>
          <w:rFonts w:ascii="Arial" w:hAnsi="Arial" w:cs="Arial" w:eastAsia="Arial"/>
          <w:i/>
          <w:color w:val="auto"/>
          <w:spacing w:val="0"/>
          <w:position w:val="0"/>
          <w:sz w:val="22"/>
          <w:shd w:fill="auto" w:val="clear"/>
        </w:rPr>
        <w:t xml:space="preserve">et Alli</w:t>
      </w:r>
      <w:r>
        <w:rPr>
          <w:rFonts w:ascii="Arial" w:hAnsi="Arial" w:cs="Arial" w:eastAsia="Arial"/>
          <w:color w:val="auto"/>
          <w:spacing w:val="0"/>
          <w:position w:val="0"/>
          <w:sz w:val="22"/>
          <w:shd w:fill="auto" w:val="clear"/>
        </w:rPr>
        <w:t xml:space="preserve"> (2009), em pesquisa com cuidadores de idosos em domicílio, cita que os cuidadores são em sua maioria mulheres casadas, que possuem outros afazeres na casa: esposas, filhas e netas, que afirmam ter se tornado cuidadoras por obrigações morais definidas pela cultura, conjugalidade, ausência de outra pessoa para ocupar este lugar, questões financeiras – troca de cuidado por sustento. A maioria não dividia o papel de cuidar com outras pessoas, e 73% das cuidadoras dedicavam-se exclusivamente às atividades de cuidado, chegando a dedicar mais de 5 horas/dia exclusivamente a atividades de cuidado direto ao idoso.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PIMENTA </w:t>
      </w:r>
      <w:r>
        <w:rPr>
          <w:rFonts w:ascii="Arial" w:hAnsi="Arial" w:cs="Arial" w:eastAsia="Arial"/>
          <w:i/>
          <w:color w:val="auto"/>
          <w:spacing w:val="0"/>
          <w:position w:val="0"/>
          <w:sz w:val="22"/>
          <w:shd w:fill="auto" w:val="clear"/>
        </w:rPr>
        <w:t xml:space="preserve">et Alli </w:t>
      </w:r>
      <w:r>
        <w:rPr>
          <w:rFonts w:ascii="Arial" w:hAnsi="Arial" w:cs="Arial" w:eastAsia="Arial"/>
          <w:color w:val="auto"/>
          <w:spacing w:val="0"/>
          <w:position w:val="0"/>
          <w:sz w:val="22"/>
          <w:shd w:fill="auto" w:val="clear"/>
        </w:rPr>
        <w:t xml:space="preserve">(2009), lembram que historicamente o cuidar dos idosos foi delegado, dentro da família, às mulheres uma vez que estas não possuíam afazeres fora de casa, possuindo pretensamente mais tempo e disponibilidade para o cuidado dos membros da casa.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Certamente a manutenção desse lugar para as mulheres nos dias de hoje não acompanhou a mudança de papel da mulher na sociedade atual, e impossibilita que a mulher assuma estes novos papéis sociais, mantendo-a dentro de casa, presa a papéis e construtos cartesianos do feminino: papéis de dependência, submissão, doação e cuidado – papel avesso e complementar ao papel masculino.</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tarefa de cuidar de alguém em tempo integral, sem que haja outras pessoas para dividir os encargos, impossibilita a mulher de cuidar de si mesma, de decidir que atividades quer ou não fazer, de sair de casa, de agendar compromissos, enfim, aprisionam a mulher nas atividades e na identidade de cuidadora, e esta, por sua vez, deixa-se aprisionar, uma vez que muitas mulheres também possuem um discurso, em relação a questão de gênero, tradicional e masculino.</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lembra CHAUÍ (1984), esse discurso sobre o feminino é masculino não por ser dito por homens, uma vez que também é proferido por mulheres, mas </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0" w:line="480"/>
        <w:ind w:right="567" w:left="567" w:firstLine="567"/>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 se trata de uma fala cuja condição de possibilidades é o silêncio das mulheres. (...) porque determinado por um inconsciente que precisa fantasiar a diferença para torná-la suportável, diferença que a consciência repõe como desigualdade, preparando a violência subseqüente. ” (p.43 e 45).</w:t>
      </w:r>
    </w:p>
    <w:p>
      <w:pPr>
        <w:spacing w:before="0" w:after="0" w:line="480"/>
        <w:ind w:right="567" w:left="567" w:firstLine="567"/>
        <w:jc w:val="both"/>
        <w:rPr>
          <w:rFonts w:ascii="Arial" w:hAnsi="Arial" w:cs="Arial" w:eastAsia="Arial"/>
          <w:color w:val="auto"/>
          <w:spacing w:val="0"/>
          <w:position w:val="0"/>
          <w:sz w:val="20"/>
          <w:shd w:fill="auto" w:val="clear"/>
        </w:rPr>
      </w:pPr>
    </w:p>
    <w:p>
      <w:pPr>
        <w:spacing w:before="0" w:after="0" w:line="480"/>
        <w:ind w:right="567" w:left="567"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outro lado, as mulheres deixam-se aprisionar, uma vez que aceitam este discurso masculino, e permitem que sejam definidas - assim como às suas atividades e papéis - por outros. </w:t>
      </w:r>
    </w:p>
    <w:p>
      <w:pPr>
        <w:spacing w:before="0" w:after="0" w:line="480"/>
        <w:ind w:right="44"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CHAUÍ (1984) remete-se a SPINOZA E MERLEAU-PONTY para debater a questão, advertindo que as causas da servidão são por vezes depositadas apenas no outro, agindo-se como se estivesse totalmente submetido às condições em que se vive sem que isso possa ser alterado. </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Entretanto, não podem ser esquecidas punições sociais às mulheres que não se submetem a este papel. Estas punições não são apenas realizadas por homens ou instituições – como igrejas, serviços de saúde/educação, dentre outros – mas também pelas próprias mulheres componentes da rede social que reproduzem o discurso masculino sobre o feminino, como adverte CHAUÍ (1984).</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Pesquisa realizada por SOUTO E BRAGA (2009) com mulheres vítimas de violência doméstica, mostra que as entrevistadas apontaram o aprisionamento como uma das representações da violência. Nas palavras das autoras:</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0" w:line="480"/>
        <w:ind w:right="567" w:left="567" w:firstLine="567"/>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“As mulheres denunciaram uma relação fadada na idéia de perda de liberdade, no encarceramento, na dominação, na apropriação sentenciada pelo outro. O aprisionamento, tão profundamente enraizado, encobre em si mesmo sentimentos de negação, de submissão, e de ocultamento, que reflete uma auto-estima fragilizada”. (p.672)</w:t>
      </w: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Defende-se a idéia de que mesmo as cuidadoras não sofrendo violência perpetrada por parceiro íntimo, eleger uma única cuidadora e delegar a ela o cuidado de uma pessoa 24 horas/dia acarreta a perda da liberdade, encarceramento no lar, dominação, e apropriação sentenciada pelo outro. Reitera à mulher, o lugar das privações, do discurso masculino sobre o feminino, o lugar da violência: um lugar diferente dos outros moradores da casa no que diz respeito a autonomia, deveres, desigualdade de posição e direitos, principalmente em relação ao marido, uma vez que os filhos, tradicionalmente, já possuem um lugar social diferenciado e de menor nível hierárquico em relação aos pais.</w:t>
      </w:r>
    </w:p>
    <w:p>
      <w:pPr>
        <w:spacing w:before="0" w:after="200" w:line="480"/>
        <w:ind w:right="-1" w:left="0" w:firstLine="567"/>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Nas falas das entrevistadas de SOUTO E BRAGA (2009), estavam presentes elementos que sustentavam a condição feminina de sujeição ao outro cônjuge e ao cotidiano violento. O que mostra que as mulheres aceitam este lugar da não-autonomia e da coisificação, aceitando o lugar de dominadas e violentadas, pactuando com esta relação.  </w:t>
      </w:r>
    </w:p>
    <w:p>
      <w:pPr>
        <w:spacing w:before="0" w:after="200" w:line="480"/>
        <w:ind w:right="-1"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Além da justificativa e anuência, por parte das mulheres, desse cenário de violência cotidiana, não se pode esquecer o que FERRANTE e colaboradores (2009), e CHAUÍ (1984) falam sobre o caráter alienante da violência, que mantém o sujeito nessa relação uma vez que a perda de autonomia  não é percebida pelo violentado.</w:t>
      </w:r>
    </w:p>
    <w:p>
      <w:pPr>
        <w:spacing w:before="0" w:after="200" w:line="480"/>
        <w:ind w:right="-1"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Por vezes os sentidos do cuidar – e muitos deles permeados por aspectos sublimes e elevados como o amor, a maternagem, e outros ideiais judaico-cristãos – maquiam um cenário de relações violentas e de poder, e funcionam como âncoras impedindo moralmente que a cuidadora se desvencilhe dessa situação; haja vista mulheres que cuidam de maridos que no passado as violentavam fisicamente, e que por intermédio da cultura/família/igreja/comunidade/serviços de saúde não conseguiram dizer não a tarefa de cuidar desses homens, e tornam-se cuidadoras principais (grande parte as únicas cuidadoras). A agressão, então, transforma-se na nova forma de relação, isenta de acordos ou negociações.</w:t>
      </w:r>
    </w:p>
    <w:p>
      <w:pPr>
        <w:spacing w:before="0" w:after="200" w:line="480"/>
        <w:ind w:right="-1" w:left="0" w:firstLine="0"/>
        <w:jc w:val="both"/>
        <w:rPr>
          <w:rFonts w:ascii="Arial" w:hAnsi="Arial" w:cs="Arial" w:eastAsia="Arial"/>
          <w:color w:val="auto"/>
          <w:spacing w:val="0"/>
          <w:position w:val="0"/>
          <w:sz w:val="22"/>
          <w:shd w:fill="auto" w:val="clear"/>
        </w:rPr>
      </w:pPr>
    </w:p>
    <w:p>
      <w:pPr>
        <w:spacing w:before="0" w:after="200" w:line="480"/>
        <w:ind w:right="-1" w:left="0" w:firstLine="0"/>
        <w:jc w:val="both"/>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Conclusão</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Refletindo sobre as relações de gênero, poder e violência que atravessam a questão do cuidado, como sugere SCHARAIBER (2008b), as relações assistenciais em saúde podem “(...) reproduzir ou modificar iniqüidades de gênero, entre outras.” (p.41).</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É de suma importância que os serviços e profissionais de saúde possam construir novas formas de olhar e pensar a construção do cuidado ofertado pelos e para os cuidadores, em especial para a mulher, sujeito principal deste cenário. </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tanto, papéis de homens e mulheres para os serviços e profissionais de saúde necessitam ser descristalizados, o que somente ocorrerá com uma maior humanização dos serviços de saúde e com um crescimento do emprego de tecnologias leves, melhora da qualidade da escuta e integralidade da atenção. </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Há que se buscar conhecer as necessidades e demandas reais de homens e mulheres específicos, não generalizados e despersonificados por apelidos comuns como “mãezinha”, “vózinha”, “a gestante”, “a cuidadora”, que dizem muito pouco sobre as reais pessoas por detrás das generalizações, e fixam-lhes em um único papel, em uma única esfera de suas vidas.</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Faz-se necessário também que a violência não seja invisível aos profissionais de saúde, e que possam falar sobre o tema em equipe e com os usuários sem que a culpabilização ou juízos de valor ocupem o foco da discussão.  </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SCAVONE (2008) encerra seu texto questionando se as mulheres querem abrir mão do lugar do cuidado, entendido pela autora como o lugar do poder e do saber-poder em relação à saúde, apesar de todos os encargos que esta tarefa carrega consigo. </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Certamente a resposta a esta pergunta é imprescindível para a mudança nos papéis das mulheres e a saída ou não desse lugar de pseudo-poder e aprisionamento que o cuidado se transformou. </w:t>
      </w: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entanto, lembrando das contribuições de AYRES (2001; 2008), o cuidado difere deste cuidado no espaço das privações, estando presente e sendo necessário para a manutenção da vida:</w:t>
      </w:r>
    </w:p>
    <w:p>
      <w:pPr>
        <w:spacing w:before="0" w:after="200" w:line="480"/>
        <w:ind w:right="-1" w:left="0" w:firstLine="708"/>
        <w:jc w:val="both"/>
        <w:rPr>
          <w:rFonts w:ascii="Arial" w:hAnsi="Arial" w:cs="Arial" w:eastAsia="Arial"/>
          <w:color w:val="auto"/>
          <w:spacing w:val="0"/>
          <w:position w:val="0"/>
          <w:sz w:val="22"/>
          <w:shd w:fill="auto" w:val="clear"/>
        </w:rPr>
      </w:pPr>
    </w:p>
    <w:p>
      <w:pPr>
        <w:spacing w:before="0" w:after="200" w:line="480"/>
        <w:ind w:right="567" w:left="567" w:firstLine="567"/>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Cuidar é querer, é fazer projetos, é moldar a argila. </w:t>
      </w:r>
      <w:r>
        <w:rPr>
          <w:rFonts w:ascii="Arial" w:hAnsi="Arial" w:cs="Arial" w:eastAsia="Arial"/>
          <w:i/>
          <w:color w:val="auto"/>
          <w:spacing w:val="0"/>
          <w:position w:val="0"/>
          <w:sz w:val="20"/>
          <w:shd w:fill="auto" w:val="clear"/>
        </w:rPr>
        <w:t xml:space="preserve">Querer </w:t>
      </w:r>
      <w:r>
        <w:rPr>
          <w:rFonts w:ascii="Arial" w:hAnsi="Arial" w:cs="Arial" w:eastAsia="Arial"/>
          <w:color w:val="auto"/>
          <w:spacing w:val="0"/>
          <w:position w:val="0"/>
          <w:sz w:val="20"/>
          <w:shd w:fill="auto" w:val="clear"/>
        </w:rPr>
        <w:t xml:space="preserve">é o atributo e o ato do ser. Cuidar é sustentar no tempo, contra e à partir da resistência da matéria, uma forma simplesmente humana de ser. Mas é igualmente soprar o espírito, isto é, ver que essa forma não seja pura matéria suspensa no tempo (mesmidade), mas um ser que permanente trata de ser, um ente ‘que se quer’ (ipseidade).” (AYRES, 2001. p.71)</w:t>
      </w:r>
    </w:p>
    <w:p>
      <w:pPr>
        <w:spacing w:before="0" w:after="200" w:line="480"/>
        <w:ind w:right="567" w:left="567" w:firstLine="567"/>
        <w:jc w:val="both"/>
        <w:rPr>
          <w:rFonts w:ascii="Arial" w:hAnsi="Arial" w:cs="Arial" w:eastAsia="Arial"/>
          <w:color w:val="auto"/>
          <w:spacing w:val="0"/>
          <w:position w:val="0"/>
          <w:sz w:val="20"/>
          <w:shd w:fill="auto" w:val="clear"/>
        </w:rPr>
      </w:pPr>
    </w:p>
    <w:p>
      <w:pPr>
        <w:spacing w:before="0" w:after="200" w:line="480"/>
        <w:ind w:right="-1"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texto se encerra, mas a pergunta que após esta breve reflexão se apresenta é: como a mulher consegue superar o espaço privado e o aprisionamento - espaço de violência – sem deixar de lado o cuidado e o feminino? Como criar novos modos de andar a vida? </w:t>
      </w:r>
    </w:p>
    <w:p>
      <w:pPr>
        <w:spacing w:before="0" w:after="200" w:line="480"/>
        <w:ind w:right="-1" w:left="0" w:firstLine="0"/>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REFERÊNCIAS BIBLIOGRÁFICAS</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AYRES, J.R.C.M. Sujeito, intersubjetividade e práticas de saúde. Ciência e</w:t>
        <w:tab/>
        <w:t xml:space="preserve">saúde coletiva, 6(1): 63-72, 2001.</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AYRES, J.R.C.M. Cuidado e Humanização das práticas de saúde. </w:t>
      </w:r>
      <w:r>
        <w:rPr>
          <w:rFonts w:ascii="Arial" w:hAnsi="Arial" w:cs="Arial" w:eastAsia="Arial"/>
          <w:i/>
          <w:color w:val="auto"/>
          <w:spacing w:val="0"/>
          <w:position w:val="0"/>
          <w:sz w:val="22"/>
          <w:shd w:fill="auto" w:val="clear"/>
        </w:rPr>
        <w:t xml:space="preserve">In:</w:t>
        <w:tab/>
      </w:r>
      <w:r>
        <w:rPr>
          <w:rFonts w:ascii="Arial" w:hAnsi="Arial" w:cs="Arial" w:eastAsia="Arial"/>
          <w:color w:val="auto"/>
          <w:spacing w:val="0"/>
          <w:position w:val="0"/>
          <w:sz w:val="22"/>
          <w:shd w:fill="auto" w:val="clear"/>
        </w:rPr>
        <w:t xml:space="preserve">DESLANDES, S.F (org). Humanização dos cuidados em saúde:</w:t>
        <w:tab/>
        <w:t xml:space="preserve">conceitos, dilemas e práticas. 2ªed. Rio de Janeiro: Fiocruz; 2008.</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aps w:val="true"/>
          <w:color w:val="auto"/>
          <w:spacing w:val="0"/>
          <w:position w:val="0"/>
          <w:sz w:val="22"/>
          <w:shd w:fill="auto" w:val="clear"/>
        </w:rPr>
        <w:t xml:space="preserve">BOFF, L. </w:t>
      </w:r>
      <w:r>
        <w:rPr>
          <w:rFonts w:ascii="Arial" w:hAnsi="Arial" w:cs="Arial" w:eastAsia="Arial"/>
          <w:color w:val="auto"/>
          <w:spacing w:val="0"/>
          <w:position w:val="0"/>
          <w:sz w:val="22"/>
          <w:shd w:fill="auto" w:val="clear"/>
        </w:rPr>
        <w:t xml:space="preserve">Saber cuidar: ética do humano – compaixão pela terra. 6ed.</w:t>
        <w:tab/>
        <w:t xml:space="preserve">Petrópolis: Vozes; 2000.</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aps w:val="true"/>
          <w:color w:val="auto"/>
          <w:spacing w:val="0"/>
          <w:position w:val="0"/>
          <w:sz w:val="22"/>
          <w:shd w:fill="auto" w:val="clear"/>
        </w:rPr>
        <w:t xml:space="preserve">CANGUILHEM, G. </w:t>
      </w:r>
      <w:r>
        <w:rPr>
          <w:rFonts w:ascii="Arial" w:hAnsi="Arial" w:cs="Arial" w:eastAsia="Arial"/>
          <w:color w:val="auto"/>
          <w:spacing w:val="0"/>
          <w:position w:val="0"/>
          <w:sz w:val="22"/>
          <w:shd w:fill="auto" w:val="clear"/>
        </w:rPr>
        <w:t xml:space="preserve">O normal e o patológico. 6ª Ed. Rio de</w:t>
        <w:tab/>
        <w:t xml:space="preserve">Janeiro:Forense Universitária; 2009.</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CHAUÍ, M. Participando do Debate sobre mulheres e violência. </w:t>
      </w:r>
      <w:r>
        <w:rPr>
          <w:rFonts w:ascii="Arial" w:hAnsi="Arial" w:cs="Arial" w:eastAsia="Arial"/>
          <w:i/>
          <w:color w:val="auto"/>
          <w:spacing w:val="0"/>
          <w:position w:val="0"/>
          <w:sz w:val="22"/>
          <w:shd w:fill="auto" w:val="clear"/>
        </w:rPr>
        <w:t xml:space="preserve">In</w:t>
      </w:r>
      <w:r>
        <w:rPr>
          <w:rFonts w:ascii="Arial" w:hAnsi="Arial" w:cs="Arial" w:eastAsia="Arial"/>
          <w:color w:val="auto"/>
          <w:spacing w:val="0"/>
          <w:position w:val="0"/>
          <w:sz w:val="22"/>
          <w:shd w:fill="auto" w:val="clear"/>
        </w:rPr>
        <w:t xml:space="preserve">: Perspectivas Antropológicas de mulher. Rio de janeiro, Zahar, 1984.</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FERRANTE, F.G.; SANTOS, M.A.; VIEIRA, E.M. Violência contra a mulher: percepção dos médicos das Unidades Básicas de Saúde da Cidade de Ribeirão Preto, São Paulo. Interface: comunicação saúde educação. V.13, n.31, p.287-99, out-dez. 2009.</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GILLIGAN, C. In a Different Voice: Women’s Conceptions of Self and of Morality. </w:t>
      </w:r>
      <w:r>
        <w:rPr>
          <w:rFonts w:ascii="Arial" w:hAnsi="Arial" w:cs="Arial" w:eastAsia="Arial"/>
          <w:i/>
          <w:color w:val="auto"/>
          <w:spacing w:val="0"/>
          <w:position w:val="0"/>
          <w:sz w:val="22"/>
          <w:shd w:fill="auto" w:val="clear"/>
        </w:rPr>
        <w:t xml:space="preserve">In:</w:t>
      </w:r>
      <w:r>
        <w:rPr>
          <w:rFonts w:ascii="Arial" w:hAnsi="Arial" w:cs="Arial" w:eastAsia="Arial"/>
          <w:color w:val="auto"/>
          <w:spacing w:val="0"/>
          <w:position w:val="0"/>
          <w:sz w:val="22"/>
          <w:shd w:fill="auto" w:val="clear"/>
        </w:rPr>
        <w:t xml:space="preserve"> EISENSTEIN, H.; JARDINE, A. (Org.) The Future of Difference. New Brunswick: Rutgers University Press. 1985. Em rede: &lt;hhttp://www.Barnard.edu/sfonline&gt;. Acessado em agosto de 2010.</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GILLIGAN, C. O Nascimento do Prazer. Rio de Janeiro: Rocco, Coleção gênero Plural. 2003.</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GUTIERREZ, D.M.D.; MINAYO, M.C.S. Produção de conhecimento sobre cuidados da saúde no âmbito familiar. Ciência e Saúde Coletiva, 15(supl.1): 1497-1508. 2010.</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MARQUES, M.B. Discursos Médicos sobre Seres Frágeis. Rio de Janeiro: Fiocruz. 2001. </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LEITE, S.N.; VASCONCELOS, M.P.C. Negociando fronteiras entre Culturas, Doenças e Tratamentos no Cotidiano Familiar. História Ciência e Saúde – Manguinhos. V.13, n.1, p.113-28, jan-mar. 2006.</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LYRA, J.; LEÃO, L.S.; LIMA, D.C.; TARGINO, P.; CRISÓSTOMO, A.; SANTOS, B. Homens e Cuidado: uma outra família? </w:t>
      </w:r>
      <w:r>
        <w:rPr>
          <w:rFonts w:ascii="Arial" w:hAnsi="Arial" w:cs="Arial" w:eastAsia="Arial"/>
          <w:i/>
          <w:color w:val="auto"/>
          <w:spacing w:val="0"/>
          <w:position w:val="0"/>
          <w:sz w:val="22"/>
          <w:shd w:fill="auto" w:val="clear"/>
        </w:rPr>
        <w:t xml:space="preserve">In: </w:t>
      </w:r>
      <w:r>
        <w:rPr>
          <w:rFonts w:ascii="Arial" w:hAnsi="Arial" w:cs="Arial" w:eastAsia="Arial"/>
          <w:color w:val="auto"/>
          <w:spacing w:val="0"/>
          <w:position w:val="0"/>
          <w:sz w:val="22"/>
          <w:shd w:fill="auto" w:val="clear"/>
        </w:rPr>
        <w:t xml:space="preserve">ACOSTA; A.R.; VITALE, M.A.F. Família: redes, laços e políticas públicas. 4ªed. São Paulo: Cortez; 2008.</w:t>
      </w:r>
    </w:p>
    <w:p>
      <w:pPr>
        <w:spacing w:before="0" w:after="20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MATTOS, R.A. A integralidade na prática (ou sobre a prática da integralidade</w:t>
        <w:tab/>
        <w:t xml:space="preserve">Cad. Saúde Pública, Rio de Janeiro, 20(5):1411-1416, set-out, 2004</w:t>
      </w:r>
    </w:p>
    <w:p>
      <w:pPr>
        <w:spacing w:before="0" w:after="20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MAZZA, M.M.P.R. O cuidado em família sob o olhar do idoso. Faculdade de</w:t>
        <w:tab/>
        <w:t xml:space="preserve">Saúde Pública, USP. Tese. 2008.</w:t>
      </w:r>
    </w:p>
    <w:p>
      <w:pPr>
        <w:spacing w:before="0" w:after="20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PIMENTA, G.M.F.; COSTA, M.A.S.M.C.; GONÇALVES, L.H.T.; ALVAREZ, A.M. Perfil do familiar cuidador de idoso fragilizado em convívio doméstico da grande Região do Porto, Portugal. Rev. Esc. Enfermagem USP. 2009; 43(3):609-14.</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SARTI, C. A. Famílias Enredadas. </w:t>
      </w:r>
      <w:r>
        <w:rPr>
          <w:rFonts w:ascii="Arial" w:hAnsi="Arial" w:cs="Arial" w:eastAsia="Arial"/>
          <w:i/>
          <w:color w:val="auto"/>
          <w:spacing w:val="0"/>
          <w:position w:val="0"/>
          <w:sz w:val="22"/>
          <w:shd w:fill="auto" w:val="clear"/>
        </w:rPr>
        <w:t xml:space="preserve">In: </w:t>
      </w:r>
      <w:r>
        <w:rPr>
          <w:rFonts w:ascii="Arial" w:hAnsi="Arial" w:cs="Arial" w:eastAsia="Arial"/>
          <w:color w:val="auto"/>
          <w:spacing w:val="0"/>
          <w:position w:val="0"/>
          <w:sz w:val="22"/>
          <w:shd w:fill="auto" w:val="clear"/>
        </w:rPr>
        <w:t xml:space="preserve">ACOSTA; A.R.; VITALE, M.A.F. Família:</w:t>
        <w:tab/>
        <w:t xml:space="preserve">redes, laços e políticas públicas. 4ªed. São Paulo: Cortez; 2008.</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SAWAIA, B.B. Família e Afetividade: a configuração de uma práxis ético-política, perigos e oportunidades. </w:t>
      </w:r>
      <w:r>
        <w:rPr>
          <w:rFonts w:ascii="Arial" w:hAnsi="Arial" w:cs="Arial" w:eastAsia="Arial"/>
          <w:i/>
          <w:color w:val="auto"/>
          <w:spacing w:val="0"/>
          <w:position w:val="0"/>
          <w:sz w:val="22"/>
          <w:shd w:fill="auto" w:val="clear"/>
        </w:rPr>
        <w:t xml:space="preserve">In: </w:t>
      </w:r>
      <w:r>
        <w:rPr>
          <w:rFonts w:ascii="Arial" w:hAnsi="Arial" w:cs="Arial" w:eastAsia="Arial"/>
          <w:color w:val="auto"/>
          <w:spacing w:val="0"/>
          <w:position w:val="0"/>
          <w:sz w:val="22"/>
          <w:shd w:fill="auto" w:val="clear"/>
        </w:rPr>
        <w:t xml:space="preserve">ACOSTA; A.R.; VITALE, M.A.F. Família:</w:t>
        <w:tab/>
        <w:t xml:space="preserve">redes, laços e políticas públicas. 4ªed. São Paulo: Cortez; 2008.</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SCAVONE, L. O Trabalho das Mulheres pela Saúde: Cuidar, Curar, Agir. </w:t>
      </w:r>
      <w:r>
        <w:rPr>
          <w:rFonts w:ascii="Arial" w:hAnsi="Arial" w:cs="Arial" w:eastAsia="Arial"/>
          <w:i/>
          <w:color w:val="auto"/>
          <w:spacing w:val="0"/>
          <w:position w:val="0"/>
          <w:sz w:val="22"/>
          <w:shd w:fill="auto" w:val="clear"/>
        </w:rPr>
        <w:t xml:space="preserve">In:</w:t>
      </w:r>
      <w:r>
        <w:rPr>
          <w:rFonts w:ascii="Arial" w:hAnsi="Arial" w:cs="Arial" w:eastAsia="Arial"/>
          <w:color w:val="auto"/>
          <w:spacing w:val="0"/>
          <w:position w:val="0"/>
          <w:sz w:val="22"/>
          <w:shd w:fill="auto" w:val="clear"/>
        </w:rPr>
        <w:t xml:space="preserve"> VILLELA, W.; MONTEIRO, S. (Orgs). Gênero e Saúde: programa de Saúde da Família em Questão. São Paulo: ABRASCO, UNFPA. 2005.</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SCHRAIBER, L.B.; GOMES, R.; COUTO, M.T. Homens e saúde na pauta da</w:t>
        <w:tab/>
        <w:t xml:space="preserve">saúde coletiva. Rev. Ciência e Saúde Coletiva, 10(1):7-17, 2005. </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SCHRAIBER, L.B. Eqüidade de Gênero e Saúde: O Cotidiano das Práticas no programa Saúde da Família do Recife. </w:t>
      </w:r>
      <w:r>
        <w:rPr>
          <w:rFonts w:ascii="Arial" w:hAnsi="Arial" w:cs="Arial" w:eastAsia="Arial"/>
          <w:i/>
          <w:color w:val="auto"/>
          <w:spacing w:val="0"/>
          <w:position w:val="0"/>
          <w:sz w:val="22"/>
          <w:shd w:fill="auto" w:val="clear"/>
        </w:rPr>
        <w:t xml:space="preserve">In:</w:t>
      </w:r>
      <w:r>
        <w:rPr>
          <w:rFonts w:ascii="Arial" w:hAnsi="Arial" w:cs="Arial" w:eastAsia="Arial"/>
          <w:color w:val="auto"/>
          <w:spacing w:val="0"/>
          <w:position w:val="0"/>
          <w:sz w:val="22"/>
          <w:shd w:fill="auto" w:val="clear"/>
        </w:rPr>
        <w:t xml:space="preserve"> VILLELA, W.; MONTEIRO, S. (Orgs). Gênero e Saúde: programa de Saúde da Família em Questão. São Paulo: ABRASCO, UNFPA. 2005b.</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SCHRAIBER, L.B.; D´OLIVEIRA,A.F.P.L.; COUTO, M.T. Violência e Saúde:estudos científicos recentes. Rev. Saúde Pública, 40 (n.esp):112-20, 2006.</w:t>
      </w:r>
    </w:p>
    <w:p>
      <w:pPr>
        <w:spacing w:before="0" w:after="200" w:line="48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SOUTO, C.M.R.M.; BRAGA, V.A.B. Vivências da vida conjugal: posicionamento das mulheres. Rev. Bras. Enfermagem. 2009, set-out; 62(5):670-4.</w:t>
      </w:r>
    </w:p>
    <w:p>
      <w:pPr>
        <w:spacing w:before="0" w:after="200" w:line="480"/>
        <w:ind w:right="0" w:left="0" w:firstLine="0"/>
        <w:jc w:val="both"/>
        <w:rPr>
          <w:rFonts w:ascii="Arial" w:hAnsi="Arial" w:cs="Arial" w:eastAsia="Arial"/>
          <w:color w:val="auto"/>
          <w:spacing w:val="0"/>
          <w:position w:val="0"/>
          <w:sz w:val="22"/>
          <w:shd w:fill="auto" w:val="clear"/>
        </w:rPr>
      </w:pPr>
    </w:p>
    <w:p>
      <w:pPr>
        <w:spacing w:before="0" w:after="200" w:line="480"/>
        <w:ind w:right="0" w:left="0" w:firstLine="0"/>
        <w:jc w:val="both"/>
        <w:rPr>
          <w:rFonts w:ascii="Arial" w:hAnsi="Arial" w:cs="Arial" w:eastAsia="Arial"/>
          <w:color w:val="auto"/>
          <w:spacing w:val="0"/>
          <w:position w:val="0"/>
          <w:sz w:val="22"/>
          <w:shd w:fill="auto" w:val="clear"/>
        </w:rPr>
      </w:pPr>
    </w:p>
    <w:p>
      <w:pPr>
        <w:spacing w:before="0" w:after="200" w:line="480"/>
        <w:ind w:right="-1" w:left="0" w:firstLine="567"/>
        <w:jc w:val="both"/>
        <w:rPr>
          <w:rFonts w:ascii="Arial" w:hAnsi="Arial" w:cs="Arial" w:eastAsia="Arial"/>
          <w:color w:val="auto"/>
          <w:spacing w:val="0"/>
          <w:position w:val="0"/>
          <w:sz w:val="22"/>
          <w:shd w:fill="auto" w:val="clear"/>
        </w:rPr>
      </w:pPr>
    </w:p>
    <w:p>
      <w:pPr>
        <w:spacing w:before="0" w:after="200" w:line="276"/>
        <w:ind w:right="-1"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100" w:after="0" w:line="240"/>
        <w:ind w:right="0" w:left="102" w:firstLine="0"/>
        <w:jc w:val="left"/>
        <w:rPr>
          <w:rFonts w:ascii="Times New Roman" w:hAnsi="Times New Roman" w:cs="Times New Roman" w:eastAsia="Times New Roman"/>
          <w:b/>
          <w:color w:val="auto"/>
          <w:spacing w:val="0"/>
          <w:position w:val="0"/>
          <w:sz w:val="24"/>
          <w:shd w:fill="auto" w:val="clear"/>
        </w:rPr>
      </w:pPr>
      <w:r>
        <w:object w:dxaOrig="11421" w:dyaOrig="16146">
          <v:rect xmlns:o="urn:schemas-microsoft-com:office:office" xmlns:v="urn:schemas-microsoft-com:vml" id="rectole0000000032" style="width:571.050000pt;height:807.300000pt" o:preferrelative="t" o:ole="">
            <o:lock v:ext="edit"/>
            <v:imagedata xmlns:r="http://schemas.openxmlformats.org/officeDocument/2006/relationships" r:id="docRId191" o:title=""/>
          </v:rect>
          <o:OLEObject xmlns:r="http://schemas.openxmlformats.org/officeDocument/2006/relationships" xmlns:o="urn:schemas-microsoft-com:office:office" Type="Embed" ProgID="StaticMetafile" DrawAspect="Content" ObjectID="0000000032" ShapeID="rectole0000000032" r:id="docRId190"/>
        </w:object>
      </w:r>
      <w:r>
        <w:rPr>
          <w:rFonts w:ascii="Times New Roman" w:hAnsi="Times New Roman" w:cs="Times New Roman" w:eastAsia="Times New Roman"/>
          <w:b/>
          <w:color w:val="auto"/>
          <w:spacing w:val="0"/>
          <w:position w:val="0"/>
          <w:sz w:val="24"/>
          <w:shd w:fill="auto" w:val="clear"/>
        </w:rPr>
        <w:t xml:space="preserve">MÚLTIPLAS IDENTIDADES DAS QUEBRADEIRAS DE COCO BABAÇU</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39" w:after="0" w:line="240"/>
        <w:ind w:right="1446" w:left="2095"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VALDERIZA BARROS</w:t>
      </w:r>
    </w:p>
    <w:p>
      <w:pPr>
        <w:spacing w:before="132" w:after="0" w:line="240"/>
        <w:ind w:right="1448" w:left="2093"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Universidade Estadual do Maranhão (UEMA).</w:t>
      </w:r>
    </w:p>
    <w:p>
      <w:pPr>
        <w:spacing w:before="0" w:after="0" w:line="240"/>
        <w:ind w:right="1448" w:left="2095"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 Prof. Drº Benjamim Alvino de Mesquita</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5"/>
          <w:shd w:fill="auto" w:val="clear"/>
        </w:rPr>
      </w:pPr>
    </w:p>
    <w:p>
      <w:pPr>
        <w:numPr>
          <w:ilvl w:val="0"/>
          <w:numId w:val="4529"/>
        </w:numPr>
        <w:tabs>
          <w:tab w:val="left" w:pos="809" w:leader="none"/>
          <w:tab w:val="left" w:pos="810" w:leader="none"/>
        </w:tabs>
        <w:spacing w:before="69" w:after="0" w:line="240"/>
        <w:ind w:right="0" w:left="810" w:hanging="708"/>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9"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artigo surgiu da junção de várias experiências pessoais e, posteriormente profissionais em relação ao que se convencionou chamar aqui, inicialmente de forma genérica, como </w:t>
      </w:r>
      <w:r>
        <w:rPr>
          <w:rFonts w:ascii="Times New Roman" w:hAnsi="Times New Roman" w:cs="Times New Roman" w:eastAsia="Times New Roman"/>
          <w:i/>
          <w:color w:val="auto"/>
          <w:spacing w:val="0"/>
          <w:position w:val="0"/>
          <w:sz w:val="24"/>
          <w:shd w:fill="auto" w:val="clear"/>
        </w:rPr>
        <w:t xml:space="preserve">quebradeiras de coco babaçu</w:t>
      </w:r>
      <w:r>
        <w:rPr>
          <w:rFonts w:ascii="Times New Roman" w:hAnsi="Times New Roman" w:cs="Times New Roman" w:eastAsia="Times New Roman"/>
          <w:color w:val="auto"/>
          <w:spacing w:val="0"/>
          <w:position w:val="0"/>
          <w:sz w:val="24"/>
          <w:shd w:fill="auto" w:val="clear"/>
        </w:rPr>
        <w:t xml:space="preserve">. De forma genérica porque se trata de uma categoria muito ampla, que se não for bem delineada corre-se o risco de reificá-la. Afinal, se formos tomar a atividade econômica em si teremos situações de pessoas que quebram coco e não necessariamente se autodefinem como quebradeiras e outras, que, apesar de hoje se encontrarem mais no plano político organizativo e ter pouco tempo de dedicar-se à atividade em si, se autodefinem como </w:t>
      </w:r>
      <w:r>
        <w:rPr>
          <w:rFonts w:ascii="Times New Roman" w:hAnsi="Times New Roman" w:cs="Times New Roman" w:eastAsia="Times New Roman"/>
          <w:i/>
          <w:color w:val="auto"/>
          <w:spacing w:val="0"/>
          <w:position w:val="0"/>
          <w:sz w:val="24"/>
          <w:shd w:fill="auto" w:val="clear"/>
        </w:rPr>
        <w:t xml:space="preserve">quebradeiras de coco babaçu. </w:t>
      </w:r>
      <w:r>
        <w:rPr>
          <w:rFonts w:ascii="Times New Roman" w:hAnsi="Times New Roman" w:cs="Times New Roman" w:eastAsia="Times New Roman"/>
          <w:color w:val="auto"/>
          <w:spacing w:val="0"/>
          <w:position w:val="0"/>
          <w:sz w:val="24"/>
          <w:shd w:fill="auto" w:val="clear"/>
        </w:rPr>
        <w:t xml:space="preserve">Então, a primeira questão que preciso considerar é o caráter de construção dessa categoria, como ela ganha, a partir dos anos noventa, uma conotação política, relacionada não somente a uma atividade econômica e sim a um contexto de lutas de mobilizações, inclusive com o acionamento de uma identidade própria.</w:t>
      </w:r>
    </w:p>
    <w:p>
      <w:pPr>
        <w:spacing w:before="6" w:after="0" w:line="360"/>
        <w:ind w:right="109"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grupo social que pretendo estudar e que estive envolvida profissionalmente não é tão distante do meu quotidiano tendo em vista que sou filha de quebradeira de coco. Exerci juntamente com minha família atividades relacionadas à agricultura, inclusive quebrando coco e participando de algumas fases do ciclo agrícola tais como </w:t>
      </w:r>
      <w:r>
        <w:rPr>
          <w:rFonts w:ascii="Times New Roman" w:hAnsi="Times New Roman" w:cs="Times New Roman" w:eastAsia="Times New Roman"/>
          <w:i/>
          <w:color w:val="auto"/>
          <w:spacing w:val="0"/>
          <w:position w:val="0"/>
          <w:sz w:val="24"/>
          <w:shd w:fill="auto" w:val="clear"/>
        </w:rPr>
        <w:t xml:space="preserve">panha do arroz; plantação de milho e pilação do arroz e outras. </w:t>
      </w:r>
      <w:r>
        <w:rPr>
          <w:rFonts w:ascii="Times New Roman" w:hAnsi="Times New Roman" w:cs="Times New Roman" w:eastAsia="Times New Roman"/>
          <w:color w:val="auto"/>
          <w:spacing w:val="0"/>
          <w:position w:val="0"/>
          <w:sz w:val="24"/>
          <w:shd w:fill="auto" w:val="clear"/>
        </w:rPr>
        <w:t xml:space="preserve">Minha família possui o perfil do que os autores denominam como família camponesa já que plantávamos e colhíamos visando, inicialmente a nossa própria reprodução. Eu e meus sete irmãos nos dividíamos nessas atividades.</w:t>
      </w:r>
    </w:p>
    <w:p>
      <w:pPr>
        <w:spacing w:before="4"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período ainda não tinha uma reflexão acumulada sobre o significado  político e social do exercício dessas atividades. Somente no meu processo de formação educacional e no âmbito de algumas atividades políticas passei a refletir sobre o significado dessas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práticas.</w:t>
      </w:r>
    </w:p>
    <w:p>
      <w:pPr>
        <w:spacing w:before="4" w:after="0" w:line="360"/>
        <w:ind w:right="107"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nos coloca Weber (1993), a posição do pesquisador tem relação com a escolha do objeto de estudo. Nesse sentido, atribuo o interesse atual pelo tema relacionado à identidade das </w:t>
      </w:r>
      <w:r>
        <w:rPr>
          <w:rFonts w:ascii="Times New Roman" w:hAnsi="Times New Roman" w:cs="Times New Roman" w:eastAsia="Times New Roman"/>
          <w:i/>
          <w:color w:val="auto"/>
          <w:spacing w:val="0"/>
          <w:position w:val="0"/>
          <w:sz w:val="24"/>
          <w:shd w:fill="auto" w:val="clear"/>
        </w:rPr>
        <w:t xml:space="preserve">quebradeiras de coco babaçu, </w:t>
      </w:r>
      <w:r>
        <w:rPr>
          <w:rFonts w:ascii="Times New Roman" w:hAnsi="Times New Roman" w:cs="Times New Roman" w:eastAsia="Times New Roman"/>
          <w:color w:val="auto"/>
          <w:spacing w:val="0"/>
          <w:position w:val="0"/>
          <w:sz w:val="24"/>
          <w:shd w:fill="auto" w:val="clear"/>
        </w:rPr>
        <w:t xml:space="preserve">a essa trajetória.</w:t>
      </w:r>
    </w:p>
    <w:p>
      <w:pPr>
        <w:spacing w:before="4" w:after="0" w:line="360"/>
        <w:ind w:right="112"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Posso dizer que minha própria definição hoje, como filha de quebradeira de coco babaçu é construída, ou seja, é após a minha aproximação com o Movimento Interestadual de Quebradeiras de Côco Babaçu-MIQCB que passo a acioná-la, enquanto identidade.</w:t>
      </w:r>
    </w:p>
    <w:p>
      <w:pPr>
        <w:spacing w:before="4" w:after="0" w:line="360"/>
        <w:ind w:right="112" w:left="102" w:firstLine="1132"/>
        <w:jc w:val="both"/>
        <w:rPr>
          <w:rFonts w:ascii="Times New Roman" w:hAnsi="Times New Roman" w:cs="Times New Roman" w:eastAsia="Times New Roman"/>
          <w:color w:val="auto"/>
          <w:spacing w:val="0"/>
          <w:position w:val="0"/>
          <w:sz w:val="24"/>
          <w:shd w:fill="auto" w:val="clear"/>
        </w:rPr>
      </w:pPr>
    </w:p>
    <w:p>
      <w:pPr>
        <w:spacing w:before="4" w:after="0" w:line="360"/>
        <w:ind w:right="112" w:left="102" w:firstLine="1132"/>
        <w:jc w:val="both"/>
        <w:rPr>
          <w:rFonts w:ascii="Times New Roman" w:hAnsi="Times New Roman" w:cs="Times New Roman" w:eastAsia="Times New Roman"/>
          <w:color w:val="auto"/>
          <w:spacing w:val="0"/>
          <w:position w:val="0"/>
          <w:sz w:val="24"/>
          <w:shd w:fill="auto" w:val="clear"/>
        </w:rPr>
      </w:pPr>
    </w:p>
    <w:p>
      <w:pPr>
        <w:spacing w:before="6" w:after="0" w:line="360"/>
        <w:ind w:right="112"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problematização que faço hoje é fruto de graduais aproximações, inclusive  de </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tempo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tanto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quanto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descontínuo </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já </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 </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quando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estava </w:t>
      </w:r>
      <w:r>
        <w:rPr>
          <w:rFonts w:ascii="Times New Roman" w:hAnsi="Times New Roman" w:cs="Times New Roman" w:eastAsia="Times New Roman"/>
          <w:color w:val="auto"/>
          <w:spacing w:val="3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próxima </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às</w:t>
      </w:r>
    </w:p>
    <w:p>
      <w:pPr>
        <w:spacing w:before="98" w:after="0" w:line="360"/>
        <w:ind w:right="109" w:left="10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quebradeiras de coco, </w:t>
      </w:r>
      <w:r>
        <w:rPr>
          <w:rFonts w:ascii="Times New Roman" w:hAnsi="Times New Roman" w:cs="Times New Roman" w:eastAsia="Times New Roman"/>
          <w:color w:val="auto"/>
          <w:spacing w:val="0"/>
          <w:position w:val="0"/>
          <w:sz w:val="24"/>
          <w:shd w:fill="auto" w:val="clear"/>
        </w:rPr>
        <w:t xml:space="preserve">organizadas no MIQCB-Movimento Interestadual das Quebradeiras de Coco Babaçu-, não possuía ainda a capacidade interpretativa que tenho hoje. Posso dizer que nesse momento estou mais distante do movimento e mais próxima da Academia. Ao longo desse tempo pude exercitar essas “aproximações” e “distancias” em relação à situação que pretendo estudar e exercitar o que Cardoso de Oliveira classifica como o “estranhamento do familiar” e ao mesmo tempo “a transformação do exótico em familiar”.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540"/>
        </w:numPr>
        <w:tabs>
          <w:tab w:val="left" w:pos="1173" w:leader="none"/>
        </w:tabs>
        <w:spacing w:before="148" w:after="0" w:line="240"/>
        <w:ind w:right="0" w:left="1172" w:hanging="36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questão central da minha pesquisa consiste em analisar a relação entre a construção da identidade e os processos de reivindicação. A pesquisa analisa alguns aspectos da construção da identidade de quebradeiras de coco babaçu a partir de uma relativização da origem como definindo identidades ou dos critérios meramente geográficos. Ao contrário, a experiência que envolve o acionamento da identidade de quebradeiras de coco babaçu está centrada no critério organizativo, prático e social e na autodenominação Barth (2000). É a partir dos anos 90 que esse segmento social passa a se mobilizar e se autodefinir em contraposição as formas de classificação impostas.</w:t>
      </w:r>
    </w:p>
    <w:p>
      <w:pPr>
        <w:spacing w:before="4" w:after="0" w:line="360"/>
        <w:ind w:right="109"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Trabalho ainda a situação referente ao que denomino como múltiplas identidades, no sentido de demonstrar como uma mesma sujeita social pode se autodenominar de formas diferenciadas, dependendo do contexto no qual está inserida. Enfatizo os pertencimentos construídos por processos de mobilização em detrimento ao que poderia denominar como “pertencimentos externos”, ou seja, aqueles que são erigidos a partir de ações governamentais ou empresariais e que não são fruto de processos de mobilização. Trabalho em que </w:t>
      </w:r>
      <w:r>
        <w:rPr>
          <w:rFonts w:ascii="Times New Roman" w:hAnsi="Times New Roman" w:cs="Times New Roman" w:eastAsia="Times New Roman"/>
          <w:color w:val="auto"/>
          <w:spacing w:val="0"/>
          <w:position w:val="0"/>
          <w:sz w:val="24"/>
          <w:u w:val="single"/>
          <w:shd w:fill="auto" w:val="clear"/>
        </w:rPr>
        <w:t xml:space="preserve">contextos essas múltiplas </w:t>
      </w:r>
      <w:r>
        <w:rPr>
          <w:rFonts w:ascii="Times New Roman" w:hAnsi="Times New Roman" w:cs="Times New Roman" w:eastAsia="Times New Roman"/>
          <w:color w:val="auto"/>
          <w:spacing w:val="0"/>
          <w:position w:val="0"/>
          <w:sz w:val="24"/>
          <w:shd w:fill="auto" w:val="clear"/>
        </w:rPr>
        <w:t xml:space="preserve">identidade são acionadas.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546"/>
        </w:numPr>
        <w:tabs>
          <w:tab w:val="left" w:pos="1173" w:leader="none"/>
        </w:tabs>
        <w:spacing w:before="148" w:after="0" w:line="240"/>
        <w:ind w:right="0" w:left="1172" w:hanging="36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8" w:left="102" w:firstLine="1132"/>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Para realizar esse trabalho aproveitei a minha experiência acumulada como pesquisadora, no período que realizei trabalho de campo para elaboração da minha monografia, e na atividade de secretária quando trabalhei no MIQCB. Destaco que na posição de secretária aprofundei relações com as lideranças, em conversas informais. As relações sociais que estabeleci foram de fundamental importância para a realização desse  artigo. Lancei mão, para produzir esse trabalho, de relatórios e publicações de organizações não- governamentais,  artigo  de  jornais,  entrevistas,  trabalhos  acadêmicos.  Além  disso, realizei entrevistas durante o </w:t>
      </w:r>
      <w:r>
        <w:rPr>
          <w:rFonts w:ascii="Times New Roman" w:hAnsi="Times New Roman" w:cs="Times New Roman" w:eastAsia="Times New Roman"/>
          <w:i/>
          <w:color w:val="auto"/>
          <w:spacing w:val="0"/>
          <w:position w:val="0"/>
          <w:sz w:val="24"/>
          <w:shd w:fill="auto" w:val="clear"/>
        </w:rPr>
        <w:t xml:space="preserve">VI Encontrão </w:t>
      </w:r>
      <w:r>
        <w:rPr>
          <w:rFonts w:ascii="Times New Roman" w:hAnsi="Times New Roman" w:cs="Times New Roman" w:eastAsia="Times New Roman"/>
          <w:color w:val="auto"/>
          <w:spacing w:val="0"/>
          <w:position w:val="0"/>
          <w:sz w:val="24"/>
          <w:shd w:fill="auto" w:val="clear"/>
        </w:rPr>
        <w:t xml:space="preserve">das quebradeiras de coco babaçu. </w:t>
      </w:r>
      <w:r>
        <w:rPr>
          <w:rFonts w:ascii="Times New Roman" w:hAnsi="Times New Roman" w:cs="Times New Roman" w:eastAsia="Times New Roman"/>
          <w:i/>
          <w:color w:val="auto"/>
          <w:spacing w:val="0"/>
          <w:position w:val="0"/>
          <w:sz w:val="24"/>
          <w:shd w:fill="auto" w:val="clear"/>
        </w:rPr>
        <w:t xml:space="preserve">Encontrão </w:t>
      </w:r>
      <w:r>
        <w:rPr>
          <w:rFonts w:ascii="Times New Roman" w:hAnsi="Times New Roman" w:cs="Times New Roman" w:eastAsia="Times New Roman"/>
          <w:color w:val="auto"/>
          <w:spacing w:val="0"/>
          <w:position w:val="0"/>
          <w:sz w:val="24"/>
          <w:shd w:fill="auto" w:val="clear"/>
        </w:rPr>
        <w:t xml:space="preserve">é o nome dado pelas quebradeiras aos encontros realizados de quatro em quatro anos, que reúnem em média 300 representantes das denominadas regionais desse movimento e quando há a eleição da nova diretoria, o debate sobre os problemas que afetam esse segmento e o planejamento para os próximos anos</w:t>
      </w:r>
      <w:r>
        <w:rPr>
          <w:rFonts w:ascii="Times New Roman" w:hAnsi="Times New Roman" w:cs="Times New Roman" w:eastAsia="Times New Roman"/>
          <w:color w:val="auto"/>
          <w:spacing w:val="0"/>
          <w:position w:val="11"/>
          <w:sz w:val="16"/>
          <w:shd w:fill="auto" w:val="clear"/>
        </w:rPr>
        <w:t xml:space="preserve">1</w:t>
      </w:r>
      <w:r>
        <w:rPr>
          <w:rFonts w:ascii="Times New Roman" w:hAnsi="Times New Roman" w:cs="Times New Roman" w:eastAsia="Times New Roman"/>
          <w:color w:val="auto"/>
          <w:spacing w:val="0"/>
          <w:position w:val="11"/>
          <w:sz w:val="24"/>
          <w:shd w:fill="auto" w:val="clear"/>
        </w:rPr>
        <w:t xml:space="preserve">.</w:t>
      </w:r>
    </w:p>
    <w:p>
      <w:pPr>
        <w:spacing w:before="195" w:after="0" w:line="360"/>
        <w:ind w:right="109" w:left="122" w:firstLine="108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Senti algumas dificuldades em realizar trabalho de campo durante um encontro de decisões políticas. Primeiro em função do clima de apreensão em relação às decisões, incluindo as da nova diretoria. As lideranças estavam muito ocupadas, haveria mais uma eleição, além disso, estava em pauta à criação de uma cooperativa das quebradeiras de coco, o que implicou em limites para a realização das entrevistas. Considerando o respeito que  deveria ter pelo tempo de atividade no Encontrão aproveitei os chamados intervalos  do lanche. Aqui vale lembrar que, conforme BOURDIEU, as entrevistas possuem um caráter impositivo já que são questões de interesse, pelo menos inicialmente, dos pesquisadores. Perguntava-me em que medida estava também exercitando essa “autoridade” e em função disso tive muito cuidado em não “roubar o tempo do encontro”. Esse foi um limite para minha pesquisa já que as entrevistas não foram muito longas e se deram nesse contexto de definições de questões importantes para essas lideranças. Havia um clima de bastante agitação, algumas mulheres era a primeira vez que vinham para o Encontrão, umas haviam sido eleitas para compor a diretoria do MIQCB nas regionais. Falava-se do “encontro da renovação”, ou seja, muitas quebradeiras novas na direção do MIQCB. A maioria das entrevistas foi concedida nos corredores do hotel onde as mulheres estavam hospedadas. Entrevistei dona Dijé, dona Nice, quebradeiras de coco que estão na direção do MIQCB há bastante tempo. As entrevistas se deram em meio a outros compromissos dessas lideranças, com jornalistas, entrevistas em rádios e TVs, outros pesquisadores que lá estavam e aproveitavam o momento para realizarem suas observações de pesquisa. Para fazer as entrevistas contei com os instrumentos do Projeto Nova Cartografia Social da Amazônia (PNCSA). Pude contar com uma determinada estrutura e com um clima amistoso graças às relações construídas ao longo do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tempo.</w:t>
      </w:r>
    </w:p>
    <w:p>
      <w:pPr>
        <w:spacing w:before="195" w:after="0" w:line="360"/>
        <w:ind w:right="109" w:left="122" w:firstLine="1087"/>
        <w:jc w:val="both"/>
        <w:rPr>
          <w:rFonts w:ascii="Times New Roman" w:hAnsi="Times New Roman" w:cs="Times New Roman" w:eastAsia="Times New Roman"/>
          <w:color w:val="auto"/>
          <w:spacing w:val="0"/>
          <w:position w:val="0"/>
          <w:sz w:val="24"/>
          <w:shd w:fill="auto" w:val="clear"/>
        </w:rPr>
      </w:pPr>
    </w:p>
    <w:p>
      <w:pPr>
        <w:numPr>
          <w:ilvl w:val="0"/>
          <w:numId w:val="4551"/>
        </w:numPr>
        <w:tabs>
          <w:tab w:val="left" w:pos="252" w:leader="none"/>
        </w:tabs>
        <w:spacing w:before="40" w:after="0" w:line="242"/>
        <w:ind w:right="110" w:left="122"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Encontrão é o nome dado pelas quebradeiras ao 1º encontro, realizado em São Luis entre 24 e 26 de setembro de 1991, que reuniu 250 mulheres quebradeiras de coco do Maranhão, Piaui, Pará e Tocantins, sendo promovido pelo Centro de Educação e Cultura do Trabalhador Rural(MA), Sociedade Maranhense de Defesa do Direitos Humanos, Associação das Áreas em Assentamento do  Estado de  Maranhão, Centro de Educação Popular Esperantina(PI), Comissão pastoral da Terra(TO), Federação dos Trabalhadores na Agricultura do Estado do Tocantins (Relatório I MIQCB:</w:t>
      </w:r>
      <w:r>
        <w:rPr>
          <w:rFonts w:ascii="Times New Roman" w:hAnsi="Times New Roman" w:cs="Times New Roman" w:eastAsia="Times New Roman"/>
          <w:color w:val="auto"/>
          <w:spacing w:val="-18"/>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ano1991).</w:t>
      </w:r>
    </w:p>
    <w:p>
      <w:pPr>
        <w:spacing w:before="0" w:after="0" w:line="242"/>
        <w:ind w:right="0" w:left="0" w:firstLine="0"/>
        <w:jc w:val="both"/>
        <w:rPr>
          <w:rFonts w:ascii="Times New Roman" w:hAnsi="Times New Roman" w:cs="Times New Roman" w:eastAsia="Times New Roman"/>
          <w:color w:val="auto"/>
          <w:spacing w:val="0"/>
          <w:position w:val="0"/>
          <w:sz w:val="13"/>
          <w:shd w:fill="auto" w:val="clear"/>
        </w:rPr>
      </w:pPr>
    </w:p>
    <w:p>
      <w:pPr>
        <w:tabs>
          <w:tab w:val="left" w:pos="3584" w:leader="none"/>
        </w:tabs>
        <w:spacing w:before="98" w:after="0" w:line="360"/>
        <w:ind w:right="114"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Após o trabalho de campo, realizado no Encontrão, passei a dedicar um tempo para ler referências bibliográficas sobre o tema, jornais, revistas, relatórios e ver sites sobre asquebradeiras  de   coco </w:t>
      </w:r>
      <w:r>
        <w:rPr>
          <w:rFonts w:ascii="Times New Roman" w:hAnsi="Times New Roman" w:cs="Times New Roman" w:eastAsia="Times New Roman"/>
          <w:i/>
          <w:color w:val="auto"/>
          <w:spacing w:val="31"/>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babaçu</w:t>
      </w:r>
      <w:r>
        <w:rPr>
          <w:rFonts w:ascii="Times New Roman" w:hAnsi="Times New Roman" w:cs="Times New Roman" w:eastAsia="Times New Roman"/>
          <w:color w:val="auto"/>
          <w:spacing w:val="0"/>
          <w:position w:val="0"/>
          <w:sz w:val="24"/>
          <w:shd w:fill="auto" w:val="clear"/>
        </w:rPr>
        <w:t xml:space="preserve">.</w:t>
        <w:tab/>
        <w:t xml:space="preserve">Com  relação  aos  sites  percebi  que  ainda    </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há </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poucas informações sobre essas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mulheres.</w:t>
      </w:r>
    </w:p>
    <w:p>
      <w:pPr>
        <w:spacing w:before="6" w:after="0" w:line="360"/>
        <w:ind w:right="107"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Entrevistei, para esse artigo as quebradeiras de coco que se constituem em lideranças no estado do Maranhão, mais precisamente das regiões conhecidas como Médio Mearim e Baixada. Entrevistei ainda uma quebradeira de coco índia da região de Imperatriz que se autodefine como quebradeira de coco babaçu e também como índia. Essa entrevista, que foi perdida por problemas técnicos, mas que demonstra a possibilidade de uma mesma agente social se definir de formas diferenciadas, e, poderia apontar para a existência do que denomino de múltiplas identidades.</w:t>
      </w:r>
    </w:p>
    <w:p>
      <w:pPr>
        <w:spacing w:before="4" w:after="0" w:line="360"/>
        <w:ind w:right="10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trabalho está subdividido em </w:t>
      </w:r>
      <w:r>
        <w:rPr>
          <w:rFonts w:ascii="Times New Roman" w:hAnsi="Times New Roman" w:cs="Times New Roman" w:eastAsia="Times New Roman"/>
          <w:color w:val="auto"/>
          <w:spacing w:val="0"/>
          <w:position w:val="0"/>
          <w:sz w:val="24"/>
          <w:u w:val="single"/>
          <w:shd w:fill="auto" w:val="clear"/>
        </w:rPr>
        <w:t xml:space="preserve">três momentos</w:t>
      </w:r>
      <w:r>
        <w:rPr>
          <w:rFonts w:ascii="Times New Roman" w:hAnsi="Times New Roman" w:cs="Times New Roman" w:eastAsia="Times New Roman"/>
          <w:color w:val="auto"/>
          <w:spacing w:val="0"/>
          <w:position w:val="0"/>
          <w:sz w:val="24"/>
          <w:shd w:fill="auto" w:val="clear"/>
        </w:rPr>
        <w:t xml:space="preserve">: inicialmente farei uma </w:t>
      </w:r>
      <w:r>
        <w:rPr>
          <w:rFonts w:ascii="Times New Roman" w:hAnsi="Times New Roman" w:cs="Times New Roman" w:eastAsia="Times New Roman"/>
          <w:color w:val="auto"/>
          <w:spacing w:val="0"/>
          <w:position w:val="0"/>
          <w:sz w:val="24"/>
          <w:u w:val="single"/>
          <w:shd w:fill="auto" w:val="clear"/>
        </w:rPr>
        <w:t xml:space="preserve">abordagem do MIQCB </w:t>
      </w:r>
      <w:r>
        <w:rPr>
          <w:rFonts w:ascii="Times New Roman" w:hAnsi="Times New Roman" w:cs="Times New Roman" w:eastAsia="Times New Roman"/>
          <w:color w:val="auto"/>
          <w:spacing w:val="0"/>
          <w:position w:val="0"/>
          <w:sz w:val="24"/>
          <w:shd w:fill="auto" w:val="clear"/>
        </w:rPr>
        <w:t xml:space="preserve">(Movimento Interestadual das Quebradeiras de Coco Babaçu) e em que medida a organização das mulheres nesse movimento contribui para o acionamento de uma identidade específica, vinculada ao processo de mobilização. Ainda nesse capítulo falo o que é esse movimento, conto sobre sua origem, como funciona, quem participa e quais os seus objetivos enquanto movimento organizado, traço perfil das quebradeiras de coco babaçu, dizendo quem são, onde vivem, como se organizaram. E quais são suas principais reivindicações para chegar a ter a identidade de quebradeira de coco babaçu.</w:t>
      </w:r>
    </w:p>
    <w:p>
      <w:pPr>
        <w:spacing w:before="124" w:after="0" w:line="360"/>
        <w:ind w:right="109"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segundo momento, descrevo sobre a construção da identidade da </w:t>
      </w:r>
      <w:r>
        <w:rPr>
          <w:rFonts w:ascii="Times New Roman" w:hAnsi="Times New Roman" w:cs="Times New Roman" w:eastAsia="Times New Roman"/>
          <w:i/>
          <w:color w:val="auto"/>
          <w:spacing w:val="0"/>
          <w:position w:val="0"/>
          <w:sz w:val="24"/>
          <w:shd w:fill="auto" w:val="clear"/>
        </w:rPr>
        <w:t xml:space="preserve">quebradeira de coco babaçu </w:t>
      </w:r>
      <w:r>
        <w:rPr>
          <w:rFonts w:ascii="Times New Roman" w:hAnsi="Times New Roman" w:cs="Times New Roman" w:eastAsia="Times New Roman"/>
          <w:color w:val="auto"/>
          <w:spacing w:val="0"/>
          <w:position w:val="0"/>
          <w:sz w:val="24"/>
          <w:shd w:fill="auto" w:val="clear"/>
        </w:rPr>
        <w:t xml:space="preserve">procurando ver qual a relação entre a construção da identidade de quebradeira e os processos de reivindicação. Analiso ainda os critérios de definição dessa identidade, demonstrando ser o critério político organizativo que define esse segmento social. Analiso também alguns aspectos dessa identidade e procuro ver o que realmente configura essa identidade.</w:t>
      </w:r>
    </w:p>
    <w:p>
      <w:pPr>
        <w:spacing w:before="6" w:after="0" w:line="360"/>
        <w:ind w:right="108" w:left="102" w:firstLine="119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último capítulo faço uma reflexão sobre o que denomino múltiplas identidades, ou seja, como, em algumas situações a mesma sujeita social pode acionar identidades diferenciadas, a exemplo, de </w:t>
      </w:r>
      <w:r>
        <w:rPr>
          <w:rFonts w:ascii="Times New Roman" w:hAnsi="Times New Roman" w:cs="Times New Roman" w:eastAsia="Times New Roman"/>
          <w:i/>
          <w:color w:val="auto"/>
          <w:spacing w:val="0"/>
          <w:position w:val="0"/>
          <w:sz w:val="24"/>
          <w:shd w:fill="auto" w:val="clear"/>
        </w:rPr>
        <w:t xml:space="preserve">quebradeira de coco babaçu </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i/>
          <w:color w:val="auto"/>
          <w:spacing w:val="0"/>
          <w:position w:val="0"/>
          <w:sz w:val="24"/>
          <w:shd w:fill="auto" w:val="clear"/>
        </w:rPr>
        <w:t xml:space="preserve">quilombola</w:t>
      </w:r>
      <w:r>
        <w:rPr>
          <w:rFonts w:ascii="Times New Roman" w:hAnsi="Times New Roman" w:cs="Times New Roman" w:eastAsia="Times New Roman"/>
          <w:color w:val="auto"/>
          <w:spacing w:val="0"/>
          <w:position w:val="0"/>
          <w:sz w:val="24"/>
          <w:shd w:fill="auto" w:val="clear"/>
        </w:rPr>
        <w:t xml:space="preserve">? Em que contexto essas múltiplas identidades são acionadas?</w:t>
      </w:r>
    </w:p>
    <w:p>
      <w:pPr>
        <w:spacing w:before="6" w:after="0" w:line="360"/>
        <w:ind w:right="108" w:left="102" w:firstLine="1192"/>
        <w:jc w:val="both"/>
        <w:rPr>
          <w:rFonts w:ascii="Times New Roman" w:hAnsi="Times New Roman" w:cs="Times New Roman" w:eastAsia="Times New Roman"/>
          <w:color w:val="auto"/>
          <w:spacing w:val="0"/>
          <w:position w:val="0"/>
          <w:sz w:val="24"/>
          <w:shd w:fill="auto" w:val="clear"/>
        </w:rPr>
      </w:pPr>
    </w:p>
    <w:p>
      <w:pPr>
        <w:spacing w:before="6" w:after="0" w:line="360"/>
        <w:ind w:right="108" w:left="102" w:firstLine="1192"/>
        <w:jc w:val="both"/>
        <w:rPr>
          <w:rFonts w:ascii="Times New Roman" w:hAnsi="Times New Roman" w:cs="Times New Roman" w:eastAsia="Times New Roman"/>
          <w:color w:val="auto"/>
          <w:spacing w:val="0"/>
          <w:position w:val="0"/>
          <w:sz w:val="24"/>
          <w:shd w:fill="auto" w:val="clear"/>
        </w:rPr>
      </w:pPr>
    </w:p>
    <w:p>
      <w:pPr>
        <w:spacing w:before="6" w:after="0" w:line="360"/>
        <w:ind w:right="108" w:left="102" w:firstLine="1192"/>
        <w:jc w:val="both"/>
        <w:rPr>
          <w:rFonts w:ascii="Times New Roman" w:hAnsi="Times New Roman" w:cs="Times New Roman" w:eastAsia="Times New Roman"/>
          <w:color w:val="auto"/>
          <w:spacing w:val="0"/>
          <w:position w:val="0"/>
          <w:sz w:val="24"/>
          <w:shd w:fill="auto" w:val="clear"/>
        </w:rPr>
      </w:pPr>
    </w:p>
    <w:p>
      <w:pPr>
        <w:spacing w:before="6" w:after="0" w:line="360"/>
        <w:ind w:right="108" w:left="102" w:firstLine="1192"/>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4559"/>
        </w:numPr>
        <w:tabs>
          <w:tab w:val="left" w:pos="1803" w:leader="none"/>
          <w:tab w:val="left" w:pos="1804" w:leader="none"/>
        </w:tabs>
        <w:spacing w:before="148" w:after="0" w:line="240"/>
        <w:ind w:right="0" w:left="1803" w:hanging="991"/>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 DA PESQUISA E</w:t>
      </w:r>
      <w:r>
        <w:rPr>
          <w:rFonts w:ascii="Times New Roman" w:hAnsi="Times New Roman" w:cs="Times New Roman" w:eastAsia="Times New Roman"/>
          <w:b/>
          <w:color w:val="auto"/>
          <w:spacing w:val="-1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DISCUSSÕES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9" w:after="0" w:line="240"/>
        <w:ind w:right="0" w:left="0" w:firstLine="0"/>
        <w:jc w:val="left"/>
        <w:rPr>
          <w:rFonts w:ascii="Times New Roman" w:hAnsi="Times New Roman" w:cs="Times New Roman" w:eastAsia="Times New Roman"/>
          <w:b/>
          <w:color w:val="auto"/>
          <w:spacing w:val="0"/>
          <w:position w:val="0"/>
          <w:sz w:val="23"/>
          <w:shd w:fill="auto" w:val="clear"/>
        </w:rPr>
      </w:pPr>
    </w:p>
    <w:p>
      <w:pPr>
        <w:numPr>
          <w:ilvl w:val="0"/>
          <w:numId w:val="4562"/>
        </w:numPr>
        <w:tabs>
          <w:tab w:val="left" w:pos="610" w:leader="none"/>
          <w:tab w:val="left" w:pos="611" w:leader="none"/>
          <w:tab w:val="left" w:pos="1006" w:leader="none"/>
          <w:tab w:val="left" w:pos="2800" w:leader="none"/>
          <w:tab w:val="left" w:pos="5077" w:leader="none"/>
          <w:tab w:val="left" w:pos="5765" w:leader="none"/>
          <w:tab w:val="left" w:pos="7908" w:leader="none"/>
          <w:tab w:val="left" w:pos="8450" w:leader="none"/>
        </w:tabs>
        <w:spacing w:before="0" w:after="0" w:line="240"/>
        <w:ind w:right="114" w:left="102"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w:t>
        <w:tab/>
        <w:t xml:space="preserve">MOVIMENTO</w:t>
        <w:tab/>
        <w:t xml:space="preserve">INTERESTADUAL</w:t>
        <w:tab/>
        <w:t xml:space="preserve">DAS</w:t>
        <w:tab/>
        <w:t xml:space="preserve">QUEBRADEIRAS</w:t>
        <w:tab/>
        <w:t xml:space="preserve">DE</w:t>
        <w:tab/>
        <w:t xml:space="preserve">COCO BABAÇU E AS QUEBRADEIRAS DE COCO</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BABAÇU</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98" w:after="0" w:line="360"/>
        <w:ind w:right="24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o relatório do I Encontro Interestadual de Quebradeiras de Coco Babaçu-I EIQCB, o MIQCB-Movimento Interestadual das Quebradeiras de Coco Babaçu é um movimento organizado que articula mulheres das regiões Norte e Nordeste do Brasil, e que nessa articulação possui a finalidade de apoiá-las nas suas mobilizações e articulações políticas. O fato histórico que inicia a construção do MIQCB é o I Encontro, em São Luís, de lideranças quebradeiras de coco e movimentos sociais dos quatro estados que hoje compõem esse movimento, a saber, Maranhão, Piauí, Tocantins e Pará. Nesse evento que recebeu a denominação de “Encontrão” decidiu-se por constituir o MIQCB, que nasceu da luta dessas mulheres por paz e justiça no campo, pela defesa das palmeiras e do meio ambiente (Cordeiro:2008) e pela reforma agrária, assim como pelo reforço à identidade e igualdade de direitos entre mulheres e homens. Sua especificidade é dar voz às mulheres que sustentam suas famílias através da utilização racional de coco babaçu. (MIQCB, I Encontro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1991.)</w:t>
      </w:r>
    </w:p>
    <w:p>
      <w:pPr>
        <w:spacing w:before="6" w:after="0" w:line="360"/>
        <w:ind w:right="249"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organização dessas quebradeiras de coco babaçu em um movimento surge a partir do desenvolvimento de uma consciência coletiva, da necessidade em construir um movimento que encampasse as bandeiras de luta e discutisse os problemas que eram comuns às mulheres extrativistas: identidade, gênero, necessidade de estar junto aos denominados </w:t>
      </w:r>
      <w:r>
        <w:rPr>
          <w:rFonts w:ascii="Times New Roman" w:hAnsi="Times New Roman" w:cs="Times New Roman" w:eastAsia="Times New Roman"/>
          <w:i/>
          <w:color w:val="auto"/>
          <w:spacing w:val="0"/>
          <w:position w:val="0"/>
          <w:sz w:val="24"/>
          <w:shd w:fill="auto" w:val="clear"/>
        </w:rPr>
        <w:t xml:space="preserve">companheiros </w:t>
      </w:r>
      <w:r>
        <w:rPr>
          <w:rFonts w:ascii="Times New Roman" w:hAnsi="Times New Roman" w:cs="Times New Roman" w:eastAsia="Times New Roman"/>
          <w:color w:val="auto"/>
          <w:spacing w:val="0"/>
          <w:position w:val="0"/>
          <w:sz w:val="24"/>
          <w:shd w:fill="auto" w:val="clear"/>
        </w:rPr>
        <w:t xml:space="preserve">nas discussões dos sindicatos, ecologia através da luta contra a derrubada de palmeiras, por uma educação voltada para as questões da realidade local, saúde, possibilidade de dominar o corpo e ter direito inclusive sobre a reprodução, sexualidade.</w:t>
      </w:r>
    </w:p>
    <w:p>
      <w:pPr>
        <w:spacing w:before="6" w:after="0" w:line="360"/>
        <w:ind w:right="255" w:left="102" w:firstLine="1132"/>
        <w:jc w:val="both"/>
        <w:rPr>
          <w:rFonts w:ascii="Times New Roman" w:hAnsi="Times New Roman" w:cs="Times New Roman" w:eastAsia="Times New Roman"/>
          <w:color w:val="auto"/>
          <w:spacing w:val="0"/>
          <w:position w:val="0"/>
          <w:sz w:val="24"/>
          <w:shd w:fill="auto" w:val="clear"/>
        </w:rPr>
      </w:pPr>
      <w:r>
        <w:object w:dxaOrig="7687" w:dyaOrig="3176">
          <v:rect xmlns:o="urn:schemas-microsoft-com:office:office" xmlns:v="urn:schemas-microsoft-com:vml" id="rectole0000000033" style="width:384.350000pt;height:158.800000pt" o:preferrelative="t" o:ole="">
            <o:lock v:ext="edit"/>
            <v:imagedata xmlns:r="http://schemas.openxmlformats.org/officeDocument/2006/relationships" r:id="docRId193" o:title=""/>
          </v:rect>
          <o:OLEObject xmlns:r="http://schemas.openxmlformats.org/officeDocument/2006/relationships" xmlns:o="urn:schemas-microsoft-com:office:office" Type="Embed" ProgID="StaticMetafile" DrawAspect="Content" ObjectID="0000000033" ShapeID="rectole0000000033" r:id="docRId192"/>
        </w:object>
      </w:r>
      <w:r>
        <w:rPr>
          <w:rFonts w:ascii="Times New Roman" w:hAnsi="Times New Roman" w:cs="Times New Roman" w:eastAsia="Times New Roman"/>
          <w:color w:val="auto"/>
          <w:spacing w:val="0"/>
          <w:position w:val="0"/>
          <w:sz w:val="24"/>
          <w:shd w:fill="auto" w:val="clear"/>
        </w:rPr>
        <w:t xml:space="preserve">O Movimento Interestadual das Quebradeiras de Coco Babaçu articula seis (06) regiões: Médio Mearim, Baixada, Tocantina (Imperatriz e municípios vizinhos), no Estado do Maranhão; Bico do Papagaio, no Estado do Tocantins; Palestina, no Estado do Pará; Esperantina, no Estado do Piauí. (BARROS: 2005 p. 21)</w:t>
      </w:r>
    </w:p>
    <w:p>
      <w:pPr>
        <w:spacing w:before="62" w:after="0" w:line="360"/>
        <w:ind w:right="111" w:left="122" w:firstLine="1132"/>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Cada denominada </w:t>
      </w:r>
      <w:r>
        <w:rPr>
          <w:rFonts w:ascii="Times New Roman" w:hAnsi="Times New Roman" w:cs="Times New Roman" w:eastAsia="Times New Roman"/>
          <w:i/>
          <w:color w:val="auto"/>
          <w:spacing w:val="0"/>
          <w:position w:val="0"/>
          <w:sz w:val="24"/>
          <w:shd w:fill="auto" w:val="clear"/>
        </w:rPr>
        <w:t xml:space="preserve">regional</w:t>
      </w:r>
      <w:r>
        <w:rPr>
          <w:rFonts w:ascii="Times New Roman" w:hAnsi="Times New Roman" w:cs="Times New Roman" w:eastAsia="Times New Roman"/>
          <w:i/>
          <w:color w:val="auto"/>
          <w:spacing w:val="0"/>
          <w:position w:val="11"/>
          <w:sz w:val="16"/>
          <w:shd w:fill="auto" w:val="clear"/>
        </w:rPr>
        <w:t xml:space="preserve">2 </w:t>
      </w:r>
      <w:r>
        <w:rPr>
          <w:rFonts w:ascii="Times New Roman" w:hAnsi="Times New Roman" w:cs="Times New Roman" w:eastAsia="Times New Roman"/>
          <w:color w:val="auto"/>
          <w:spacing w:val="0"/>
          <w:position w:val="11"/>
          <w:sz w:val="24"/>
          <w:shd w:fill="auto" w:val="clear"/>
        </w:rPr>
        <w:t xml:space="preserve">prioriza as temáticas e formas de atuação e mobilização que lhe foram peculiares e é nesse espaço onde o movimento alcança um maior numero de mulheres e torna visíveis as suas políticas. Essa divisão não segue um ordem geográfica oficial à exemplo do IBGE, mas a definição de regional segue uma lógica que vai além do território geográfico, e que perpassa sim por uma lógica de território político do babaçu.</w:t>
      </w:r>
    </w:p>
    <w:p>
      <w:pPr>
        <w:spacing w:before="6" w:after="0" w:line="352"/>
        <w:ind w:right="111" w:left="122" w:firstLine="1132"/>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Estima-se em 300 mil o número de mulheres envolvidas no extrativismo  do babaçu nos estado acima citados, porém na área de atuação do MIQCB esse número ainda é uma realidade a ser alcançada. O termo </w:t>
      </w:r>
      <w:r>
        <w:rPr>
          <w:rFonts w:ascii="Times New Roman" w:hAnsi="Times New Roman" w:cs="Times New Roman" w:eastAsia="Times New Roman"/>
          <w:i/>
          <w:color w:val="auto"/>
          <w:spacing w:val="0"/>
          <w:position w:val="0"/>
          <w:sz w:val="24"/>
          <w:shd w:fill="auto" w:val="clear"/>
        </w:rPr>
        <w:t xml:space="preserve">quebradeira de coco babaçu </w:t>
      </w:r>
      <w:r>
        <w:rPr>
          <w:rFonts w:ascii="Times New Roman" w:hAnsi="Times New Roman" w:cs="Times New Roman" w:eastAsia="Times New Roman"/>
          <w:color w:val="auto"/>
          <w:spacing w:val="0"/>
          <w:position w:val="0"/>
          <w:sz w:val="24"/>
          <w:shd w:fill="auto" w:val="clear"/>
        </w:rPr>
        <w:t xml:space="preserve">embora seja relacionado a uma atividade econômica se constitui em uma forma de autodefinição que congrega as sujeitas sociais</w:t>
      </w:r>
      <w:r>
        <w:rPr>
          <w:rFonts w:ascii="Times New Roman" w:hAnsi="Times New Roman" w:cs="Times New Roman" w:eastAsia="Times New Roman"/>
          <w:color w:val="auto"/>
          <w:spacing w:val="0"/>
          <w:position w:val="11"/>
          <w:sz w:val="16"/>
          <w:shd w:fill="auto" w:val="clear"/>
        </w:rPr>
        <w:t xml:space="preserve">3  </w:t>
      </w:r>
      <w:r>
        <w:rPr>
          <w:rFonts w:ascii="Times New Roman" w:hAnsi="Times New Roman" w:cs="Times New Roman" w:eastAsia="Times New Roman"/>
          <w:color w:val="auto"/>
          <w:spacing w:val="0"/>
          <w:position w:val="11"/>
          <w:sz w:val="24"/>
          <w:shd w:fill="auto" w:val="clear"/>
        </w:rPr>
        <w:t xml:space="preserve">em processos de mobilização em vários estados.</w:t>
      </w:r>
    </w:p>
    <w:p>
      <w:pPr>
        <w:spacing w:before="0" w:after="0" w:line="360"/>
        <w:ind w:right="110" w:left="122" w:firstLine="119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relatório do V Encontro realizado nos dias 8 a 10 dezembro de 2004, em São Luis Maranhão as participantes definiram a situação fundiária das quebradeiras de coco é a seguinte: posseiras 10,46 das mulheres, assentadas 37,23, proprietárias 14,64, moradoras em reservas 0,83, quilombolas 0,83, sem terras 33,05,outras 2,96. Pelo relatório pode-se ter uma idéia da situação fundiária das denominadas lideranças e perceber que apesar da diversidade de situações, todas as sujeitas sociais se autodefinem como quebradeiras de coco babaçu. Então, não é a origem ou situação fundiária que define essa identidade. Além disso, no caso das quebradeiras que se definem como quilombola percebe-se que não se trata de uma categoria referida à situação fundiária em si e sim uma categoria de autodefinição. Isso significa que há situações onde as quebradeiras de coco se autodefinem como quilombolas mesmo em casos de ainda não terem acesso formal à terra, há ainda os casos de quilombos que se transformaram em assentamento. Percebo ser esse o perfil referente às participantes, mas que não reflete a totalidade da situação fundiária das quebradeiras. Posso dizer, entretanto que a maioria das quebradeiras de coco babaçu se encontra trabalhando em terras que demandam regularização fundiária e reconhecimento de seus direitos. Ver gráfico p.10 rel.V encontrão.</w:t>
      </w:r>
    </w:p>
    <w:p>
      <w:pPr>
        <w:spacing w:before="0" w:after="0" w:line="360"/>
        <w:ind w:right="110" w:left="122" w:firstLine="1192"/>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4572"/>
        </w:numPr>
        <w:tabs>
          <w:tab w:val="left" w:pos="245" w:leader="none"/>
        </w:tabs>
        <w:spacing w:before="39" w:after="0" w:line="249"/>
        <w:ind w:right="109" w:left="122" w:firstLine="0"/>
        <w:jc w:val="both"/>
        <w:rPr>
          <w:rFonts w:ascii="Calibri" w:hAnsi="Calibri" w:cs="Calibri" w:eastAsia="Calibri"/>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MIQCB foge dessa definição estática de território imposta por uma divisão geográfica que não respeita o território das quebradeiras e organização sua própria divisão: Regional da Baixada, Médio Mearim, Pará, Piaui, Imperatriz e Tocantins, respeitando assim os limites de luta.</w:t>
      </w:r>
      <w:r>
        <w:rPr>
          <w:rFonts w:ascii="Times New Roman" w:hAnsi="Times New Roman" w:cs="Times New Roman" w:eastAsia="Times New Roman"/>
          <w:color w:val="auto"/>
          <w:spacing w:val="-1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PINDOVA,2009.</w:t>
      </w:r>
    </w:p>
    <w:p>
      <w:pPr>
        <w:spacing w:before="6"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111" w:left="122" w:firstLine="0"/>
        <w:jc w:val="both"/>
        <w:rPr>
          <w:rFonts w:ascii="Times New Roman" w:hAnsi="Times New Roman" w:cs="Times New Roman" w:eastAsia="Times New Roman"/>
          <w:color w:val="auto"/>
          <w:spacing w:val="0"/>
          <w:position w:val="7"/>
          <w:sz w:val="18"/>
          <w:shd w:fill="auto" w:val="clear"/>
        </w:rPr>
      </w:pPr>
      <w:r>
        <w:rPr>
          <w:rFonts w:ascii="Times New Roman" w:hAnsi="Times New Roman" w:cs="Times New Roman" w:eastAsia="Times New Roman"/>
          <w:color w:val="auto"/>
          <w:spacing w:val="0"/>
          <w:position w:val="7"/>
          <w:sz w:val="18"/>
          <w:shd w:fill="auto" w:val="clear"/>
        </w:rPr>
        <w:t xml:space="preserve">3 Utilizo aqui o termo sujeita social por se tratar de um movimento composto prioritariamente por mulheres, entendendo pro esse termo aquela</w:t>
      </w:r>
      <w:r>
        <w:rPr>
          <w:rFonts w:ascii="Times New Roman" w:hAnsi="Times New Roman" w:cs="Times New Roman" w:eastAsia="Times New Roman"/>
          <w:color w:val="auto"/>
          <w:spacing w:val="-2"/>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pessoa</w:t>
      </w:r>
      <w:r>
        <w:rPr>
          <w:rFonts w:ascii="Times New Roman" w:hAnsi="Times New Roman" w:cs="Times New Roman" w:eastAsia="Times New Roman"/>
          <w:color w:val="auto"/>
          <w:spacing w:val="-2"/>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capaz</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de</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se</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reconhecer,</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compreender</w:t>
      </w:r>
      <w:r>
        <w:rPr>
          <w:rFonts w:ascii="Times New Roman" w:hAnsi="Times New Roman" w:cs="Times New Roman" w:eastAsia="Times New Roman"/>
          <w:color w:val="auto"/>
          <w:spacing w:val="-4"/>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e</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lutar</w:t>
      </w:r>
      <w:r>
        <w:rPr>
          <w:rFonts w:ascii="Times New Roman" w:hAnsi="Times New Roman" w:cs="Times New Roman" w:eastAsia="Times New Roman"/>
          <w:color w:val="auto"/>
          <w:spacing w:val="-6"/>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pela</w:t>
      </w:r>
      <w:r>
        <w:rPr>
          <w:rFonts w:ascii="Times New Roman" w:hAnsi="Times New Roman" w:cs="Times New Roman" w:eastAsia="Times New Roman"/>
          <w:color w:val="auto"/>
          <w:spacing w:val="-2"/>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transformação</w:t>
      </w:r>
      <w:r>
        <w:rPr>
          <w:rFonts w:ascii="Times New Roman" w:hAnsi="Times New Roman" w:cs="Times New Roman" w:eastAsia="Times New Roman"/>
          <w:color w:val="auto"/>
          <w:spacing w:val="-4"/>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das</w:t>
      </w:r>
      <w:r>
        <w:rPr>
          <w:rFonts w:ascii="Times New Roman" w:hAnsi="Times New Roman" w:cs="Times New Roman" w:eastAsia="Times New Roman"/>
          <w:color w:val="auto"/>
          <w:spacing w:val="-3"/>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relações</w:t>
      </w:r>
      <w:r>
        <w:rPr>
          <w:rFonts w:ascii="Times New Roman" w:hAnsi="Times New Roman" w:cs="Times New Roman" w:eastAsia="Times New Roman"/>
          <w:color w:val="auto"/>
          <w:spacing w:val="-3"/>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de</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submissão</w:t>
      </w:r>
      <w:r>
        <w:rPr>
          <w:rFonts w:ascii="Times New Roman" w:hAnsi="Times New Roman" w:cs="Times New Roman" w:eastAsia="Times New Roman"/>
          <w:color w:val="auto"/>
          <w:spacing w:val="-4"/>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a</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que</w:t>
      </w:r>
      <w:r>
        <w:rPr>
          <w:rFonts w:ascii="Times New Roman" w:hAnsi="Times New Roman" w:cs="Times New Roman" w:eastAsia="Times New Roman"/>
          <w:color w:val="auto"/>
          <w:spacing w:val="-5"/>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estão</w:t>
      </w:r>
      <w:r>
        <w:rPr>
          <w:rFonts w:ascii="Times New Roman" w:hAnsi="Times New Roman" w:cs="Times New Roman" w:eastAsia="Times New Roman"/>
          <w:color w:val="auto"/>
          <w:spacing w:val="-4"/>
          <w:position w:val="7"/>
          <w:sz w:val="18"/>
          <w:shd w:fill="auto" w:val="clear"/>
        </w:rPr>
        <w:t xml:space="preserve"> </w:t>
      </w:r>
      <w:r>
        <w:rPr>
          <w:rFonts w:ascii="Times New Roman" w:hAnsi="Times New Roman" w:cs="Times New Roman" w:eastAsia="Times New Roman"/>
          <w:color w:val="auto"/>
          <w:spacing w:val="0"/>
          <w:position w:val="7"/>
          <w:sz w:val="18"/>
          <w:shd w:fill="auto" w:val="clear"/>
        </w:rPr>
        <w:t xml:space="preserve">submetidos.</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13"/>
          <w:shd w:fill="auto" w:val="clear"/>
        </w:rPr>
      </w:pPr>
    </w:p>
    <w:p>
      <w:pPr>
        <w:spacing w:before="0" w:after="0" w:line="240"/>
        <w:ind w:right="0" w:left="2146" w:firstLine="0"/>
        <w:jc w:val="left"/>
        <w:rPr>
          <w:rFonts w:ascii="Times New Roman" w:hAnsi="Times New Roman" w:cs="Times New Roman" w:eastAsia="Times New Roman"/>
          <w:color w:val="auto"/>
          <w:spacing w:val="0"/>
          <w:position w:val="0"/>
          <w:sz w:val="20"/>
          <w:shd w:fill="auto" w:val="clear"/>
        </w:rPr>
      </w:pPr>
      <w:r>
        <w:object w:dxaOrig="4403" w:dyaOrig="3469">
          <v:rect xmlns:o="urn:schemas-microsoft-com:office:office" xmlns:v="urn:schemas-microsoft-com:vml" id="rectole0000000034" style="width:220.150000pt;height:173.450000pt" o:preferrelative="t" o:ole="">
            <o:lock v:ext="edit"/>
            <v:imagedata xmlns:r="http://schemas.openxmlformats.org/officeDocument/2006/relationships" r:id="docRId195" o:title=""/>
          </v:rect>
          <o:OLEObject xmlns:r="http://schemas.openxmlformats.org/officeDocument/2006/relationships" xmlns:o="urn:schemas-microsoft-com:office:office" Type="Embed" ProgID="StaticMetafile" DrawAspect="Content" ObjectID="0000000034" ShapeID="rectole0000000034" r:id="docRId194"/>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1" w:left="102" w:firstLine="112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“sujeitas sociais” às quais estou descrevendo são integrantes de movimentos organizados que transformam o meio geográfico, são capazes de mudar e transformar a sociedade em que vivem. São agentes sociais que possuem um papel fundamental no desempenho das atividades extrativistas, estão inseridas no cenário político dos estados como vereadoras e outros cargos políticos, são sujeitas de ação social (Rodrigues, cita Weber, ano 2007 p.57) que lutam por melhoria na qualidade das políticas públicas voltadas para vida das quebradeiras de coco e seus familiares.</w:t>
      </w:r>
    </w:p>
    <w:p>
      <w:pPr>
        <w:spacing w:before="4"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vale ressaltar que não é somente a atividade da exploração do babaçu que define a identidade de quebradeira de coco babaçu. Percebi, por exemplo, que as lideranças, mesmo que não exercendo a atividade de quebra do coco do babaçu diariamente, se autodesignam como quebradeiras de coco babaçu e incorporam o sentido político dessa categoria. Segue um depoimento onde ALMEIDA (2005</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explicita sobre as diferentes unidades 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mobilização:</w:t>
      </w:r>
    </w:p>
    <w:p>
      <w:pPr>
        <w:spacing w:before="5" w:after="0" w:line="240"/>
        <w:ind w:right="110" w:left="237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Nesse processo de reconhecimento e autodefinição das quebradeiras de coco babaçu digo que as </w:t>
      </w:r>
      <w:r>
        <w:rPr>
          <w:rFonts w:ascii="Times New Roman" w:hAnsi="Times New Roman" w:cs="Times New Roman" w:eastAsia="Times New Roman"/>
          <w:color w:val="auto"/>
          <w:spacing w:val="0"/>
          <w:position w:val="0"/>
          <w:sz w:val="20"/>
          <w:u w:val="single"/>
          <w:shd w:fill="auto" w:val="clear"/>
        </w:rPr>
        <w:t xml:space="preserve">unidades de mobilização </w:t>
      </w:r>
      <w:r>
        <w:rPr>
          <w:rFonts w:ascii="Times New Roman" w:hAnsi="Times New Roman" w:cs="Times New Roman" w:eastAsia="Times New Roman"/>
          <w:color w:val="auto"/>
          <w:spacing w:val="0"/>
          <w:position w:val="0"/>
          <w:sz w:val="20"/>
          <w:shd w:fill="auto" w:val="clear"/>
        </w:rPr>
        <w:t xml:space="preserve">são muito importantes por oferecer um aparato de possibilidades que vão além do convencional. Para romper com o controle da economia oligopolizada e do agronegócio as quebradeiras de coco criam associações, cooperativas, fabriquetas dentre outros. Evocando assim novos papeis sociais que vem reforçar a identidade de quebradeira de coco babaçu. Dependendo da configuração estatutária da entidade a qual estão ligadas elas são presidentes, cooperadas, coordenadoras, vereadoras etc.. (ALMEIDA,1995</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p.17)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1"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ponto a ser ressaltado é que as </w:t>
      </w:r>
      <w:r>
        <w:rPr>
          <w:rFonts w:ascii="Times New Roman" w:hAnsi="Times New Roman" w:cs="Times New Roman" w:eastAsia="Times New Roman"/>
          <w:i/>
          <w:color w:val="auto"/>
          <w:spacing w:val="0"/>
          <w:position w:val="0"/>
          <w:sz w:val="24"/>
          <w:shd w:fill="auto" w:val="clear"/>
        </w:rPr>
        <w:t xml:space="preserve">quebradeiras de coco babaçu </w:t>
      </w:r>
      <w:r>
        <w:rPr>
          <w:rFonts w:ascii="Times New Roman" w:hAnsi="Times New Roman" w:cs="Times New Roman" w:eastAsia="Times New Roman"/>
          <w:color w:val="auto"/>
          <w:spacing w:val="0"/>
          <w:position w:val="0"/>
          <w:sz w:val="24"/>
          <w:shd w:fill="auto" w:val="clear"/>
        </w:rPr>
        <w:t xml:space="preserve">estão organizadas em diferentes unidades de mobilização, tais como cooperativas, associações, grupos de mulheres e outras. Essas unidades de mobilização funcionam em rede.</w:t>
      </w:r>
    </w:p>
    <w:p>
      <w:pPr>
        <w:spacing w:before="1" w:after="0" w:line="360"/>
        <w:ind w:right="111" w:left="102" w:firstLine="1132"/>
        <w:jc w:val="both"/>
        <w:rPr>
          <w:rFonts w:ascii="Times New Roman" w:hAnsi="Times New Roman" w:cs="Times New Roman" w:eastAsia="Times New Roman"/>
          <w:color w:val="auto"/>
          <w:spacing w:val="0"/>
          <w:position w:val="0"/>
          <w:sz w:val="24"/>
          <w:shd w:fill="auto" w:val="clear"/>
        </w:rPr>
      </w:pPr>
    </w:p>
    <w:p>
      <w:pPr>
        <w:spacing w:before="1" w:after="0" w:line="360"/>
        <w:ind w:right="111" w:left="102" w:firstLine="1132"/>
        <w:jc w:val="both"/>
        <w:rPr>
          <w:rFonts w:ascii="Times New Roman" w:hAnsi="Times New Roman" w:cs="Times New Roman" w:eastAsia="Times New Roman"/>
          <w:color w:val="auto"/>
          <w:spacing w:val="0"/>
          <w:position w:val="0"/>
          <w:sz w:val="24"/>
          <w:shd w:fill="auto" w:val="clear"/>
        </w:rPr>
      </w:pPr>
    </w:p>
    <w:p>
      <w:pPr>
        <w:spacing w:before="1" w:after="0" w:line="360"/>
        <w:ind w:right="111" w:left="102" w:firstLine="1132"/>
        <w:jc w:val="both"/>
        <w:rPr>
          <w:rFonts w:ascii="Times New Roman" w:hAnsi="Times New Roman" w:cs="Times New Roman" w:eastAsia="Times New Roman"/>
          <w:color w:val="auto"/>
          <w:spacing w:val="0"/>
          <w:position w:val="0"/>
          <w:sz w:val="24"/>
          <w:shd w:fill="auto" w:val="clear"/>
        </w:rPr>
      </w:pPr>
    </w:p>
    <w:p>
      <w:pPr>
        <w:spacing w:before="4" w:after="0" w:line="360"/>
        <w:ind w:right="110" w:left="102" w:firstLine="1132"/>
        <w:jc w:val="both"/>
        <w:rPr>
          <w:rFonts w:ascii="Times New Roman" w:hAnsi="Times New Roman" w:cs="Times New Roman" w:eastAsia="Times New Roman"/>
          <w:color w:val="auto"/>
          <w:spacing w:val="0"/>
          <w:position w:val="11"/>
          <w:sz w:val="24"/>
          <w:shd w:fill="auto" w:val="clear"/>
        </w:rPr>
      </w:pPr>
      <w:r>
        <w:rPr>
          <w:rFonts w:ascii="Times New Roman" w:hAnsi="Times New Roman" w:cs="Times New Roman" w:eastAsia="Times New Roman"/>
          <w:color w:val="auto"/>
          <w:spacing w:val="0"/>
          <w:position w:val="0"/>
          <w:sz w:val="24"/>
          <w:shd w:fill="auto" w:val="clear"/>
        </w:rPr>
        <w:t xml:space="preserve">As quebradeiras de coco babaçu enfrentam dificuldades para adquirir o coco, porque   a   maioria   dos   babaçuais   encontra-se   em   áreas   privadas.   São   inúmeros    os impedimentos de acesso aos babaçuais como, por exemplo, quebra da alça do jacar</w:t>
      </w:r>
      <w:r>
        <w:rPr>
          <w:rFonts w:ascii="Times New Roman" w:hAnsi="Times New Roman" w:cs="Times New Roman" w:eastAsia="Times New Roman"/>
          <w:color w:val="auto"/>
          <w:spacing w:val="0"/>
          <w:position w:val="11"/>
          <w:sz w:val="16"/>
          <w:shd w:fill="auto" w:val="clear"/>
        </w:rPr>
        <w:t xml:space="preserve">4</w:t>
      </w:r>
      <w:r>
        <w:rPr>
          <w:rFonts w:ascii="Times New Roman" w:hAnsi="Times New Roman" w:cs="Times New Roman" w:eastAsia="Times New Roman"/>
          <w:color w:val="auto"/>
          <w:spacing w:val="0"/>
          <w:position w:val="11"/>
          <w:sz w:val="24"/>
          <w:shd w:fill="auto" w:val="clear"/>
        </w:rPr>
        <w:t xml:space="preserve">, cerca elétrica além de outras formas da sujeição como, quebra de meia, venda por vale dentre  outros. Dona Dijé em entrevista nos dá um olhar sobre a</w:t>
      </w:r>
      <w:r>
        <w:rPr>
          <w:rFonts w:ascii="Times New Roman" w:hAnsi="Times New Roman" w:cs="Times New Roman" w:eastAsia="Times New Roman"/>
          <w:color w:val="auto"/>
          <w:spacing w:val="-9"/>
          <w:position w:val="11"/>
          <w:sz w:val="24"/>
          <w:shd w:fill="auto" w:val="clear"/>
        </w:rPr>
        <w:t xml:space="preserve"> </w:t>
      </w:r>
      <w:r>
        <w:rPr>
          <w:rFonts w:ascii="Times New Roman" w:hAnsi="Times New Roman" w:cs="Times New Roman" w:eastAsia="Times New Roman"/>
          <w:color w:val="auto"/>
          <w:spacing w:val="0"/>
          <w:position w:val="11"/>
          <w:sz w:val="24"/>
          <w:shd w:fill="auto" w:val="clear"/>
        </w:rPr>
        <w:t xml:space="preserve">realidade.</w:t>
      </w: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115" w:left="239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Dona Dijé: </w:t>
      </w:r>
      <w:r>
        <w:rPr>
          <w:rFonts w:ascii="Times New Roman" w:hAnsi="Times New Roman" w:cs="Times New Roman" w:eastAsia="Times New Roman"/>
          <w:color w:val="auto"/>
          <w:spacing w:val="0"/>
          <w:position w:val="0"/>
          <w:sz w:val="20"/>
          <w:shd w:fill="auto" w:val="clear"/>
        </w:rPr>
        <w:t xml:space="preserve">Um quilo de coco é vendido por R$ 1. Mas, antigamente, lá em Monte Alegre, a gente tinha que quebrar 5 quilos de coco pra comprar 1 quilo de arroz. Sei de comunidades em que 10 quilos de coco valiam 1 quilo de arroz. Hoje, quebramos o coco e recebemos o dinheiro na hora. Isso foi uma grande mudança, porque, durante muito tempo, entregamos as amêndoas em troca de vale, um pedacinho de papel com o valor escrito. Se aquele pedacinho de papel se perdesse, nós perdíamos o</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dinheiro...</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Uma</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boa</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quebradeira</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coco</w:t>
      </w:r>
      <w:r>
        <w:rPr>
          <w:rFonts w:ascii="Times New Roman" w:hAnsi="Times New Roman" w:cs="Times New Roman" w:eastAsia="Times New Roman"/>
          <w:color w:val="auto"/>
          <w:spacing w:val="4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consegue</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tirar</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10</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quilos,</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na</w:t>
      </w:r>
      <w:r>
        <w:rPr>
          <w:rFonts w:ascii="Times New Roman" w:hAnsi="Times New Roman" w:cs="Times New Roman" w:eastAsia="Times New Roman"/>
          <w:color w:val="auto"/>
          <w:spacing w:val="4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média.</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1" w:left="1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dos anos mesmo com o processo mobilização constantes, as </w:t>
      </w:r>
      <w:r>
        <w:rPr>
          <w:rFonts w:ascii="Times New Roman" w:hAnsi="Times New Roman" w:cs="Times New Roman" w:eastAsia="Times New Roman"/>
          <w:i/>
          <w:color w:val="auto"/>
          <w:spacing w:val="0"/>
          <w:position w:val="0"/>
          <w:sz w:val="24"/>
          <w:shd w:fill="auto" w:val="clear"/>
        </w:rPr>
        <w:t xml:space="preserve">quebradeiras de coco babaçu </w:t>
      </w:r>
      <w:r>
        <w:rPr>
          <w:rFonts w:ascii="Times New Roman" w:hAnsi="Times New Roman" w:cs="Times New Roman" w:eastAsia="Times New Roman"/>
          <w:color w:val="auto"/>
          <w:spacing w:val="0"/>
          <w:position w:val="0"/>
          <w:sz w:val="24"/>
          <w:shd w:fill="auto" w:val="clear"/>
        </w:rPr>
        <w:t xml:space="preserve">ainda não conseguiram a valorização do seu trabalho, nem mesmo a das suas bandeiras de luta.</w:t>
      </w:r>
    </w:p>
    <w:p>
      <w:pPr>
        <w:spacing w:before="4" w:after="0" w:line="360"/>
        <w:ind w:right="109" w:left="1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dos problemas diferenciados, vivenciados em cada uma das denominadas </w:t>
      </w:r>
      <w:r>
        <w:rPr>
          <w:rFonts w:ascii="Times New Roman" w:hAnsi="Times New Roman" w:cs="Times New Roman" w:eastAsia="Times New Roman"/>
          <w:i/>
          <w:color w:val="auto"/>
          <w:spacing w:val="0"/>
          <w:position w:val="0"/>
          <w:sz w:val="24"/>
          <w:shd w:fill="auto" w:val="clear"/>
        </w:rPr>
        <w:t xml:space="preserve">regionais</w:t>
      </w:r>
      <w:r>
        <w:rPr>
          <w:rFonts w:ascii="Times New Roman" w:hAnsi="Times New Roman" w:cs="Times New Roman" w:eastAsia="Times New Roman"/>
          <w:color w:val="auto"/>
          <w:spacing w:val="0"/>
          <w:position w:val="0"/>
          <w:sz w:val="24"/>
          <w:shd w:fill="auto" w:val="clear"/>
        </w:rPr>
        <w:t xml:space="preserve">, há bandeiras de luta comuns, como a luta pelo livre acesso aos babaçuais. Na </w:t>
      </w:r>
      <w:r>
        <w:rPr>
          <w:rFonts w:ascii="Times New Roman" w:hAnsi="Times New Roman" w:cs="Times New Roman" w:eastAsia="Times New Roman"/>
          <w:i/>
          <w:color w:val="auto"/>
          <w:spacing w:val="0"/>
          <w:position w:val="0"/>
          <w:sz w:val="24"/>
          <w:shd w:fill="auto" w:val="clear"/>
        </w:rPr>
        <w:t xml:space="preserve">regional </w:t>
      </w:r>
      <w:r>
        <w:rPr>
          <w:rFonts w:ascii="Times New Roman" w:hAnsi="Times New Roman" w:cs="Times New Roman" w:eastAsia="Times New Roman"/>
          <w:color w:val="auto"/>
          <w:spacing w:val="0"/>
          <w:position w:val="0"/>
          <w:sz w:val="24"/>
          <w:shd w:fill="auto" w:val="clear"/>
        </w:rPr>
        <w:t xml:space="preserve">da Baixada, por exemplo, há uma luta constante contra o búfalo; na regional do Mearim as mulheres têm que enfrentar as pastagens que os grandes fazendeiros fazem para os seus gados; na regional de Imperatriz há uma constante luta contra a soja, enfim, as quebradeiras anos após ano lutam contra o agronegócio e contra uma visão homogeneizante da economia. Assim, o reconhecimento dessa identidade vem atrelado à luta contra um processo de modernização conservadora que insiste em manter intocáveis as estruturas fundiárias no Brasil como a relação de trabalho apoiada na submissão de quem trabalha no campo.</w:t>
      </w:r>
    </w:p>
    <w:p>
      <w:pPr>
        <w:spacing w:before="4" w:after="0" w:line="360"/>
        <w:ind w:right="112" w:left="1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Compreendo que o “o movimento das quebradeiras de coco babaçu” não existe  em todos os lugares em que há babaçuais e que nem sempre a categoria </w:t>
      </w:r>
      <w:r>
        <w:rPr>
          <w:rFonts w:ascii="Times New Roman" w:hAnsi="Times New Roman" w:cs="Times New Roman" w:eastAsia="Times New Roman"/>
          <w:i/>
          <w:color w:val="auto"/>
          <w:spacing w:val="0"/>
          <w:position w:val="0"/>
          <w:sz w:val="24"/>
          <w:shd w:fill="auto" w:val="clear"/>
        </w:rPr>
        <w:t xml:space="preserve">quebradeira de coco babaçu </w:t>
      </w:r>
      <w:r>
        <w:rPr>
          <w:rFonts w:ascii="Times New Roman" w:hAnsi="Times New Roman" w:cs="Times New Roman" w:eastAsia="Times New Roman"/>
          <w:color w:val="auto"/>
          <w:spacing w:val="0"/>
          <w:position w:val="0"/>
          <w:sz w:val="24"/>
          <w:shd w:fill="auto" w:val="clear"/>
        </w:rPr>
        <w:t xml:space="preserve">se constituiu em uma categoria com cunho político. A esse respeito cito a seguir um trecho do livro “quebradeiras de coco babaçu: identidade 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mobilização”:</w:t>
      </w:r>
    </w:p>
    <w:p>
      <w:pPr>
        <w:spacing w:before="3"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113" w:left="239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Movimento Interestadual das Quebradeiras de Coco Babaçu, que reforça o advento da nova identidade política. Ao se autodenominarem como quebradeiras e serem assim reconhecidas pelos aparelhos de poder, elas emprestam significado político a uma categoria historicamente de uso cotidiano (ALMEIDA: 1995,</w:t>
      </w:r>
      <w:r>
        <w:rPr>
          <w:rFonts w:ascii="Times New Roman" w:hAnsi="Times New Roman" w:cs="Times New Roman" w:eastAsia="Times New Roman"/>
          <w:color w:val="auto"/>
          <w:spacing w:val="-1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19)</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7"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39" w:after="0" w:line="259"/>
        <w:ind w:right="329" w:left="122" w:firstLine="0"/>
        <w:jc w:val="left"/>
        <w:rPr>
          <w:rFonts w:ascii="Times New Roman" w:hAnsi="Times New Roman" w:cs="Times New Roman" w:eastAsia="Times New Roman"/>
          <w:color w:val="auto"/>
          <w:spacing w:val="0"/>
          <w:position w:val="10"/>
          <w:sz w:val="18"/>
          <w:shd w:fill="auto" w:val="clear"/>
        </w:rPr>
      </w:pPr>
      <w:r>
        <w:rPr>
          <w:rFonts w:ascii="Calibri" w:hAnsi="Calibri" w:cs="Calibri" w:eastAsia="Calibri"/>
          <w:color w:val="auto"/>
          <w:spacing w:val="0"/>
          <w:position w:val="10"/>
          <w:sz w:val="18"/>
          <w:shd w:fill="auto" w:val="clear"/>
        </w:rPr>
        <w:t xml:space="preserve">4 </w:t>
      </w:r>
      <w:r>
        <w:rPr>
          <w:rFonts w:ascii="Times New Roman" w:hAnsi="Times New Roman" w:cs="Times New Roman" w:eastAsia="Times New Roman"/>
          <w:color w:val="auto"/>
          <w:spacing w:val="0"/>
          <w:position w:val="10"/>
          <w:sz w:val="18"/>
          <w:shd w:fill="auto" w:val="clear"/>
        </w:rPr>
        <w:t xml:space="preserve">O jacar é um cesto feito artesanalmente, onde as mulheres colocam o coco babaçu pendurado por uma corda em um animal, ou seja, elas catam o coco e lavam para casa no jacar.</w:t>
      </w:r>
    </w:p>
    <w:p>
      <w:pPr>
        <w:spacing w:before="0" w:after="0" w:line="259"/>
        <w:ind w:right="0" w:left="0" w:firstLine="0"/>
        <w:jc w:val="left"/>
        <w:rPr>
          <w:rFonts w:ascii="Times New Roman" w:hAnsi="Times New Roman" w:cs="Times New Roman" w:eastAsia="Times New Roman"/>
          <w:color w:val="auto"/>
          <w:spacing w:val="0"/>
          <w:position w:val="0"/>
          <w:sz w:val="16"/>
          <w:shd w:fill="auto" w:val="clear"/>
        </w:rPr>
      </w:pPr>
    </w:p>
    <w:p>
      <w:pPr>
        <w:numPr>
          <w:ilvl w:val="0"/>
          <w:numId w:val="4598"/>
        </w:numPr>
        <w:tabs>
          <w:tab w:val="left" w:pos="482" w:leader="none"/>
        </w:tabs>
        <w:spacing w:before="0" w:after="0" w:line="240"/>
        <w:ind w:right="0" w:left="482" w:hanging="509"/>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CONSTRUÇÃO DA IDENTIDADE DAS QUEBRADEIRAS DE COCO</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BABAÇU</w:t>
      </w:r>
    </w:p>
    <w:p>
      <w:pPr>
        <w:spacing w:before="98" w:after="0" w:line="360"/>
        <w:ind w:right="10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identidade de </w:t>
      </w:r>
      <w:r>
        <w:rPr>
          <w:rFonts w:ascii="Times New Roman" w:hAnsi="Times New Roman" w:cs="Times New Roman" w:eastAsia="Times New Roman"/>
          <w:i/>
          <w:color w:val="auto"/>
          <w:spacing w:val="0"/>
          <w:position w:val="0"/>
          <w:sz w:val="24"/>
          <w:shd w:fill="auto" w:val="clear"/>
        </w:rPr>
        <w:t xml:space="preserve">quebradeiras de coco babaçu </w:t>
      </w:r>
      <w:r>
        <w:rPr>
          <w:rFonts w:ascii="Times New Roman" w:hAnsi="Times New Roman" w:cs="Times New Roman" w:eastAsia="Times New Roman"/>
          <w:color w:val="auto"/>
          <w:spacing w:val="0"/>
          <w:position w:val="0"/>
          <w:sz w:val="24"/>
          <w:shd w:fill="auto" w:val="clear"/>
        </w:rPr>
        <w:t xml:space="preserve">se deu a partir de um processo de luta, pois antes da constituição do movimento e de uma pauta de lutas comuns essa identidade ainda se constituía em uma identidade negada, como veremos nos depoimentos que cito mais adiante. É a partir dos anos 90 que a autodesignação como quebradeiras de coco passa a ser acionada positivamente. Isso significa que é a existência coletiva que leva a afirmação da identidade e à passagem da existência atomizada para a existência coletiva (BOURDIEU:2004.p124,125).</w:t>
      </w:r>
    </w:p>
    <w:p>
      <w:pPr>
        <w:spacing w:before="4" w:after="0" w:line="360"/>
        <w:ind w:right="112" w:left="102" w:firstLine="141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Enquanto movimento organizado desde 1991, essas mulheres já realizaram vários encontros, mobilização, formações, eleições, organizações de regionais, de cooperativas, reinserindo as quebradeiras e suas famílias num espaço ativo de cidadania, lutando pela quebra do ciclo de pobreza e da. Almeida considera que desde fins dos anos  essas unidades de mobilização já estavam se constituindo e que possuem o que denomina de trajetória ascensional, segue 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excerto:</w:t>
      </w:r>
    </w:p>
    <w:p>
      <w:pPr>
        <w:spacing w:before="4" w:after="0" w:line="360"/>
        <w:ind w:right="116" w:left="102" w:firstLine="77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as situações de violência e exploração as quais as quebradeiras de coco estão submetidas, elas decidiram se organizar para reivindicar seus direitos. Segue um trecho o trabalho de ALMEIDA onde o autor aproxima essas formas de mobilização dos chamados Novos Movimentos sociais:</w:t>
      </w:r>
    </w:p>
    <w:p>
      <w:pPr>
        <w:spacing w:before="3" w:after="0" w:line="240"/>
        <w:ind w:right="117" w:left="237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mobilizações das chamadas quebradeiras de coco babaçu poderiam ser aproximadas, neste sentido, dos “novos movimentos sociais”. Tais movimentos têm como características básicas; raízes locais mais profundas, objetivando a  organização da produção, e uma visão mais ampla dos circuitos internacionais de mercado... (ALMEIDA, 1995,</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p.14).</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Então, a identidade de quebradeiras de coco babaçu passa a ser acionada nos  locais onde houve condições mobilizatórias para tal, portanto ela não ocorre em todos os lugares onde há babaçuais. Essa identidade não é fixa, portanto não podemos dizer que onde não há babaçuais possa ou não haver quebradeira de coco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babaçu.</w:t>
      </w:r>
    </w:p>
    <w:p>
      <w:pPr>
        <w:spacing w:before="6" w:after="0" w:line="360"/>
        <w:ind w:right="117"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emergência dessas mulheres como sujeitas políticas nasce dentro de um contexto mais amplo de emergência do que </w:t>
      </w:r>
      <w:r>
        <w:rPr>
          <w:rFonts w:ascii="Times New Roman" w:hAnsi="Times New Roman" w:cs="Times New Roman" w:eastAsia="Times New Roman"/>
          <w:b/>
          <w:color w:val="auto"/>
          <w:spacing w:val="0"/>
          <w:position w:val="0"/>
          <w:sz w:val="24"/>
          <w:shd w:fill="auto" w:val="clear"/>
        </w:rPr>
        <w:t xml:space="preserve">Hobsbawn </w:t>
      </w:r>
      <w:r>
        <w:rPr>
          <w:rFonts w:ascii="Times New Roman" w:hAnsi="Times New Roman" w:cs="Times New Roman" w:eastAsia="Times New Roman"/>
          <w:color w:val="auto"/>
          <w:spacing w:val="0"/>
          <w:position w:val="0"/>
          <w:sz w:val="24"/>
          <w:shd w:fill="auto" w:val="clear"/>
        </w:rPr>
        <w:t xml:space="preserve">chama de novos movimentos sociais.</w:t>
      </w:r>
    </w:p>
    <w:p>
      <w:pPr>
        <w:spacing w:before="6" w:after="0" w:line="360"/>
        <w:ind w:right="113"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critérios explicitados acima definem os novos  movimentos  sociais organizados, por estabelecerem formas diferentes de atuação e ação que ultrapassam a satisfação de necessidade materiais ou individuais ou o alcance de um “programa político” indo além dos direitos individuais e sociais; estabelecendo novos critérios para definição de direitos dos grupos sociais, lutas sociais, e impondo a discussão da opressão simbólica para solidificar o espaço da autonomia, da identidade e da participação direta como indispensáveis à transformação da realidade.</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11" w:after="0" w:line="240"/>
        <w:ind w:right="0" w:left="0" w:firstLine="0"/>
        <w:jc w:val="left"/>
        <w:rPr>
          <w:rFonts w:ascii="Times New Roman" w:hAnsi="Times New Roman" w:cs="Times New Roman" w:eastAsia="Times New Roman"/>
          <w:color w:val="auto"/>
          <w:spacing w:val="0"/>
          <w:position w:val="0"/>
          <w:sz w:val="26"/>
          <w:shd w:fill="auto" w:val="clear"/>
        </w:rPr>
      </w:pPr>
    </w:p>
    <w:tbl>
      <w:tblPr>
        <w:tblInd w:w="109" w:type="dxa"/>
      </w:tblPr>
      <w:tblGrid>
        <w:gridCol w:w="1241"/>
        <w:gridCol w:w="1985"/>
        <w:gridCol w:w="3262"/>
        <w:gridCol w:w="3121"/>
      </w:tblGrid>
      <w:tr>
        <w:trPr>
          <w:trHeight w:val="235" w:hRule="auto"/>
          <w:jc w:val="left"/>
        </w:trPr>
        <w:tc>
          <w:tcPr>
            <w:tcW w:w="1241" w:type="dxa"/>
            <w:tcBorders>
              <w:top w:val="single" w:color="000000" w:sz="4"/>
              <w:left w:val="single" w:color="000000" w:sz="4"/>
              <w:bottom w:val="single" w:color="000000" w:sz="4"/>
              <w:right w:val="single" w:color="000000" w:sz="4"/>
            </w:tcBorders>
            <w:shd w:color="auto" w:fill="737373" w:val="clear"/>
            <w:tcMar>
              <w:left w:w="0" w:type="dxa"/>
              <w:right w:w="0" w:type="dxa"/>
            </w:tcMar>
            <w:vAlign w:val="top"/>
          </w:tcPr>
          <w:p>
            <w:pPr>
              <w:spacing w:before="0" w:after="0" w:line="240"/>
              <w:ind w:right="36" w:left="261"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Reunião</w:t>
            </w:r>
          </w:p>
        </w:tc>
        <w:tc>
          <w:tcPr>
            <w:tcW w:w="1985" w:type="dxa"/>
            <w:tcBorders>
              <w:top w:val="single" w:color="000000" w:sz="4"/>
              <w:left w:val="single" w:color="000000" w:sz="4"/>
              <w:bottom w:val="single" w:color="000000" w:sz="4"/>
              <w:right w:val="single" w:color="000000" w:sz="4"/>
            </w:tcBorders>
            <w:shd w:color="auto" w:fill="737373" w:val="clear"/>
            <w:tcMar>
              <w:left w:w="0" w:type="dxa"/>
              <w:right w:w="0" w:type="dxa"/>
            </w:tcMar>
            <w:vAlign w:val="top"/>
          </w:tcPr>
          <w:p>
            <w:pPr>
              <w:spacing w:before="0" w:after="0" w:line="240"/>
              <w:ind w:right="722" w:left="722"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Pauta</w:t>
            </w:r>
          </w:p>
        </w:tc>
        <w:tc>
          <w:tcPr>
            <w:tcW w:w="3262" w:type="dxa"/>
            <w:tcBorders>
              <w:top w:val="single" w:color="000000" w:sz="4"/>
              <w:left w:val="single" w:color="000000" w:sz="4"/>
              <w:bottom w:val="single" w:color="000000" w:sz="4"/>
              <w:right w:val="single" w:color="000000" w:sz="4"/>
            </w:tcBorders>
            <w:shd w:color="auto" w:fill="737373" w:val="clear"/>
            <w:tcMar>
              <w:left w:w="0" w:type="dxa"/>
              <w:right w:w="0" w:type="dxa"/>
            </w:tcMar>
            <w:vAlign w:val="top"/>
          </w:tcPr>
          <w:p>
            <w:pPr>
              <w:spacing w:before="0" w:after="0" w:line="240"/>
              <w:ind w:right="0" w:left="693"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Problemas levantados</w:t>
            </w:r>
          </w:p>
        </w:tc>
        <w:tc>
          <w:tcPr>
            <w:tcW w:w="3121" w:type="dxa"/>
            <w:tcBorders>
              <w:top w:val="single" w:color="000000" w:sz="4"/>
              <w:left w:val="single" w:color="000000" w:sz="4"/>
              <w:bottom w:val="single" w:color="000000" w:sz="4"/>
              <w:right w:val="single" w:color="000000" w:sz="4"/>
            </w:tcBorders>
            <w:shd w:color="auto" w:fill="737373" w:val="clear"/>
            <w:tcMar>
              <w:left w:w="0" w:type="dxa"/>
              <w:right w:w="0" w:type="dxa"/>
            </w:tcMar>
            <w:vAlign w:val="top"/>
          </w:tcPr>
          <w:p>
            <w:pPr>
              <w:spacing w:before="0" w:after="0" w:line="240"/>
              <w:ind w:right="0" w:left="307"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Principais Encaminhamentos</w:t>
            </w:r>
          </w:p>
        </w:tc>
      </w:tr>
      <w:tr>
        <w:trPr>
          <w:trHeight w:val="2763" w:hRule="auto"/>
          <w:jc w:val="left"/>
        </w:trPr>
        <w:tc>
          <w:tcPr>
            <w:tcW w:w="1241"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spacing w:before="0" w:after="0" w:line="240"/>
              <w:ind w:right="36"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 EIQCB</w:t>
            </w:r>
          </w:p>
        </w:tc>
        <w:tc>
          <w:tcPr>
            <w:tcW w:w="1985" w:type="dxa"/>
            <w:tcBorders>
              <w:top w:val="single" w:color="000000" w:sz="4"/>
              <w:left w:val="single" w:color="000000" w:sz="4"/>
              <w:bottom w:val="single" w:color="000000" w:sz="4"/>
              <w:right w:val="single" w:color="f3f3f3" w:sz="43"/>
            </w:tcBorders>
            <w:shd w:color="000000" w:fill="ffffff" w:val="clear"/>
            <w:tcMar>
              <w:left w:w="0" w:type="dxa"/>
              <w:right w:w="0" w:type="dxa"/>
            </w:tcMar>
            <w:vAlign w:val="top"/>
          </w:tcPr>
          <w:p>
            <w:pPr>
              <w:numPr>
                <w:ilvl w:val="0"/>
                <w:numId w:val="4617"/>
              </w:numPr>
              <w:tabs>
                <w:tab w:val="left" w:pos="224" w:leader="none"/>
              </w:tabs>
              <w:spacing w:before="0"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Educação;</w:t>
            </w:r>
          </w:p>
          <w:p>
            <w:pPr>
              <w:numPr>
                <w:ilvl w:val="0"/>
                <w:numId w:val="4617"/>
              </w:numPr>
              <w:tabs>
                <w:tab w:val="left" w:pos="262" w:leader="none"/>
              </w:tabs>
              <w:spacing w:before="0" w:after="0" w:line="240"/>
              <w:ind w:right="57"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conflitos agrários e violência;</w:t>
            </w:r>
          </w:p>
          <w:p>
            <w:pPr>
              <w:numPr>
                <w:ilvl w:val="0"/>
                <w:numId w:val="4617"/>
              </w:numPr>
              <w:tabs>
                <w:tab w:val="left" w:pos="652" w:leader="none"/>
                <w:tab w:val="left" w:pos="653" w:leader="none"/>
                <w:tab w:val="left" w:pos="1686" w:leader="none"/>
                <w:tab w:val="left" w:pos="1810" w:leader="none"/>
              </w:tabs>
              <w:spacing w:before="0" w:after="0" w:line="240"/>
              <w:ind w:right="52"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formas</w:t>
              <w:tab/>
              <w:t xml:space="preserve">de organização: sindicalismo associativismo;</w:t>
              <w:tab/>
              <w:tab/>
              <w:t xml:space="preserve">- saúde 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sexualidade;</w:t>
            </w:r>
          </w:p>
          <w:p>
            <w:pPr>
              <w:numPr>
                <w:ilvl w:val="0"/>
                <w:numId w:val="4617"/>
              </w:numPr>
              <w:tabs>
                <w:tab w:val="left" w:pos="501" w:leader="none"/>
                <w:tab w:val="left" w:pos="502" w:leader="none"/>
                <w:tab w:val="left" w:pos="1784" w:leader="none"/>
              </w:tabs>
              <w:spacing w:before="0" w:after="0" w:line="240"/>
              <w:ind w:right="55" w:left="107"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preservação</w:t>
              <w:tab/>
              <w:t xml:space="preserve">e alternativas econômicas para o babaçu.</w:t>
            </w:r>
          </w:p>
        </w:tc>
        <w:tc>
          <w:tcPr>
            <w:tcW w:w="3262"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numPr>
                <w:ilvl w:val="0"/>
                <w:numId w:val="4617"/>
              </w:numPr>
              <w:tabs>
                <w:tab w:val="left" w:pos="272" w:leader="none"/>
              </w:tabs>
              <w:spacing w:before="0" w:after="0" w:line="240"/>
              <w:ind w:right="109" w:left="10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Condição de não-proprietárias das famílias</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agro-extrativistas.</w:t>
            </w:r>
          </w:p>
          <w:p>
            <w:pPr>
              <w:numPr>
                <w:ilvl w:val="0"/>
                <w:numId w:val="4617"/>
              </w:numPr>
              <w:tabs>
                <w:tab w:val="left" w:pos="224" w:leader="none"/>
              </w:tabs>
              <w:spacing w:before="1" w:after="0" w:line="240"/>
              <w:ind w:right="0" w:left="223" w:hanging="115"/>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preço da</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amêndoa.</w:t>
            </w:r>
          </w:p>
          <w:p>
            <w:pPr>
              <w:numPr>
                <w:ilvl w:val="0"/>
                <w:numId w:val="4617"/>
              </w:numPr>
              <w:tabs>
                <w:tab w:val="left" w:pos="279" w:leader="none"/>
              </w:tabs>
              <w:spacing w:before="0" w:after="0" w:line="240"/>
              <w:ind w:right="111" w:left="10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violência de proprietários/grileiros contra as</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famílias</w:t>
            </w:r>
          </w:p>
          <w:p>
            <w:pPr>
              <w:numPr>
                <w:ilvl w:val="0"/>
                <w:numId w:val="4617"/>
              </w:numPr>
              <w:tabs>
                <w:tab w:val="left" w:pos="296" w:leader="none"/>
              </w:tabs>
              <w:spacing w:before="0" w:after="0" w:line="240"/>
              <w:ind w:right="107" w:left="108"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impedimento de participação das mulheres nas instâncias de decisão dos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sindicatos.</w:t>
            </w:r>
          </w:p>
        </w:tc>
        <w:tc>
          <w:tcPr>
            <w:tcW w:w="3121" w:type="dxa"/>
            <w:tcBorders>
              <w:top w:val="single" w:color="000000" w:sz="4"/>
              <w:left w:val="single" w:color="f3f3f3" w:sz="43"/>
              <w:bottom w:val="single" w:color="000000" w:sz="4"/>
              <w:right w:val="single" w:color="000000" w:sz="4"/>
            </w:tcBorders>
            <w:shd w:color="000000" w:fill="ffffff" w:val="clear"/>
            <w:tcMar>
              <w:left w:w="0" w:type="dxa"/>
              <w:right w:w="0" w:type="dxa"/>
            </w:tcMar>
            <w:vAlign w:val="top"/>
          </w:tcPr>
          <w:p>
            <w:pPr>
              <w:numPr>
                <w:ilvl w:val="0"/>
                <w:numId w:val="4617"/>
              </w:numPr>
              <w:tabs>
                <w:tab w:val="left" w:pos="412" w:leader="none"/>
              </w:tabs>
              <w:spacing w:before="0" w:after="0" w:line="240"/>
              <w:ind w:right="105" w:left="5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Aprofundar estudos sobre alternativas econômicas para o babaçu</w:t>
            </w:r>
          </w:p>
          <w:p>
            <w:pPr>
              <w:numPr>
                <w:ilvl w:val="0"/>
                <w:numId w:val="4617"/>
              </w:numPr>
              <w:tabs>
                <w:tab w:val="left" w:pos="218" w:leader="none"/>
              </w:tabs>
              <w:spacing w:before="0" w:after="0" w:line="240"/>
              <w:ind w:right="103" w:left="5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Campanha de sindicalização das mulheres</w:t>
            </w:r>
          </w:p>
          <w:p>
            <w:pPr>
              <w:numPr>
                <w:ilvl w:val="0"/>
                <w:numId w:val="4617"/>
              </w:numPr>
              <w:tabs>
                <w:tab w:val="left" w:pos="170" w:leader="none"/>
              </w:tabs>
              <w:spacing w:before="0" w:after="0" w:line="240"/>
              <w:ind w:right="0" w:left="169" w:hanging="115"/>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Retomar a terra dos</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latifundiários.</w:t>
            </w:r>
          </w:p>
        </w:tc>
      </w:tr>
      <w:tr>
        <w:trPr>
          <w:trHeight w:val="2761" w:hRule="auto"/>
          <w:jc w:val="left"/>
        </w:trPr>
        <w:tc>
          <w:tcPr>
            <w:tcW w:w="1241"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spacing w:before="8" w:after="0" w:line="240"/>
              <w:ind w:right="36" w:left="103" w:firstLine="0"/>
              <w:jc w:val="left"/>
              <w:rPr>
                <w:color w:val="auto"/>
                <w:spacing w:val="0"/>
                <w:shd w:fill="auto" w:val="clear"/>
              </w:rPr>
            </w:pPr>
            <w:r>
              <w:rPr>
                <w:rFonts w:ascii="Times New Roman" w:hAnsi="Times New Roman" w:cs="Times New Roman" w:eastAsia="Times New Roman"/>
                <w:color w:val="auto"/>
                <w:spacing w:val="0"/>
                <w:position w:val="0"/>
                <w:sz w:val="20"/>
                <w:shd w:fill="auto" w:val="clear"/>
              </w:rPr>
              <w:t xml:space="preserve">II Encontro do MIQCB</w:t>
            </w:r>
            <w:r>
              <w:rPr>
                <w:rFonts w:ascii="Times New Roman" w:hAnsi="Times New Roman" w:cs="Times New Roman" w:eastAsia="Times New Roman"/>
                <w:color w:val="auto"/>
                <w:spacing w:val="0"/>
                <w:position w:val="9"/>
                <w:sz w:val="13"/>
                <w:shd w:fill="auto" w:val="clear"/>
              </w:rPr>
              <w:t xml:space="preserve">5</w:t>
            </w:r>
          </w:p>
        </w:tc>
        <w:tc>
          <w:tcPr>
            <w:tcW w:w="1985" w:type="dxa"/>
            <w:tcBorders>
              <w:top w:val="single" w:color="000000" w:sz="4"/>
              <w:left w:val="single" w:color="f3f3f3" w:sz="43"/>
              <w:bottom w:val="single" w:color="000000" w:sz="4"/>
              <w:right w:val="single" w:color="f3f3f3" w:sz="43"/>
            </w:tcBorders>
            <w:shd w:color="000000" w:fill="ffffff" w:val="clear"/>
            <w:tcMar>
              <w:left w:w="0" w:type="dxa"/>
              <w:right w:w="0" w:type="dxa"/>
            </w:tcMar>
            <w:vAlign w:val="top"/>
          </w:tcPr>
          <w:p>
            <w:pPr>
              <w:numPr>
                <w:ilvl w:val="0"/>
                <w:numId w:val="4631"/>
              </w:numPr>
              <w:tabs>
                <w:tab w:val="left" w:pos="845" w:leader="none"/>
                <w:tab w:val="left" w:pos="846" w:leader="none"/>
              </w:tabs>
              <w:spacing w:before="0" w:after="0" w:line="240"/>
              <w:ind w:right="55" w:left="53"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Alternativas econômicas para o babaçu,</w:t>
            </w:r>
          </w:p>
          <w:p>
            <w:pPr>
              <w:numPr>
                <w:ilvl w:val="0"/>
                <w:numId w:val="4631"/>
              </w:numPr>
              <w:tabs>
                <w:tab w:val="left" w:pos="208" w:leader="none"/>
              </w:tabs>
              <w:spacing w:before="1" w:after="0" w:line="240"/>
              <w:ind w:right="57" w:left="5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conflitos agrários e violência,</w:t>
            </w:r>
          </w:p>
          <w:p>
            <w:pPr>
              <w:numPr>
                <w:ilvl w:val="0"/>
                <w:numId w:val="4631"/>
              </w:numPr>
              <w:tabs>
                <w:tab w:val="left" w:pos="598" w:leader="none"/>
                <w:tab w:val="left" w:pos="599" w:leader="none"/>
                <w:tab w:val="left" w:pos="1046" w:leader="none"/>
                <w:tab w:val="left" w:pos="1475" w:leader="none"/>
                <w:tab w:val="left" w:pos="1632" w:leader="none"/>
                <w:tab w:val="left" w:pos="1730" w:leader="none"/>
              </w:tabs>
              <w:spacing w:before="0" w:after="0" w:line="240"/>
              <w:ind w:right="53" w:left="5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formas</w:t>
              <w:tab/>
              <w:tab/>
              <w:t xml:space="preserve">de organização: formação</w:t>
              <w:tab/>
              <w:t xml:space="preserve">de</w:t>
              <w:tab/>
              <w:t xml:space="preserve">uma articulação interestadual</w:t>
              <w:tab/>
              <w:tab/>
              <w:tab/>
              <w:t xml:space="preserve">e cooperativismo;</w:t>
            </w:r>
          </w:p>
          <w:p>
            <w:pPr>
              <w:numPr>
                <w:ilvl w:val="0"/>
                <w:numId w:val="4631"/>
              </w:numPr>
              <w:tabs>
                <w:tab w:val="left" w:pos="170" w:leader="none"/>
              </w:tabs>
              <w:spacing w:before="0" w:after="0" w:line="240"/>
              <w:ind w:right="0" w:left="169" w:hanging="116"/>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saúde.</w:t>
            </w:r>
          </w:p>
        </w:tc>
        <w:tc>
          <w:tcPr>
            <w:tcW w:w="3262"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numPr>
                <w:ilvl w:val="0"/>
                <w:numId w:val="4631"/>
              </w:numPr>
              <w:tabs>
                <w:tab w:val="left" w:pos="257" w:leader="none"/>
              </w:tabs>
              <w:spacing w:before="0" w:after="0" w:line="240"/>
              <w:ind w:right="111"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Violência de fazendeiros contra as famílias</w:t>
            </w:r>
          </w:p>
          <w:p>
            <w:pPr>
              <w:numPr>
                <w:ilvl w:val="0"/>
                <w:numId w:val="4631"/>
              </w:numPr>
              <w:tabs>
                <w:tab w:val="left" w:pos="224" w:leader="none"/>
              </w:tabs>
              <w:spacing w:before="0" w:after="0" w:line="240"/>
              <w:ind w:right="0" w:left="223" w:hanging="115"/>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trabalho</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infantil</w:t>
            </w:r>
          </w:p>
          <w:p>
            <w:pPr>
              <w:numPr>
                <w:ilvl w:val="0"/>
                <w:numId w:val="4631"/>
              </w:numPr>
              <w:tabs>
                <w:tab w:val="left" w:pos="224" w:leader="none"/>
              </w:tabs>
              <w:spacing w:before="1" w:after="0" w:line="240"/>
              <w:ind w:right="0" w:left="223" w:hanging="115"/>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devastação dos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palmeiras</w:t>
            </w:r>
          </w:p>
          <w:p>
            <w:pPr>
              <w:numPr>
                <w:ilvl w:val="0"/>
                <w:numId w:val="4631"/>
              </w:numPr>
              <w:tabs>
                <w:tab w:val="left" w:pos="410" w:leader="none"/>
                <w:tab w:val="left" w:pos="411" w:leader="none"/>
                <w:tab w:val="left" w:pos="1000" w:leader="none"/>
                <w:tab w:val="left" w:pos="1424" w:leader="none"/>
                <w:tab w:val="left" w:pos="2807" w:leader="none"/>
              </w:tabs>
              <w:spacing w:before="0" w:after="0" w:line="240"/>
              <w:ind w:right="107"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falta</w:t>
              <w:tab/>
              <w:t xml:space="preserve">de</w:t>
              <w:tab/>
              <w:t xml:space="preserve">infra-estrutura</w:t>
              <w:tab/>
              <w:t xml:space="preserve">para beneficiamento do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coco.</w:t>
            </w:r>
          </w:p>
          <w:p>
            <w:pPr>
              <w:numPr>
                <w:ilvl w:val="0"/>
                <w:numId w:val="4631"/>
              </w:numPr>
              <w:tabs>
                <w:tab w:val="left" w:pos="344" w:leader="none"/>
              </w:tabs>
              <w:spacing w:before="0" w:after="0" w:line="240"/>
              <w:ind w:right="110" w:left="108"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falta de aceso à terra e aos babaçuais.</w:t>
            </w:r>
          </w:p>
        </w:tc>
        <w:tc>
          <w:tcPr>
            <w:tcW w:w="3121" w:type="dxa"/>
            <w:tcBorders>
              <w:top w:val="single" w:color="000000" w:sz="4"/>
              <w:left w:val="single" w:color="f3f3f3" w:sz="43"/>
              <w:bottom w:val="single" w:color="000000" w:sz="4"/>
              <w:right w:val="single" w:color="000000" w:sz="4"/>
            </w:tcBorders>
            <w:shd w:color="000000" w:fill="ffffff" w:val="clear"/>
            <w:tcMar>
              <w:left w:w="0" w:type="dxa"/>
              <w:right w:w="0" w:type="dxa"/>
            </w:tcMar>
            <w:vAlign w:val="top"/>
          </w:tcPr>
          <w:p>
            <w:pPr>
              <w:numPr>
                <w:ilvl w:val="0"/>
                <w:numId w:val="4631"/>
              </w:numPr>
              <w:tabs>
                <w:tab w:val="left" w:pos="170" w:leader="none"/>
              </w:tabs>
              <w:spacing w:before="0" w:after="0" w:line="240"/>
              <w:ind w:right="0" w:left="5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Formação da</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AMQCB</w:t>
            </w:r>
          </w:p>
          <w:p>
            <w:pPr>
              <w:numPr>
                <w:ilvl w:val="0"/>
                <w:numId w:val="4631"/>
              </w:numPr>
              <w:tabs>
                <w:tab w:val="left" w:pos="170" w:leader="none"/>
                <w:tab w:val="left" w:pos="1569" w:leader="none"/>
                <w:tab w:val="left" w:pos="2298" w:leader="none"/>
              </w:tabs>
              <w:spacing w:before="0" w:after="0" w:line="240"/>
              <w:ind w:right="102" w:left="54"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Exigir:desapropriação das áreas de babaçual onde existam conflito, coco liberto, cumprimento do Estatuto da Criança e do Adolescente na zona rural, , recursos para cooperativas e implantação</w:t>
              <w:tab/>
              <w:t xml:space="preserve">de</w:t>
              <w:tab/>
              <w:t xml:space="preserve">reservas extrativistas.</w:t>
            </w:r>
          </w:p>
        </w:tc>
      </w:tr>
      <w:tr>
        <w:trPr>
          <w:trHeight w:val="2415" w:hRule="auto"/>
          <w:jc w:val="left"/>
        </w:trPr>
        <w:tc>
          <w:tcPr>
            <w:tcW w:w="1241"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spacing w:before="0" w:after="0" w:line="240"/>
              <w:ind w:right="36" w:left="10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III Encontro do   MIQCB</w:t>
            </w:r>
          </w:p>
          <w:p>
            <w:pPr>
              <w:tabs>
                <w:tab w:val="left" w:pos="940" w:leader="none"/>
              </w:tabs>
              <w:spacing w:before="0" w:after="0" w:line="240"/>
              <w:ind w:right="104"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informações levantadas a partir</w:t>
              <w:tab/>
              <w:t xml:space="preserve">de entrevistas com quebradeiras de coco)</w:t>
            </w:r>
          </w:p>
        </w:tc>
        <w:tc>
          <w:tcPr>
            <w:tcW w:w="1985" w:type="dxa"/>
            <w:tcBorders>
              <w:top w:val="single" w:color="000000" w:sz="4"/>
              <w:left w:val="single" w:color="f3f3f3" w:sz="43"/>
              <w:bottom w:val="single" w:color="000000" w:sz="4"/>
              <w:right w:val="single" w:color="f3f3f3" w:sz="43"/>
            </w:tcBorders>
            <w:shd w:color="000000" w:fill="ffffff" w:val="clear"/>
            <w:tcMar>
              <w:left w:w="0" w:type="dxa"/>
              <w:right w:w="0" w:type="dxa"/>
            </w:tcMar>
            <w:vAlign w:val="top"/>
          </w:tcPr>
          <w:p>
            <w:pPr>
              <w:numPr>
                <w:ilvl w:val="0"/>
                <w:numId w:val="4646"/>
              </w:numPr>
              <w:tabs>
                <w:tab w:val="left" w:pos="551" w:leader="none"/>
              </w:tabs>
              <w:spacing w:before="0" w:after="0" w:line="240"/>
              <w:ind w:right="52" w:left="53"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Acesso aos babaçuais,</w:t>
            </w:r>
          </w:p>
          <w:p>
            <w:pPr>
              <w:numPr>
                <w:ilvl w:val="0"/>
                <w:numId w:val="4646"/>
              </w:numPr>
              <w:tabs>
                <w:tab w:val="left" w:pos="170" w:leader="none"/>
              </w:tabs>
              <w:spacing w:before="0" w:after="0" w:line="240"/>
              <w:ind w:right="0" w:left="169" w:hanging="11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forma</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organizativa,</w:t>
            </w:r>
          </w:p>
          <w:p>
            <w:pPr>
              <w:numPr>
                <w:ilvl w:val="0"/>
                <w:numId w:val="4646"/>
              </w:numPr>
              <w:tabs>
                <w:tab w:val="left" w:pos="170" w:leader="none"/>
              </w:tabs>
              <w:spacing w:before="0" w:after="0" w:line="240"/>
              <w:ind w:right="0" w:left="169" w:hanging="11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política de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gênero,</w:t>
            </w:r>
          </w:p>
          <w:p>
            <w:pPr>
              <w:numPr>
                <w:ilvl w:val="0"/>
                <w:numId w:val="4646"/>
              </w:numPr>
              <w:tabs>
                <w:tab w:val="left" w:pos="675" w:leader="none"/>
                <w:tab w:val="left" w:pos="676" w:leader="none"/>
                <w:tab w:val="left" w:pos="1632" w:leader="none"/>
              </w:tabs>
              <w:spacing w:before="0" w:after="0" w:line="240"/>
              <w:ind w:right="52" w:left="53"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troca</w:t>
              <w:tab/>
              <w:t xml:space="preserve">de experiências entre as regiões.</w:t>
            </w:r>
          </w:p>
          <w:p>
            <w:pPr>
              <w:numPr>
                <w:ilvl w:val="0"/>
                <w:numId w:val="4646"/>
              </w:numPr>
              <w:tabs>
                <w:tab w:val="left" w:pos="266" w:leader="none"/>
                <w:tab w:val="left" w:pos="1620" w:leader="none"/>
              </w:tabs>
              <w:spacing w:before="1" w:after="0" w:line="240"/>
              <w:ind w:right="54" w:left="53"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transformações na “economia</w:t>
              <w:tab/>
              <w:t xml:space="preserve">do babaçu”</w:t>
            </w:r>
          </w:p>
        </w:tc>
        <w:tc>
          <w:tcPr>
            <w:tcW w:w="3262"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spacing w:before="0" w:after="0" w:line="240"/>
              <w:ind w:right="110" w:left="108"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Violência dos fazendeiros contra mulheres e suas famílias, impedimento de acesso às áreas de babaçuais, desmatamento, falta de infra-estrutura para produção e comercialização.</w:t>
            </w:r>
          </w:p>
        </w:tc>
        <w:tc>
          <w:tcPr>
            <w:tcW w:w="3121" w:type="dxa"/>
            <w:tcBorders>
              <w:top w:val="single" w:color="000000" w:sz="4"/>
              <w:left w:val="single" w:color="f3f3f3" w:sz="43"/>
              <w:bottom w:val="single" w:color="000000" w:sz="4"/>
              <w:right w:val="single" w:color="000000" w:sz="4"/>
            </w:tcBorders>
            <w:shd w:color="000000" w:fill="ffffff" w:val="clear"/>
            <w:tcMar>
              <w:left w:w="0" w:type="dxa"/>
              <w:right w:w="0" w:type="dxa"/>
            </w:tcMar>
            <w:vAlign w:val="top"/>
          </w:tcPr>
          <w:p>
            <w:pPr>
              <w:numPr>
                <w:ilvl w:val="0"/>
                <w:numId w:val="4651"/>
              </w:numPr>
              <w:tabs>
                <w:tab w:val="left" w:pos="278" w:leader="none"/>
              </w:tabs>
              <w:spacing w:before="0" w:after="0" w:line="240"/>
              <w:ind w:right="102" w:left="5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Pesquisa em cooperação com universidades para descrever a cadeia dos babaçu, a partir das práticas das quebradeiras e  ajudar na proposição de soluções aos problemas</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enfrentados.</w:t>
            </w:r>
          </w:p>
          <w:p>
            <w:pPr>
              <w:numPr>
                <w:ilvl w:val="0"/>
                <w:numId w:val="4651"/>
              </w:numPr>
              <w:tabs>
                <w:tab w:val="left" w:pos="170" w:leader="none"/>
              </w:tabs>
              <w:spacing w:before="0" w:after="0" w:line="240"/>
              <w:ind w:right="0" w:left="169" w:hanging="115"/>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Criação do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MIQCB</w:t>
            </w:r>
          </w:p>
        </w:tc>
      </w:tr>
      <w:tr>
        <w:trPr>
          <w:trHeight w:val="3566" w:hRule="auto"/>
          <w:jc w:val="left"/>
        </w:trPr>
        <w:tc>
          <w:tcPr>
            <w:tcW w:w="1241"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spacing w:before="103" w:after="0" w:line="240"/>
              <w:ind w:right="36"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IV Encontro do MIQCB</w:t>
            </w:r>
          </w:p>
        </w:tc>
        <w:tc>
          <w:tcPr>
            <w:tcW w:w="1985" w:type="dxa"/>
            <w:tcBorders>
              <w:top w:val="single" w:color="000000" w:sz="4"/>
              <w:left w:val="single" w:color="000000" w:sz="4"/>
              <w:bottom w:val="single" w:color="000000" w:sz="4"/>
              <w:right w:val="single" w:color="f3f3f3" w:sz="43"/>
            </w:tcBorders>
            <w:shd w:color="000000" w:fill="ffffff" w:val="clear"/>
            <w:tcMar>
              <w:left w:w="0" w:type="dxa"/>
              <w:right w:w="0" w:type="dxa"/>
            </w:tcMar>
            <w:vAlign w:val="top"/>
          </w:tcPr>
          <w:p>
            <w:pPr>
              <w:spacing w:before="103" w:after="0" w:line="240"/>
              <w:ind w:right="82"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-“legalização” (Institucionalização) do Movimento</w:t>
            </w:r>
          </w:p>
          <w:p>
            <w:pPr>
              <w:numPr>
                <w:ilvl w:val="0"/>
                <w:numId w:val="4657"/>
              </w:numPr>
              <w:tabs>
                <w:tab w:val="left" w:pos="224" w:leader="none"/>
              </w:tabs>
              <w:spacing w:before="0"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Reforma</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Agrária</w:t>
            </w:r>
          </w:p>
          <w:p>
            <w:pPr>
              <w:numPr>
                <w:ilvl w:val="0"/>
                <w:numId w:val="4657"/>
              </w:numPr>
              <w:tabs>
                <w:tab w:val="left" w:pos="372" w:leader="none"/>
              </w:tabs>
              <w:spacing w:before="0" w:after="0" w:line="240"/>
              <w:ind w:right="53"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Leis do babaçu livre/ meio</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Ambiente</w:t>
            </w:r>
          </w:p>
          <w:p>
            <w:pPr>
              <w:numPr>
                <w:ilvl w:val="0"/>
                <w:numId w:val="4657"/>
              </w:numPr>
              <w:tabs>
                <w:tab w:val="left" w:pos="491" w:leader="none"/>
                <w:tab w:val="left" w:pos="492" w:leader="none"/>
                <w:tab w:val="left" w:pos="1787" w:leader="none"/>
              </w:tabs>
              <w:spacing w:before="0" w:after="0" w:line="240"/>
              <w:ind w:right="53"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Capacitação</w:t>
              <w:tab/>
              <w:t xml:space="preserve">e formação</w:t>
            </w:r>
          </w:p>
          <w:p>
            <w:pPr>
              <w:numPr>
                <w:ilvl w:val="0"/>
                <w:numId w:val="4657"/>
              </w:numPr>
              <w:tabs>
                <w:tab w:val="left" w:pos="224" w:leader="none"/>
              </w:tabs>
              <w:spacing w:before="0" w:after="0" w:line="240"/>
              <w:ind w:right="0" w:left="223" w:hanging="116"/>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gênero 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etnia</w:t>
            </w:r>
          </w:p>
          <w:p>
            <w:pPr>
              <w:numPr>
                <w:ilvl w:val="0"/>
                <w:numId w:val="4657"/>
              </w:numPr>
              <w:tabs>
                <w:tab w:val="left" w:pos="224" w:leader="none"/>
              </w:tabs>
              <w:spacing w:before="0" w:after="0" w:line="240"/>
              <w:ind w:right="0" w:left="223" w:hanging="116"/>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seguridade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social</w:t>
            </w:r>
          </w:p>
          <w:p>
            <w:pPr>
              <w:numPr>
                <w:ilvl w:val="0"/>
                <w:numId w:val="4657"/>
              </w:numPr>
              <w:tabs>
                <w:tab w:val="left" w:pos="590" w:leader="none"/>
                <w:tab w:val="left" w:pos="591" w:leader="none"/>
                <w:tab w:val="left" w:pos="1684" w:leader="none"/>
              </w:tabs>
              <w:spacing w:before="0" w:after="0" w:line="240"/>
              <w:ind w:right="0" w:left="590" w:hanging="483"/>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Eleições</w:t>
              <w:tab/>
              <w:t xml:space="preserve">da</w:t>
            </w:r>
          </w:p>
          <w:p>
            <w:pPr>
              <w:tabs>
                <w:tab w:val="left" w:pos="1676" w:leader="none"/>
              </w:tabs>
              <w:spacing w:before="0" w:after="0" w:line="240"/>
              <w:ind w:right="52" w:left="107"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coordenação</w:t>
              <w:tab/>
              <w:t xml:space="preserve">do MIQCB.</w:t>
            </w:r>
          </w:p>
        </w:tc>
        <w:tc>
          <w:tcPr>
            <w:tcW w:w="3262"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numPr>
                <w:ilvl w:val="0"/>
                <w:numId w:val="4663"/>
              </w:numPr>
              <w:tabs>
                <w:tab w:val="left" w:pos="224" w:leader="none"/>
              </w:tabs>
              <w:spacing w:before="103" w:after="0" w:line="240"/>
              <w:ind w:right="0"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falta de estrutura do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MIQCB</w:t>
            </w:r>
          </w:p>
          <w:p>
            <w:pPr>
              <w:numPr>
                <w:ilvl w:val="0"/>
                <w:numId w:val="4663"/>
              </w:numPr>
              <w:tabs>
                <w:tab w:val="left" w:pos="293" w:leader="none"/>
              </w:tabs>
              <w:spacing w:before="0" w:after="0" w:line="240"/>
              <w:ind w:right="114"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falta de conhecimento da “base” sobre o que é</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MIQCB</w:t>
            </w:r>
          </w:p>
          <w:p>
            <w:pPr>
              <w:numPr>
                <w:ilvl w:val="0"/>
                <w:numId w:val="4663"/>
              </w:numPr>
              <w:tabs>
                <w:tab w:val="left" w:pos="320" w:leader="none"/>
              </w:tabs>
              <w:spacing w:before="0" w:after="0" w:line="240"/>
              <w:ind w:right="112"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Quem são parceiros, quem são apoiadores?</w:t>
            </w:r>
          </w:p>
          <w:p>
            <w:pPr>
              <w:numPr>
                <w:ilvl w:val="0"/>
                <w:numId w:val="4663"/>
              </w:numPr>
              <w:tabs>
                <w:tab w:val="left" w:pos="240" w:leader="none"/>
              </w:tabs>
              <w:spacing w:before="0" w:after="0" w:line="240"/>
              <w:ind w:right="112"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Uso de violência pelos fazendeiros, que não respeitam o meio</w:t>
            </w:r>
            <w:r>
              <w:rPr>
                <w:rFonts w:ascii="Times New Roman" w:hAnsi="Times New Roman" w:cs="Times New Roman" w:eastAsia="Times New Roman"/>
                <w:color w:val="auto"/>
                <w:spacing w:val="-1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ambiente</w:t>
            </w:r>
          </w:p>
          <w:p>
            <w:pPr>
              <w:numPr>
                <w:ilvl w:val="0"/>
                <w:numId w:val="4663"/>
              </w:numPr>
              <w:tabs>
                <w:tab w:val="left" w:pos="267" w:leader="none"/>
              </w:tabs>
              <w:spacing w:before="0" w:after="0" w:line="240"/>
              <w:ind w:right="110"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falta de compreensão dos maridos quanto à participação no</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MIQCB.</w:t>
            </w:r>
          </w:p>
          <w:p>
            <w:pPr>
              <w:numPr>
                <w:ilvl w:val="0"/>
                <w:numId w:val="4663"/>
              </w:numPr>
              <w:tabs>
                <w:tab w:val="left" w:pos="491" w:leader="none"/>
                <w:tab w:val="left" w:pos="492" w:leader="none"/>
                <w:tab w:val="left" w:pos="1431" w:leader="none"/>
                <w:tab w:val="left" w:pos="2397" w:leader="none"/>
              </w:tabs>
              <w:spacing w:before="0" w:after="0" w:line="240"/>
              <w:ind w:right="109" w:left="1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grandes</w:t>
              <w:tab/>
              <w:t xml:space="preserve">projetos</w:t>
              <w:tab/>
              <w:t xml:space="preserve">ameaçam populações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tradicionais.</w:t>
            </w:r>
          </w:p>
          <w:p>
            <w:pPr>
              <w:numPr>
                <w:ilvl w:val="0"/>
                <w:numId w:val="4663"/>
              </w:numPr>
              <w:tabs>
                <w:tab w:val="left" w:pos="351" w:leader="none"/>
              </w:tabs>
              <w:spacing w:before="0" w:after="0" w:line="240"/>
              <w:ind w:right="112" w:left="108"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Reservas extrativistas que não foram</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concluídas.</w:t>
            </w:r>
          </w:p>
        </w:tc>
        <w:tc>
          <w:tcPr>
            <w:tcW w:w="3121" w:type="dxa"/>
            <w:tcBorders>
              <w:top w:val="single" w:color="000000" w:sz="4"/>
              <w:left w:val="single" w:color="f3f3f3" w:sz="43"/>
              <w:bottom w:val="single" w:color="000000" w:sz="4"/>
              <w:right w:val="single" w:color="000000" w:sz="4"/>
            </w:tcBorders>
            <w:shd w:color="000000" w:fill="ffffff" w:val="clear"/>
            <w:tcMar>
              <w:left w:w="0" w:type="dxa"/>
              <w:right w:w="0" w:type="dxa"/>
            </w:tcMar>
            <w:vAlign w:val="top"/>
          </w:tcPr>
          <w:p>
            <w:pPr>
              <w:numPr>
                <w:ilvl w:val="0"/>
                <w:numId w:val="4663"/>
              </w:numPr>
              <w:tabs>
                <w:tab w:val="left" w:pos="246" w:leader="none"/>
              </w:tabs>
              <w:spacing w:before="103" w:after="0" w:line="240"/>
              <w:ind w:right="104" w:left="5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Priorizar as linhas de atuação: babaçu livre, formação e capacitação</w:t>
            </w:r>
          </w:p>
          <w:p>
            <w:pPr>
              <w:numPr>
                <w:ilvl w:val="0"/>
                <w:numId w:val="4663"/>
              </w:numPr>
              <w:tabs>
                <w:tab w:val="left" w:pos="297" w:leader="none"/>
              </w:tabs>
              <w:spacing w:before="0" w:after="0" w:line="240"/>
              <w:ind w:right="102" w:left="5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formato institucional do tipo “movimento” estruturado com coordenação geral e coordenações executiva, temática e conselho fiscal.</w:t>
            </w:r>
          </w:p>
          <w:p>
            <w:pPr>
              <w:numPr>
                <w:ilvl w:val="0"/>
                <w:numId w:val="4663"/>
              </w:numPr>
              <w:tabs>
                <w:tab w:val="left" w:pos="170" w:leader="none"/>
              </w:tabs>
              <w:spacing w:before="0" w:after="0" w:line="240"/>
              <w:ind w:right="0" w:left="169" w:hanging="115"/>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Sede do “MIQCB” em São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Luís.</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39" w:after="0" w:line="278"/>
        <w:ind w:right="880" w:left="222" w:firstLine="0"/>
        <w:jc w:val="left"/>
        <w:rPr>
          <w:rFonts w:ascii="Calibri" w:hAnsi="Calibri" w:cs="Calibri" w:eastAsia="Calibri"/>
          <w:color w:val="auto"/>
          <w:spacing w:val="0"/>
          <w:position w:val="10"/>
          <w:sz w:val="18"/>
          <w:shd w:fill="auto" w:val="clear"/>
        </w:rPr>
      </w:pPr>
      <w:r>
        <w:rPr>
          <w:rFonts w:ascii="Calibri" w:hAnsi="Calibri" w:cs="Calibri" w:eastAsia="Calibri"/>
          <w:color w:val="auto"/>
          <w:spacing w:val="0"/>
          <w:position w:val="10"/>
          <w:sz w:val="18"/>
          <w:shd w:fill="auto" w:val="clear"/>
        </w:rPr>
        <w:t xml:space="preserve">5 Simultaneamente ao “II Encontrão” ocorreu a I Encontro Interestadual das Crianças Envolvidas na Coleta e extração da Amêndoa do Babaçu (ALMEIDA, 1995, p. 37)</w:t>
      </w:r>
    </w:p>
    <w:p>
      <w:pPr>
        <w:spacing w:before="0" w:after="0" w:line="278"/>
        <w:ind w:right="0" w:left="0" w:firstLine="0"/>
        <w:jc w:val="left"/>
        <w:rPr>
          <w:rFonts w:ascii="Calibri" w:hAnsi="Calibri" w:cs="Calibri" w:eastAsia="Calibri"/>
          <w:color w:val="auto"/>
          <w:spacing w:val="0"/>
          <w:position w:val="0"/>
          <w:sz w:val="20"/>
          <w:shd w:fill="auto" w:val="clear"/>
        </w:rPr>
      </w:pPr>
    </w:p>
    <w:p>
      <w:pPr>
        <w:spacing w:before="5" w:after="0" w:line="240"/>
        <w:ind w:right="0" w:left="0" w:firstLine="0"/>
        <w:jc w:val="left"/>
        <w:rPr>
          <w:rFonts w:ascii="Calibri" w:hAnsi="Calibri" w:cs="Calibri" w:eastAsia="Calibri"/>
          <w:color w:val="auto"/>
          <w:spacing w:val="0"/>
          <w:position w:val="0"/>
          <w:sz w:val="8"/>
          <w:shd w:fill="auto" w:val="clear"/>
        </w:rPr>
      </w:pPr>
    </w:p>
    <w:tbl>
      <w:tblPr>
        <w:tblInd w:w="109" w:type="dxa"/>
      </w:tblPr>
      <w:tblGrid>
        <w:gridCol w:w="1241"/>
        <w:gridCol w:w="1985"/>
        <w:gridCol w:w="3262"/>
        <w:gridCol w:w="3121"/>
      </w:tblGrid>
      <w:tr>
        <w:trPr>
          <w:trHeight w:val="3000" w:hRule="auto"/>
          <w:jc w:val="left"/>
        </w:trPr>
        <w:tc>
          <w:tcPr>
            <w:tcW w:w="1241"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spacing w:before="0" w:after="0" w:line="240"/>
              <w:ind w:right="36" w:left="103" w:firstLine="0"/>
              <w:jc w:val="left"/>
              <w:rPr>
                <w:rFonts w:ascii="Times New Roman" w:hAnsi="Times New Roman" w:cs="Times New Roman" w:eastAsia="Times New Roman"/>
                <w:color w:val="auto"/>
                <w:spacing w:val="0"/>
                <w:position w:val="9"/>
                <w:sz w:val="20"/>
                <w:shd w:fill="auto" w:val="clear"/>
              </w:rPr>
            </w:pPr>
            <w:r>
              <w:rPr>
                <w:rFonts w:ascii="Times New Roman" w:hAnsi="Times New Roman" w:cs="Times New Roman" w:eastAsia="Times New Roman"/>
                <w:color w:val="auto"/>
                <w:spacing w:val="0"/>
                <w:position w:val="0"/>
                <w:sz w:val="20"/>
                <w:shd w:fill="auto" w:val="clear"/>
              </w:rPr>
              <w:t xml:space="preserve">V</w:t>
            </w:r>
            <w:r>
              <w:rPr>
                <w:rFonts w:ascii="Times New Roman" w:hAnsi="Times New Roman" w:cs="Times New Roman" w:eastAsia="Times New Roman"/>
                <w:color w:val="auto"/>
                <w:spacing w:val="0"/>
                <w:position w:val="9"/>
                <w:sz w:val="13"/>
                <w:shd w:fill="auto" w:val="clear"/>
              </w:rPr>
              <w:t xml:space="preserve">6  </w:t>
            </w:r>
            <w:r>
              <w:rPr>
                <w:rFonts w:ascii="Times New Roman" w:hAnsi="Times New Roman" w:cs="Times New Roman" w:eastAsia="Times New Roman"/>
                <w:color w:val="auto"/>
                <w:spacing w:val="0"/>
                <w:position w:val="9"/>
                <w:sz w:val="20"/>
                <w:shd w:fill="auto" w:val="clear"/>
              </w:rPr>
              <w:t xml:space="preserve">Encontro</w:t>
            </w:r>
          </w:p>
          <w:p>
            <w:pPr>
              <w:spacing w:before="0" w:after="0" w:line="240"/>
              <w:ind w:right="36" w:left="103" w:firstLine="0"/>
              <w:jc w:val="left"/>
              <w:rPr>
                <w:color w:val="auto"/>
                <w:spacing w:val="0"/>
                <w:shd w:fill="auto" w:val="clear"/>
              </w:rPr>
            </w:pPr>
            <w:r>
              <w:rPr>
                <w:rFonts w:ascii="Times New Roman" w:hAnsi="Times New Roman" w:cs="Times New Roman" w:eastAsia="Times New Roman"/>
                <w:color w:val="auto"/>
                <w:spacing w:val="0"/>
                <w:position w:val="0"/>
                <w:sz w:val="20"/>
                <w:shd w:fill="auto" w:val="clear"/>
              </w:rPr>
              <w:t xml:space="preserve">do MIQCB</w:t>
            </w:r>
          </w:p>
        </w:tc>
        <w:tc>
          <w:tcPr>
            <w:tcW w:w="1985" w:type="dxa"/>
            <w:tcBorders>
              <w:top w:val="single" w:color="000000" w:sz="4"/>
              <w:left w:val="single" w:color="000000" w:sz="4"/>
              <w:bottom w:val="single" w:color="000000" w:sz="4"/>
              <w:right w:val="single" w:color="f3f3f3" w:sz="43"/>
            </w:tcBorders>
            <w:shd w:color="000000" w:fill="ffffff" w:val="clear"/>
            <w:tcMar>
              <w:left w:w="0" w:type="dxa"/>
              <w:right w:w="0" w:type="dxa"/>
            </w:tcMar>
            <w:vAlign w:val="top"/>
          </w:tcPr>
          <w:p>
            <w:pPr>
              <w:tabs>
                <w:tab w:val="left" w:pos="1674" w:leader="none"/>
              </w:tabs>
              <w:spacing w:before="0" w:after="0" w:line="240"/>
              <w:ind w:right="54" w:left="10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-Avaliação</w:t>
              <w:tab/>
              <w:t xml:space="preserve">do funcionamento das regionais</w:t>
            </w:r>
          </w:p>
          <w:p>
            <w:pPr>
              <w:numPr>
                <w:ilvl w:val="0"/>
                <w:numId w:val="4683"/>
              </w:numPr>
              <w:tabs>
                <w:tab w:val="left" w:pos="1154" w:leader="none"/>
                <w:tab w:val="left" w:pos="1155" w:leader="none"/>
              </w:tabs>
              <w:spacing w:before="0" w:after="0" w:line="240"/>
              <w:ind w:right="0" w:left="10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Reservas</w:t>
            </w:r>
          </w:p>
          <w:p>
            <w:pPr>
              <w:spacing w:before="0" w:after="0" w:line="240"/>
              <w:ind w:right="0" w:left="10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Extrativistas</w:t>
            </w:r>
          </w:p>
          <w:p>
            <w:pPr>
              <w:numPr>
                <w:ilvl w:val="0"/>
                <w:numId w:val="4685"/>
              </w:numPr>
              <w:tabs>
                <w:tab w:val="left" w:pos="372" w:leader="none"/>
              </w:tabs>
              <w:spacing w:before="0" w:after="0" w:line="240"/>
              <w:ind w:right="53" w:left="10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Leis do babaçu Livre</w:t>
            </w:r>
          </w:p>
          <w:p>
            <w:pPr>
              <w:numPr>
                <w:ilvl w:val="0"/>
                <w:numId w:val="4685"/>
              </w:numPr>
              <w:tabs>
                <w:tab w:val="left" w:pos="224" w:leader="none"/>
              </w:tabs>
              <w:spacing w:before="0" w:after="0" w:line="240"/>
              <w:ind w:right="0" w:left="223" w:hanging="11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Geração de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renda</w:t>
            </w:r>
          </w:p>
          <w:p>
            <w:pPr>
              <w:numPr>
                <w:ilvl w:val="0"/>
                <w:numId w:val="4685"/>
              </w:numPr>
              <w:tabs>
                <w:tab w:val="left" w:pos="260" w:leader="none"/>
              </w:tabs>
              <w:spacing w:before="0" w:after="0" w:line="240"/>
              <w:ind w:right="54" w:left="10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Gênero, etnia, terra 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globalização</w:t>
            </w:r>
          </w:p>
          <w:p>
            <w:pPr>
              <w:numPr>
                <w:ilvl w:val="0"/>
                <w:numId w:val="4685"/>
              </w:numPr>
              <w:tabs>
                <w:tab w:val="left" w:pos="348" w:leader="none"/>
              </w:tabs>
              <w:spacing w:before="0" w:after="0" w:line="240"/>
              <w:ind w:right="56" w:left="107"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Eleição da nova coordenação</w:t>
            </w:r>
          </w:p>
        </w:tc>
        <w:tc>
          <w:tcPr>
            <w:tcW w:w="3262" w:type="dxa"/>
            <w:tcBorders>
              <w:top w:val="single" w:color="000000" w:sz="4"/>
              <w:left w:val="single" w:color="000000" w:sz="4"/>
              <w:bottom w:val="single" w:color="000000" w:sz="4"/>
              <w:right w:val="single" w:color="000000" w:sz="4"/>
            </w:tcBorders>
            <w:shd w:color="auto" w:fill="f3f3f3" w:val="clear"/>
            <w:tcMar>
              <w:left w:w="0" w:type="dxa"/>
              <w:right w:w="0" w:type="dxa"/>
            </w:tcMar>
            <w:vAlign w:val="top"/>
          </w:tcPr>
          <w:p>
            <w:pPr>
              <w:numPr>
                <w:ilvl w:val="0"/>
                <w:numId w:val="4685"/>
              </w:numPr>
              <w:tabs>
                <w:tab w:val="left" w:pos="224" w:leader="none"/>
              </w:tabs>
              <w:spacing w:before="0" w:after="0" w:line="240"/>
              <w:ind w:right="0" w:left="10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preço baixo da</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amêndoa</w:t>
            </w:r>
          </w:p>
          <w:p>
            <w:pPr>
              <w:numPr>
                <w:ilvl w:val="0"/>
                <w:numId w:val="4685"/>
              </w:numPr>
              <w:tabs>
                <w:tab w:val="left" w:pos="224" w:leader="none"/>
              </w:tabs>
              <w:spacing w:before="0" w:after="0" w:line="240"/>
              <w:ind w:right="0" w:left="223" w:hanging="115"/>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falta de</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infra-estrutura</w:t>
            </w:r>
          </w:p>
          <w:p>
            <w:pPr>
              <w:numPr>
                <w:ilvl w:val="0"/>
                <w:numId w:val="4685"/>
              </w:numPr>
              <w:tabs>
                <w:tab w:val="left" w:pos="286" w:leader="none"/>
              </w:tabs>
              <w:spacing w:before="0" w:after="0" w:line="240"/>
              <w:ind w:right="112" w:left="10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falta de projetos e financiamento para cooperativas 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associações</w:t>
            </w:r>
          </w:p>
          <w:p>
            <w:pPr>
              <w:numPr>
                <w:ilvl w:val="0"/>
                <w:numId w:val="4685"/>
              </w:numPr>
              <w:tabs>
                <w:tab w:val="left" w:pos="524" w:leader="none"/>
              </w:tabs>
              <w:spacing w:before="0" w:after="0" w:line="240"/>
              <w:ind w:right="108" w:left="10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falta de fiscalização e implementação das leis do babaçu livre</w:t>
            </w:r>
          </w:p>
          <w:p>
            <w:pPr>
              <w:numPr>
                <w:ilvl w:val="0"/>
                <w:numId w:val="4685"/>
              </w:numPr>
              <w:tabs>
                <w:tab w:val="left" w:pos="236" w:leader="none"/>
              </w:tabs>
              <w:spacing w:before="0" w:after="0" w:line="240"/>
              <w:ind w:right="113" w:left="10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processo de criação de reservas não concluídos.</w:t>
            </w:r>
          </w:p>
          <w:p>
            <w:pPr>
              <w:numPr>
                <w:ilvl w:val="0"/>
                <w:numId w:val="4685"/>
              </w:numPr>
              <w:tabs>
                <w:tab w:val="left" w:pos="387" w:leader="none"/>
              </w:tabs>
              <w:spacing w:before="0" w:after="0" w:line="240"/>
              <w:ind w:right="111" w:left="10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Devastação promovida pela pecuária, sojicultura e</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carvoarias.</w:t>
            </w:r>
          </w:p>
          <w:p>
            <w:pPr>
              <w:numPr>
                <w:ilvl w:val="0"/>
                <w:numId w:val="4685"/>
              </w:numPr>
              <w:tabs>
                <w:tab w:val="left" w:pos="264" w:leader="none"/>
              </w:tabs>
              <w:spacing w:before="0" w:after="0" w:line="240"/>
              <w:ind w:right="111" w:left="108"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Não realização da reforma agrária pelo governo</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Lula.</w:t>
            </w:r>
          </w:p>
        </w:tc>
        <w:tc>
          <w:tcPr>
            <w:tcW w:w="3121" w:type="dxa"/>
            <w:tcBorders>
              <w:top w:val="single" w:color="000000" w:sz="4"/>
              <w:left w:val="single" w:color="f3f3f3" w:sz="43"/>
              <w:bottom w:val="single" w:color="000000" w:sz="4"/>
              <w:right w:val="single" w:color="000000" w:sz="4"/>
            </w:tcBorders>
            <w:shd w:color="000000" w:fill="ffffff" w:val="clear"/>
            <w:tcMar>
              <w:left w:w="0" w:type="dxa"/>
              <w:right w:w="0" w:type="dxa"/>
            </w:tcMar>
            <w:vAlign w:val="top"/>
          </w:tcPr>
          <w:p>
            <w:pPr>
              <w:numPr>
                <w:ilvl w:val="0"/>
                <w:numId w:val="4685"/>
              </w:numPr>
              <w:tabs>
                <w:tab w:val="left" w:pos="230" w:leader="none"/>
                <w:tab w:val="left" w:pos="1224" w:leader="none"/>
                <w:tab w:val="left" w:pos="2164" w:leader="none"/>
                <w:tab w:val="left" w:pos="2488" w:leader="none"/>
              </w:tabs>
              <w:spacing w:before="0" w:after="0" w:line="240"/>
              <w:ind w:right="105" w:left="5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Solicitar audiências com órgãos federais</w:t>
              <w:tab/>
              <w:t xml:space="preserve">para:</w:t>
              <w:tab/>
              <w:t xml:space="preserve">denunciar desmatamentos,</w:t>
              <w:tab/>
              <w:tab/>
              <w:t xml:space="preserve">exigir compensação ambiental, exigir andamento do projeto de lei federal do “babaçu</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livre”.</w:t>
            </w:r>
          </w:p>
          <w:p>
            <w:pPr>
              <w:numPr>
                <w:ilvl w:val="0"/>
                <w:numId w:val="4685"/>
              </w:numPr>
              <w:tabs>
                <w:tab w:val="left" w:pos="424" w:leader="none"/>
              </w:tabs>
              <w:spacing w:before="0" w:after="0" w:line="240"/>
              <w:ind w:right="102" w:left="54"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Encaminhar ao Itamaraty reivindicações dos movimentos da Bolívia e Peru, presentes ao “Encontrão”.</w:t>
            </w:r>
          </w:p>
        </w:tc>
      </w:tr>
    </w:tbl>
    <w:p>
      <w:pPr>
        <w:spacing w:before="5" w:after="0" w:line="240"/>
        <w:ind w:right="0" w:left="0" w:firstLine="0"/>
        <w:jc w:val="left"/>
        <w:rPr>
          <w:rFonts w:ascii="Calibri" w:hAnsi="Calibri" w:cs="Calibri" w:eastAsia="Calibri"/>
          <w:color w:val="auto"/>
          <w:spacing w:val="0"/>
          <w:position w:val="0"/>
          <w:sz w:val="16"/>
          <w:shd w:fill="auto" w:val="clear"/>
        </w:rPr>
      </w:pPr>
    </w:p>
    <w:p>
      <w:pPr>
        <w:spacing w:before="70" w:after="0" w:line="360"/>
        <w:ind w:right="549" w:left="222" w:firstLine="141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aspecto importante na construção dessa identidade é o fato de ser uma identidade extremamente feminina ou composta por mulheres que ao estarem associadas ao sindicato não vêem suas reivindicações serem atendidas ou mesmo pautadas, sentindo-se aparte e não parte do processo de decisões nesse espaço de lutas.</w:t>
      </w:r>
    </w:p>
    <w:p>
      <w:pPr>
        <w:spacing w:before="6" w:after="10" w:line="360"/>
        <w:ind w:right="551" w:left="22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Realizei, para efeito de análise dos temas que passaram a ser problematizados pelo MIQCB, o quadro abaixo, as principais pautas em debate nos vários encontros: (Cordeiro:2008), com acréscimo feito por mim do  </w:t>
      </w:r>
      <w:r>
        <w:rPr>
          <w:rFonts w:ascii="Times New Roman" w:hAnsi="Times New Roman" w:cs="Times New Roman" w:eastAsia="Times New Roman"/>
          <w:i/>
          <w:color w:val="auto"/>
          <w:spacing w:val="0"/>
          <w:position w:val="0"/>
          <w:sz w:val="24"/>
          <w:shd w:fill="auto" w:val="clear"/>
        </w:rPr>
        <w:t xml:space="preserve">VI Encontrão</w:t>
      </w:r>
      <w:r>
        <w:rPr>
          <w:rFonts w:ascii="Times New Roman" w:hAnsi="Times New Roman" w:cs="Times New Roman" w:eastAsia="Times New Roman"/>
          <w:color w:val="auto"/>
          <w:spacing w:val="0"/>
          <w:position w:val="0"/>
          <w:sz w:val="24"/>
          <w:shd w:fill="auto" w:val="clear"/>
        </w:rPr>
        <w:t xml:space="preserve">.</w:t>
      </w:r>
    </w:p>
    <w:tbl>
      <w:tblPr>
        <w:tblInd w:w="109" w:type="dxa"/>
      </w:tblPr>
      <w:tblGrid>
        <w:gridCol w:w="535"/>
        <w:gridCol w:w="2125"/>
        <w:gridCol w:w="2412"/>
        <w:gridCol w:w="4251"/>
      </w:tblGrid>
      <w:tr>
        <w:trPr>
          <w:trHeight w:val="6680" w:hRule="auto"/>
          <w:jc w:val="left"/>
        </w:trPr>
        <w:tc>
          <w:tcPr>
            <w:tcW w:w="5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91" w:left="10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VI</w:t>
            </w:r>
          </w:p>
          <w:p>
            <w:pPr>
              <w:spacing w:before="0" w:after="0" w:line="240"/>
              <w:ind w:right="91"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Enc ont ro (acr esc ent ar)</w:t>
            </w:r>
          </w:p>
        </w:tc>
        <w:tc>
          <w:tcPr>
            <w:tcW w:w="212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tabs>
                <w:tab w:val="left" w:pos="755" w:leader="none"/>
              </w:tabs>
              <w:spacing w:before="0" w:after="0" w:line="240"/>
              <w:ind w:right="101" w:left="10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50"/>
                <w:position w:val="0"/>
                <w:sz w:val="20"/>
                <w:u w:val="single"/>
                <w:shd w:fill="auto" w:val="clear"/>
              </w:rPr>
              <w:t xml:space="preserve"> </w:t>
            </w:r>
            <w:r>
              <w:rPr>
                <w:rFonts w:ascii="Times New Roman" w:hAnsi="Times New Roman" w:cs="Times New Roman" w:eastAsia="Times New Roman"/>
                <w:b/>
                <w:color w:val="auto"/>
                <w:spacing w:val="0"/>
                <w:position w:val="0"/>
                <w:sz w:val="20"/>
                <w:u w:val="single"/>
                <w:shd w:fill="auto" w:val="clear"/>
              </w:rPr>
              <w:t xml:space="preserve">Tema “Nos Babaçuais há</w:t>
              <w:tab/>
              <w:t xml:space="preserve">conhecimentos</w:t>
            </w:r>
          </w:p>
          <w:p>
            <w:pPr>
              <w:spacing w:before="0" w:after="0" w:line="240"/>
              <w:ind w:right="101" w:left="10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50"/>
                <w:position w:val="0"/>
                <w:sz w:val="20"/>
                <w:u w:val="single"/>
                <w:shd w:fill="auto" w:val="clear"/>
              </w:rPr>
              <w:t xml:space="preserve"> </w:t>
            </w:r>
            <w:r>
              <w:rPr>
                <w:rFonts w:ascii="Times New Roman" w:hAnsi="Times New Roman" w:cs="Times New Roman" w:eastAsia="Times New Roman"/>
                <w:b/>
                <w:color w:val="auto"/>
                <w:spacing w:val="0"/>
                <w:position w:val="0"/>
                <w:sz w:val="20"/>
                <w:u w:val="single"/>
                <w:shd w:fill="auto" w:val="clear"/>
              </w:rPr>
              <w:t xml:space="preserve">tradicionais”</w:t>
            </w:r>
          </w:p>
          <w:p>
            <w:pPr>
              <w:tabs>
                <w:tab w:val="left" w:pos="1729" w:leader="none"/>
              </w:tabs>
              <w:spacing w:before="0" w:after="0" w:line="240"/>
              <w:ind w:right="0"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-Relatos</w:t>
              <w:tab/>
              <w:t xml:space="preserve">dos</w:t>
            </w:r>
          </w:p>
          <w:p>
            <w:pPr>
              <w:spacing w:before="0" w:after="0" w:line="240"/>
              <w:ind w:right="101"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encontrinhos</w:t>
            </w:r>
          </w:p>
          <w:p>
            <w:pPr>
              <w:spacing w:before="10" w:after="0" w:line="240"/>
              <w:ind w:right="0" w:left="0" w:firstLine="0"/>
              <w:jc w:val="left"/>
              <w:rPr>
                <w:rFonts w:ascii="Times New Roman" w:hAnsi="Times New Roman" w:cs="Times New Roman" w:eastAsia="Times New Roman"/>
                <w:color w:val="auto"/>
                <w:spacing w:val="0"/>
                <w:position w:val="0"/>
                <w:sz w:val="19"/>
                <w:shd w:fill="auto" w:val="clear"/>
              </w:rPr>
            </w:pPr>
          </w:p>
          <w:p>
            <w:pPr>
              <w:tabs>
                <w:tab w:val="left" w:pos="1920" w:leader="none"/>
              </w:tabs>
              <w:spacing w:before="0" w:after="0" w:line="240"/>
              <w:ind w:right="105"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-Conhecimentos Tradicionais</w:t>
              <w:tab/>
              <w:t xml:space="preserve">e Trabalho</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infantil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129" w:leader="none"/>
                <w:tab w:val="left" w:pos="1566" w:leader="none"/>
              </w:tabs>
              <w:spacing w:before="1" w:after="0" w:line="240"/>
              <w:ind w:right="101" w:left="10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Políticas Econômicas nos</w:t>
              <w:tab/>
              <w:t xml:space="preserve">Babaçuais: Biodiesel,</w:t>
              <w:tab/>
              <w:tab/>
              <w:t xml:space="preserve">preço mínimo e subvenção; políticas para as trabalhadoras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rurais.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101"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-Agroecologia: Sistema agroflorestais- agroextrativismo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918" w:leader="none"/>
              </w:tabs>
              <w:spacing w:before="1" w:after="0" w:line="240"/>
              <w:ind w:right="0"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-Organização</w:t>
              <w:tab/>
              <w:t xml:space="preserve">e</w:t>
            </w:r>
          </w:p>
          <w:p>
            <w:pPr>
              <w:tabs>
                <w:tab w:val="left" w:pos="1743" w:leader="none"/>
              </w:tabs>
              <w:spacing w:before="0" w:after="0" w:line="240"/>
              <w:ind w:right="102" w:left="10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reprodução</w:t>
              <w:tab/>
              <w:t xml:space="preserve">das quebradeiras e Acesso aos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Mercados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101" w:left="100"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-Saúde da mulher e combate a violência</w:t>
            </w:r>
          </w:p>
        </w:tc>
        <w:tc>
          <w:tcPr>
            <w:tcW w:w="241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5"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118" w:left="10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-Trabalho infantil e</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serviço de menino e menina - Ensinar os filhos aquilo que fazemos; Não deixar os filhos sozinhos; Educar dentro do seio</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familiar.</w:t>
            </w:r>
          </w:p>
          <w:p>
            <w:pPr>
              <w:spacing w:before="0" w:after="0" w:line="240"/>
              <w:ind w:right="97" w:left="10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-Aquisição do azeite e mesocarpo; acesso e agilização de DAP; Assessoria técnica para apoiar essas políticas; diálogos com os conselhos de segurança alimentar municipal e nacional.</w:t>
            </w:r>
          </w:p>
          <w:p>
            <w:pPr>
              <w:spacing w:before="0" w:after="0" w:line="240"/>
              <w:ind w:right="123" w:left="10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posse da terra e a função social da propriedade, Ma distribuição da terra; as leis que não são justas; falta política publica para</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 saúde e a educação; fazendeiros e empresários na Amazônia; agrotóxicos; derrubadas;</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queimadas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97" w:left="103"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-Fragilidade econômica; autonomia; lutar pelo livre acesso; Parcerias que dêem</w:t>
            </w:r>
          </w:p>
        </w:tc>
        <w:tc>
          <w:tcPr>
            <w:tcW w:w="425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5"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656"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deixar a crianças trabalhar no pesado; Respeito ao direito de brincar</w:t>
            </w:r>
          </w:p>
          <w:p>
            <w:pPr>
              <w:spacing w:before="0" w:after="0" w:line="240"/>
              <w:ind w:right="100"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-Apoio e acesso a documentação da quebradeiras de coco; agendar mutirões de documentação com MDA; SAF e AEGRE; capacitações para elaboração de PAA nas regionais do MIQCB; Apoio às organizações produtivas e de comercialização, das quebradeiras; Certificação socioparticipativa; plano de marketing para as quebradeiras acessarem vários mercados; Petrobrás dialogar diretamente com as quebradeiras em relação ao biodiesel e Nparafina; aprovação e implementação da lei federal do babaçu livre; Campanha nacional contra a queima do coco inteiro; viabilizar acesso das quebradeiras às políticas e programas ambientais; Regularização das RESEX já existentes; criação de novas RESEX em áreas de babaçuais; criação de assentamentos extrativista e quilombolas; regularização fundiária na Baixada(MA);Piaui;Mearim(MA) e Pará</w:t>
            </w:r>
          </w:p>
          <w:p>
            <w:pPr>
              <w:spacing w:before="0" w:after="0" w:line="240"/>
              <w:ind w:right="134"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-Buscar um desenho, implementação e consolidação de sistemas agroflorestais nos babaçuais; Buscar chamar atenção da opinião publica, dando ênfase no componente de gênero e à proátividade das mulheres na busca da sustentabilidade para agricultura familiar; Elaboração de projetos de pesquisa para</w:t>
            </w:r>
          </w:p>
        </w:tc>
      </w:tr>
    </w:tbl>
    <w:p>
      <w:pPr>
        <w:spacing w:before="5"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39" w:after="0" w:line="278"/>
        <w:ind w:right="880" w:left="222" w:firstLine="0"/>
        <w:jc w:val="left"/>
        <w:rPr>
          <w:rFonts w:ascii="Calibri" w:hAnsi="Calibri" w:cs="Calibri" w:eastAsia="Calibri"/>
          <w:color w:val="auto"/>
          <w:spacing w:val="0"/>
          <w:position w:val="10"/>
          <w:sz w:val="18"/>
          <w:shd w:fill="auto" w:val="clear"/>
        </w:rPr>
      </w:pPr>
      <w:r>
        <w:rPr>
          <w:rFonts w:ascii="Calibri" w:hAnsi="Calibri" w:cs="Calibri" w:eastAsia="Calibri"/>
          <w:color w:val="auto"/>
          <w:spacing w:val="0"/>
          <w:position w:val="10"/>
          <w:sz w:val="18"/>
          <w:shd w:fill="auto" w:val="clear"/>
        </w:rPr>
        <w:t xml:space="preserve">6 Foi encaminhado também ao Governador do Estado do Maranhão, José Reinaldo Tavares, uma Moção de Repúdio pela implantação do pólo siderúrgico em São Luís.(V MIQCB, 2005)</w:t>
      </w:r>
    </w:p>
    <w:p>
      <w:pPr>
        <w:spacing w:before="0" w:after="0" w:line="278"/>
        <w:ind w:right="0" w:left="0" w:firstLine="0"/>
        <w:jc w:val="left"/>
        <w:rPr>
          <w:rFonts w:ascii="Calibri" w:hAnsi="Calibri" w:cs="Calibri" w:eastAsia="Calibri"/>
          <w:color w:val="auto"/>
          <w:spacing w:val="0"/>
          <w:position w:val="0"/>
          <w:sz w:val="20"/>
          <w:shd w:fill="auto" w:val="clear"/>
        </w:rPr>
      </w:pPr>
    </w:p>
    <w:p>
      <w:pPr>
        <w:spacing w:before="5" w:after="0" w:line="240"/>
        <w:ind w:right="0" w:left="0" w:firstLine="0"/>
        <w:jc w:val="left"/>
        <w:rPr>
          <w:rFonts w:ascii="Calibri" w:hAnsi="Calibri" w:cs="Calibri" w:eastAsia="Calibri"/>
          <w:color w:val="auto"/>
          <w:spacing w:val="0"/>
          <w:position w:val="0"/>
          <w:sz w:val="8"/>
          <w:shd w:fill="auto" w:val="clear"/>
        </w:rPr>
      </w:pPr>
    </w:p>
    <w:tbl>
      <w:tblPr>
        <w:tblInd w:w="109" w:type="dxa"/>
      </w:tblPr>
      <w:tblGrid>
        <w:gridCol w:w="535"/>
        <w:gridCol w:w="2125"/>
        <w:gridCol w:w="2412"/>
        <w:gridCol w:w="4251"/>
      </w:tblGrid>
      <w:tr>
        <w:trPr>
          <w:trHeight w:val="2081" w:hRule="auto"/>
          <w:jc w:val="left"/>
        </w:trPr>
        <w:tc>
          <w:tcPr>
            <w:tcW w:w="53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4"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-Carta das quebradeiras</w:t>
            </w:r>
          </w:p>
          <w:p>
            <w:pPr>
              <w:spacing w:before="5" w:after="0" w:line="240"/>
              <w:ind w:right="101" w:left="10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(anexo)</w:t>
            </w:r>
          </w:p>
          <w:p>
            <w:pPr>
              <w:spacing w:before="0" w:after="0" w:line="240"/>
              <w:ind w:right="101"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-Venda de produtos</w:t>
            </w:r>
          </w:p>
          <w:p>
            <w:pPr>
              <w:spacing w:before="11" w:after="0" w:line="240"/>
              <w:ind w:right="0" w:left="0" w:firstLine="0"/>
              <w:jc w:val="left"/>
              <w:rPr>
                <w:rFonts w:ascii="Calibri" w:hAnsi="Calibri" w:cs="Calibri" w:eastAsia="Calibri"/>
                <w:color w:val="auto"/>
                <w:spacing w:val="0"/>
                <w:position w:val="0"/>
                <w:sz w:val="18"/>
                <w:shd w:fill="auto" w:val="clear"/>
              </w:rPr>
            </w:pPr>
          </w:p>
          <w:p>
            <w:pPr>
              <w:tabs>
                <w:tab w:val="left" w:pos="1741" w:leader="none"/>
              </w:tabs>
              <w:spacing w:before="0" w:after="0" w:line="240"/>
              <w:ind w:right="0"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-Show</w:t>
              <w:tab/>
              <w:t xml:space="preserve">das</w:t>
            </w:r>
          </w:p>
          <w:p>
            <w:pPr>
              <w:spacing w:before="0" w:after="0" w:line="240"/>
              <w:ind w:right="101"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“Encantadeiras”</w:t>
            </w:r>
          </w:p>
        </w:tc>
        <w:tc>
          <w:tcPr>
            <w:tcW w:w="241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219" w:left="10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apoio as quebradeiras; como colocar os produtos no mercado?;</w:t>
            </w:r>
          </w:p>
          <w:p>
            <w:pPr>
              <w:spacing w:before="0" w:after="0" w:line="242"/>
              <w:ind w:right="109" w:left="103"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-Vilência contra a mulher; problemas sobre cercas elétricas; falta respeito, e justiça; políticas publicas na prática e conhecimento. </w:t>
            </w:r>
            <w:r>
              <w:rPr>
                <w:rFonts w:ascii="Times New Roman" w:hAnsi="Times New Roman" w:cs="Times New Roman" w:eastAsia="Times New Roman"/>
                <w:b/>
                <w:color w:val="auto"/>
                <w:spacing w:val="0"/>
                <w:position w:val="0"/>
                <w:sz w:val="20"/>
                <w:shd w:fill="auto" w:val="clear"/>
              </w:rPr>
              <w:t xml:space="preserve">anexo</w:t>
            </w:r>
          </w:p>
        </w:tc>
        <w:tc>
          <w:tcPr>
            <w:tcW w:w="425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656"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identificar alternativas viáveis de sistemas agroflorestais;</w:t>
            </w:r>
          </w:p>
          <w:p>
            <w:pPr>
              <w:spacing w:before="8"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656"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-Ter cuidado com as Parcerias;</w:t>
            </w:r>
          </w:p>
          <w:p>
            <w:pPr>
              <w:spacing w:before="0" w:after="0" w:line="240"/>
              <w:ind w:right="284" w:left="1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Trazer o Estado para mediação; Criação de uma cooperativas Interestadual;</w:t>
            </w:r>
          </w:p>
          <w:p>
            <w:pPr>
              <w:spacing w:before="11"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656"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-Denunciar; lutar pelos direitos;</w:t>
            </w:r>
          </w:p>
        </w:tc>
      </w:tr>
    </w:tbl>
    <w:p>
      <w:pPr>
        <w:spacing w:before="8" w:after="0" w:line="240"/>
        <w:ind w:right="0" w:left="0" w:firstLine="0"/>
        <w:jc w:val="left"/>
        <w:rPr>
          <w:rFonts w:ascii="Calibri" w:hAnsi="Calibri" w:cs="Calibri" w:eastAsia="Calibri"/>
          <w:color w:val="auto"/>
          <w:spacing w:val="0"/>
          <w:position w:val="0"/>
          <w:sz w:val="27"/>
          <w:shd w:fill="auto" w:val="clear"/>
        </w:rPr>
      </w:pPr>
    </w:p>
    <w:p>
      <w:pPr>
        <w:spacing w:before="69" w:after="0" w:line="360"/>
        <w:ind w:right="271" w:left="2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verificar o quadro acima, percebo que as pautas vão se tornando específicas com o passar do tempo vão se consolidando, tornando-se bandeiras de luta MIQCB.</w:t>
      </w:r>
    </w:p>
    <w:p>
      <w:pPr>
        <w:spacing w:before="6" w:after="0" w:line="360"/>
        <w:ind w:right="272" w:left="2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caso das quebradeiras de coco babaçu deve-se entender que os critérios de afirmação da identidade passam pelo político organizativo (</w:t>
      </w:r>
      <w:r>
        <w:rPr>
          <w:rFonts w:ascii="Times New Roman" w:hAnsi="Times New Roman" w:cs="Times New Roman" w:eastAsia="Times New Roman"/>
          <w:b/>
          <w:color w:val="auto"/>
          <w:spacing w:val="0"/>
          <w:position w:val="0"/>
          <w:sz w:val="24"/>
          <w:shd w:fill="auto" w:val="clear"/>
        </w:rPr>
        <w:t xml:space="preserve">BARTH: 1969</w:t>
      </w:r>
      <w:r>
        <w:rPr>
          <w:rFonts w:ascii="Times New Roman" w:hAnsi="Times New Roman" w:cs="Times New Roman" w:eastAsia="Times New Roman"/>
          <w:color w:val="auto"/>
          <w:spacing w:val="0"/>
          <w:position w:val="0"/>
          <w:sz w:val="24"/>
          <w:shd w:fill="auto" w:val="clear"/>
        </w:rPr>
        <w:t xml:space="preserve">). Barth propõe uma postura metodológica que centre a análise nas fronteiras, ou seja, entende que o critério de definição da identidade passa pelos sinais que o próprio grupo elege como diferenciadores em relação outros grupos. Essas fronteiras não devem ser entendidas como fixas geograficamente, assim como para esse autor não é o pesquisador quem define os traços do grupo. Ao contrário, são os próprios membros do grupo que a partir de critérios de autodenominação possuem a autonomia de se definirem (BARTH, 1969). Quando me refiro  às quebradeiras de coco babaçu percebo que as mesmas em seus depoimentos se referem a essa identidade e elegem os critérios de definição dessa identidade. Dizem que anteriormente  à organização coletiva sentiam vergonha em afirmar essa identidade e que após a organização positivaram essa identidade. A mobilização leva a um auto-reconhecimento e um reconhecimento coletivo dessa identidade. Nesse sentido, as quebradeiras de coco podem ser consideradas como possuindo uma identidade própria já que se constituem em um grupo organizado. Para Barth grupos étnicos são considerados como formas de organização social (Barth: 1969, 11,</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12).</w:t>
      </w:r>
    </w:p>
    <w:p>
      <w:pPr>
        <w:spacing w:before="6" w:after="0" w:line="360"/>
        <w:ind w:right="273" w:left="2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MIQCB ajuda a relativizar a noção de origem como definindo identidade já que as representantes desse movimento são de territórios e áreas com processos históricos diferenciadas.</w:t>
      </w:r>
    </w:p>
    <w:p>
      <w:pPr>
        <w:spacing w:before="7" w:after="0" w:line="240"/>
        <w:ind w:right="0" w:left="0" w:firstLine="0"/>
        <w:jc w:val="left"/>
        <w:rPr>
          <w:rFonts w:ascii="Times New Roman" w:hAnsi="Times New Roman" w:cs="Times New Roman" w:eastAsia="Times New Roman"/>
          <w:color w:val="auto"/>
          <w:spacing w:val="0"/>
          <w:position w:val="0"/>
          <w:sz w:val="30"/>
          <w:shd w:fill="auto" w:val="clear"/>
        </w:rPr>
      </w:pPr>
    </w:p>
    <w:p>
      <w:pPr>
        <w:numPr>
          <w:ilvl w:val="0"/>
          <w:numId w:val="4759"/>
        </w:numPr>
        <w:tabs>
          <w:tab w:val="left" w:pos="642" w:leader="none"/>
        </w:tabs>
        <w:spacing w:before="0" w:after="0" w:line="240"/>
        <w:ind w:right="0" w:left="642" w:hanging="42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 MÚLTIPLAS</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IDENTIDADES</w:t>
      </w:r>
    </w:p>
    <w:p>
      <w:pPr>
        <w:spacing w:before="7" w:after="0" w:line="240"/>
        <w:ind w:right="0" w:left="0" w:firstLine="0"/>
        <w:jc w:val="left"/>
        <w:rPr>
          <w:rFonts w:ascii="Times New Roman" w:hAnsi="Times New Roman" w:cs="Times New Roman" w:eastAsia="Times New Roman"/>
          <w:b/>
          <w:color w:val="auto"/>
          <w:spacing w:val="0"/>
          <w:position w:val="0"/>
          <w:sz w:val="35"/>
          <w:shd w:fill="auto" w:val="clear"/>
        </w:rPr>
      </w:pPr>
    </w:p>
    <w:p>
      <w:pPr>
        <w:spacing w:before="1" w:after="0" w:line="360"/>
        <w:ind w:right="271" w:left="2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Percebi, durante o período no qual trabalhei no MIQCB, que as </w:t>
      </w:r>
      <w:r>
        <w:rPr>
          <w:rFonts w:ascii="Times New Roman" w:hAnsi="Times New Roman" w:cs="Times New Roman" w:eastAsia="Times New Roman"/>
          <w:i/>
          <w:color w:val="auto"/>
          <w:spacing w:val="0"/>
          <w:position w:val="0"/>
          <w:sz w:val="24"/>
          <w:shd w:fill="auto" w:val="clear"/>
        </w:rPr>
        <w:t xml:space="preserve">quebradeiras de coco babaçu </w:t>
      </w:r>
      <w:r>
        <w:rPr>
          <w:rFonts w:ascii="Times New Roman" w:hAnsi="Times New Roman" w:cs="Times New Roman" w:eastAsia="Times New Roman"/>
          <w:color w:val="auto"/>
          <w:spacing w:val="0"/>
          <w:position w:val="0"/>
          <w:sz w:val="24"/>
          <w:shd w:fill="auto" w:val="clear"/>
        </w:rPr>
        <w:t xml:space="preserve">se autodefiniam de várias formas, dependendo do interlocutor ou situação. Nesse período, ainda sem um aparato teórico que me permitisse outro olhar, mais aguçado, não conseguia interpretar esse fenômeno de maneira teórica. </w:t>
      </w:r>
    </w:p>
    <w:p>
      <w:pPr>
        <w:spacing w:before="1" w:after="0" w:line="360"/>
        <w:ind w:right="271" w:left="222" w:firstLine="1132"/>
        <w:jc w:val="both"/>
        <w:rPr>
          <w:rFonts w:ascii="Times New Roman" w:hAnsi="Times New Roman" w:cs="Times New Roman" w:eastAsia="Times New Roman"/>
          <w:color w:val="auto"/>
          <w:spacing w:val="0"/>
          <w:position w:val="0"/>
          <w:sz w:val="24"/>
          <w:shd w:fill="auto" w:val="clear"/>
        </w:rPr>
      </w:pPr>
    </w:p>
    <w:p>
      <w:pPr>
        <w:spacing w:before="1" w:after="0" w:line="360"/>
        <w:ind w:right="271" w:left="22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da experiência que tive no Movimento Interestadual das Quebradeiras de Coco Babaçu- (MIQCB) observei</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 sujeitas sociais se percebiam, dependendo da situação, ora como </w:t>
      </w:r>
      <w:r>
        <w:rPr>
          <w:rFonts w:ascii="Times New Roman" w:hAnsi="Times New Roman" w:cs="Times New Roman" w:eastAsia="Times New Roman"/>
          <w:i/>
          <w:color w:val="auto"/>
          <w:spacing w:val="0"/>
          <w:position w:val="0"/>
          <w:sz w:val="24"/>
          <w:shd w:fill="auto" w:val="clear"/>
        </w:rPr>
        <w:t xml:space="preserve">quebradeira de</w:t>
      </w:r>
      <w:r>
        <w:rPr>
          <w:rFonts w:ascii="Times New Roman" w:hAnsi="Times New Roman" w:cs="Times New Roman" w:eastAsia="Times New Roman"/>
          <w:i/>
          <w:color w:val="auto"/>
          <w:spacing w:val="3"/>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coco</w:t>
      </w:r>
      <w:r>
        <w:rPr>
          <w:rFonts w:ascii="Times New Roman" w:hAnsi="Times New Roman" w:cs="Times New Roman" w:eastAsia="Times New Roman"/>
          <w:i/>
          <w:color w:val="auto"/>
          <w:spacing w:val="1"/>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babaçu</w:t>
      </w:r>
      <w:r>
        <w:rPr>
          <w:rFonts w:ascii="Times New Roman" w:hAnsi="Times New Roman" w:cs="Times New Roman" w:eastAsia="Times New Roman"/>
          <w:color w:val="auto"/>
          <w:spacing w:val="0"/>
          <w:position w:val="0"/>
          <w:sz w:val="24"/>
          <w:shd w:fill="auto" w:val="clear"/>
        </w:rPr>
        <w:t xml:space="preserve">, ora como </w:t>
      </w:r>
      <w:r>
        <w:rPr>
          <w:rFonts w:ascii="Times New Roman" w:hAnsi="Times New Roman" w:cs="Times New Roman" w:eastAsia="Times New Roman"/>
          <w:i/>
          <w:color w:val="auto"/>
          <w:spacing w:val="0"/>
          <w:position w:val="0"/>
          <w:sz w:val="24"/>
          <w:shd w:fill="auto" w:val="clear"/>
        </w:rPr>
        <w:t xml:space="preserve">trabalhadora rural</w:t>
      </w:r>
      <w:r>
        <w:rPr>
          <w:rFonts w:ascii="Times New Roman" w:hAnsi="Times New Roman" w:cs="Times New Roman" w:eastAsia="Times New Roman"/>
          <w:color w:val="auto"/>
          <w:spacing w:val="0"/>
          <w:position w:val="0"/>
          <w:sz w:val="24"/>
          <w:shd w:fill="auto" w:val="clear"/>
        </w:rPr>
        <w:t xml:space="preserve">, ora como </w:t>
      </w:r>
      <w:r>
        <w:rPr>
          <w:rFonts w:ascii="Times New Roman" w:hAnsi="Times New Roman" w:cs="Times New Roman" w:eastAsia="Times New Roman"/>
          <w:i/>
          <w:color w:val="auto"/>
          <w:spacing w:val="0"/>
          <w:position w:val="0"/>
          <w:sz w:val="24"/>
          <w:shd w:fill="auto" w:val="clear"/>
        </w:rPr>
        <w:t xml:space="preserve">quilombolas</w:t>
      </w:r>
      <w:r>
        <w:rPr>
          <w:rFonts w:ascii="Times New Roman" w:hAnsi="Times New Roman" w:cs="Times New Roman" w:eastAsia="Times New Roman"/>
          <w:color w:val="auto"/>
          <w:spacing w:val="0"/>
          <w:position w:val="0"/>
          <w:sz w:val="24"/>
          <w:shd w:fill="auto" w:val="clear"/>
        </w:rPr>
        <w:t xml:space="preserve">, ora como </w:t>
      </w:r>
      <w:r>
        <w:rPr>
          <w:rFonts w:ascii="Times New Roman" w:hAnsi="Times New Roman" w:cs="Times New Roman" w:eastAsia="Times New Roman"/>
          <w:i/>
          <w:color w:val="auto"/>
          <w:spacing w:val="0"/>
          <w:position w:val="0"/>
          <w:sz w:val="24"/>
          <w:shd w:fill="auto" w:val="clear"/>
        </w:rPr>
        <w:t xml:space="preserve">atingidas pela</w:t>
      </w:r>
      <w:r>
        <w:rPr>
          <w:rFonts w:ascii="Times New Roman" w:hAnsi="Times New Roman" w:cs="Times New Roman" w:eastAsia="Times New Roman"/>
          <w:i/>
          <w:color w:val="auto"/>
          <w:spacing w:val="48"/>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barragem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ora como</w:t>
        <w:tab/>
        <w:t xml:space="preserve">extrativistas,</w:t>
        <w:tab/>
        <w:t xml:space="preserve">ora</w:t>
        <w:tab/>
        <w:t xml:space="preserve">como</w:t>
        <w:tab/>
        <w:t xml:space="preserve">professoras,</w:t>
        <w:tab/>
        <w:t xml:space="preserve">vereadoras,</w:t>
        <w:tab/>
        <w:t xml:space="preserve">enfim</w:t>
        <w:tab/>
        <w:t xml:space="preserve">uma</w:t>
        <w:tab/>
        <w:t xml:space="preserve">pluralidade</w:t>
        <w:tab/>
        <w:t xml:space="preserve">de autodefinições de acordo com a posição da sujeita social.  A questão central que me </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fazia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era a seguinte: até que ponto essas maneiras de se autodefinir se constituíam</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identidades? Outras</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questões</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também</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apareceram,</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tais</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medida</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constituíam</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papel? Qual dessas formas de autodefinição poderia ser considerada como central ou</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principal?</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 que</w:t>
      </w:r>
      <w:r>
        <w:rPr>
          <w:rFonts w:ascii="Times New Roman" w:hAnsi="Times New Roman" w:cs="Times New Roman" w:eastAsia="Times New Roman"/>
          <w:color w:val="auto"/>
          <w:spacing w:val="3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momento</w:t>
      </w:r>
      <w:r>
        <w:rPr>
          <w:rFonts w:ascii="Times New Roman" w:hAnsi="Times New Roman" w:cs="Times New Roman" w:eastAsia="Times New Roman"/>
          <w:color w:val="auto"/>
          <w:spacing w:val="4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autodefinições</w:t>
      </w:r>
      <w:r>
        <w:rPr>
          <w:rFonts w:ascii="Times New Roman" w:hAnsi="Times New Roman" w:cs="Times New Roman" w:eastAsia="Times New Roman"/>
          <w:color w:val="auto"/>
          <w:spacing w:val="4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era</w:t>
      </w:r>
      <w:r>
        <w:rPr>
          <w:rFonts w:ascii="Times New Roman" w:hAnsi="Times New Roman" w:cs="Times New Roman" w:eastAsia="Times New Roman"/>
          <w:color w:val="auto"/>
          <w:spacing w:val="4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w:t>
      </w:r>
      <w:r>
        <w:rPr>
          <w:rFonts w:ascii="Times New Roman" w:hAnsi="Times New Roman" w:cs="Times New Roman" w:eastAsia="Times New Roman"/>
          <w:color w:val="auto"/>
          <w:spacing w:val="4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forte</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4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outra?</w:t>
      </w:r>
      <w:r>
        <w:rPr>
          <w:rFonts w:ascii="Times New Roman" w:hAnsi="Times New Roman" w:cs="Times New Roman" w:eastAsia="Times New Roman"/>
          <w:color w:val="auto"/>
          <w:spacing w:val="4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sei</w:t>
      </w:r>
      <w:r>
        <w:rPr>
          <w:rFonts w:ascii="Times New Roman" w:hAnsi="Times New Roman" w:cs="Times New Roman" w:eastAsia="Times New Roman"/>
          <w:color w:val="auto"/>
          <w:spacing w:val="4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3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consigo,</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 âmbito desse artigo responder a todas essas questões, entretanto, farei</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algumas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considerações que podem contribuir para uma reflexão sobre o tema e que pretendo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aprofundar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futuramente. São questões complexas e que se tornavam difíceis de</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serem</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respondidas, considerando que a forma de definição e autodefinição estavam relacionadas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 multiplicidade</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relações</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sociais.</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relação</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situação</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fundiária</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identifiquei</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seguintes autodefinições: sem terra, arrendatárias, assentadas; moradoras de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reserva</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extrativistas; quilombolas, conforme já apresentei anteriormente a partir do relatório (MIQCB,</w:t>
      </w:r>
      <w:r>
        <w:rPr>
          <w:rFonts w:ascii="Times New Roman" w:hAnsi="Times New Roman" w:cs="Times New Roman" w:eastAsia="Times New Roman"/>
          <w:color w:val="auto"/>
          <w:spacing w:val="5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2004).</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 relação à posição na estrutura familiar têm-se aquelas que são mães, avós e filhas.</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Cada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 dessas mulheres pode ocupar tarefas diferenciadas como assumir</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trabalhos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domésticos, trabalhar na roça, tomar conta das crianças e outras. O depoimento a seguir,</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Maria Querubina Silva, nascida em Pedreiras, no povoado Olho D’Água do Tolentino,</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migrou quando</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tinha</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30</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anos,</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década</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1970,</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Imperatriz,</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nos</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dá</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idéia</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3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estou</w:t>
      </w:r>
    </w:p>
    <w:p>
      <w:pPr>
        <w:spacing w:before="6" w:after="0" w:line="240"/>
        <w:ind w:right="114"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explicitando:</w:t>
      </w:r>
    </w:p>
    <w:p>
      <w:pPr>
        <w:spacing w:before="135" w:after="0" w:line="240"/>
        <w:ind w:right="109" w:left="237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questão da luta pela identidade da mulher, isso tem sido muito brabo, a partir da companheirada da gente memo. Quando a gente fala a categoria mulher, a mulher é casada com o trabalhador, mora na roça mais o cidadão. Ele é trabalhador rural, ela é doméstica, isso tem dado muita polêmica, para que isso comece a reverte o quadro e que até os companheiros contribui para que essa coisa se reverta esse quadro. Outra coisa é a mulher ter nome”. (Maria Querubina, - quebradeira de coco. APUD: Martins, 2001)</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06"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Há ainda aquelas quebradeiras de coco que exercem papeis fora do lar como a de professoras, estudantes ou exercem cargos políticos como de vereadoras, presidentes ou representantes de associações e outras. Há graus diferenciados de participação  em movimentos sociais para além do próprio movimento das quebradeiras de coco babaçu (MIQCB). São associações locais; Associações de comunidades quilombolas; Conselhos como  o  Conselho  Nacional  dos  Seringueiros  (CNS);</w:t>
      </w:r>
    </w:p>
    <w:p>
      <w:pPr>
        <w:spacing w:before="0" w:after="0" w:line="360"/>
        <w:ind w:right="106"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Associações  do  Movimento      </w:t>
      </w:r>
      <w:r>
        <w:rPr>
          <w:rFonts w:ascii="Times New Roman" w:hAnsi="Times New Roman" w:cs="Times New Roman" w:eastAsia="Times New Roman"/>
          <w:color w:val="auto"/>
          <w:spacing w:val="2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 Atingidos por Barragens (MABE), Grupo de Mulheres (AMTR-Associação de Mulheres Trabalhadoras Rurais); Clubes de Mães e outros.</w:t>
      </w:r>
    </w:p>
    <w:p>
      <w:pPr>
        <w:spacing w:before="6"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eu fosse buscar subsídios em autores primordialistas, a identidade de </w:t>
      </w:r>
      <w:r>
        <w:rPr>
          <w:rFonts w:ascii="Times New Roman" w:hAnsi="Times New Roman" w:cs="Times New Roman" w:eastAsia="Times New Roman"/>
          <w:i/>
          <w:color w:val="auto"/>
          <w:spacing w:val="0"/>
          <w:position w:val="0"/>
          <w:sz w:val="24"/>
          <w:shd w:fill="auto" w:val="clear"/>
        </w:rPr>
        <w:t xml:space="preserve">quebradeira de coco</w:t>
      </w:r>
      <w:r>
        <w:rPr>
          <w:rFonts w:ascii="Times New Roman" w:hAnsi="Times New Roman" w:cs="Times New Roman" w:eastAsia="Times New Roman"/>
          <w:color w:val="auto"/>
          <w:spacing w:val="0"/>
          <w:position w:val="0"/>
          <w:sz w:val="24"/>
          <w:shd w:fill="auto" w:val="clear"/>
        </w:rPr>
        <w:t xml:space="preserve">, essa identidade seria fixa, um conceito “fechado”, “natural”, “auto evidente”, dado, onde o pesquisado não possui voz. Seria um conceito alicerçado seja em uma raça, seja em uma cultura comum ou qualquer outro critério externo. Entretanto, trabalharei com uma abordagem relacional, que considera a fala e a autodenominação do próprio grupo. Na primeira abordagem, primordialista, “o grupo é mostrado” e os critérios são externos. Na abordagem relacional importa os critérios de definição a autodefinição do próprio grupo. Fredrick Barth, por exemplo, diz que: “grupos étnicos são categorias atributivas e identificadoras empregadas pelos próprios atores” conseqüentemente têm como característica organizar as interações entre as pessoas. BARTH, 2000 p.27</w:t>
      </w:r>
    </w:p>
    <w:p>
      <w:pPr>
        <w:spacing w:before="6" w:after="0" w:line="360"/>
        <w:ind w:right="105"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Percebo que o mundo das quebradeiras revela-se política e economicamente construído e sua abrangência transcende as fronteiras fixadas pelas divisões político- administrativas. Para mostrar o caráter de construção da identidade a partir do político organizativo apresento um depoimento de Maria de Jesus Ferreira Bringelo, conhecida como Dona Dijé, que tem 56 anos, é quilombola e quebradeira de coco da Comunidade de Monte Alegre. É uma das fundadoras do Movimento Interestadual das Quebradeiras de Coco Babaçu (MIQCB) e atual coordenadora do MIQCB, além disso, já foi coordenadora de políticas públicas da Associação em Áreas de Assentamento no Estado do Maranhão (ASSEMA).  Dona Dijé é mãe de cinco filhos e hoje é uma das lideranças que está á frente de várias bandeiras de luta. Segue o seu</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depoimento:</w:t>
      </w:r>
    </w:p>
    <w:p>
      <w:pPr>
        <w:spacing w:before="3" w:after="0" w:line="240"/>
        <w:ind w:right="0" w:left="2653"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Valderiza: Quem é Dijé?</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109" w:left="2653"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Dijé: É uma mulher que ta ai no movimento há muito tempo, eu digo sou quebradeira, sou uma mulher que faz o movimento e </w:t>
      </w:r>
      <w:r>
        <w:rPr>
          <w:rFonts w:ascii="Times New Roman" w:hAnsi="Times New Roman" w:cs="Times New Roman" w:eastAsia="Times New Roman"/>
          <w:color w:val="auto"/>
          <w:spacing w:val="0"/>
          <w:position w:val="0"/>
          <w:sz w:val="20"/>
          <w:u w:val="single"/>
          <w:shd w:fill="auto" w:val="clear"/>
        </w:rPr>
        <w:t xml:space="preserve">que com esse movimento agente conseguiu criar uma identidade que a gente não tinha, </w:t>
      </w:r>
      <w:r>
        <w:rPr>
          <w:rFonts w:ascii="Times New Roman" w:hAnsi="Times New Roman" w:cs="Times New Roman" w:eastAsia="Times New Roman"/>
          <w:color w:val="auto"/>
          <w:spacing w:val="0"/>
          <w:position w:val="0"/>
          <w:sz w:val="20"/>
          <w:shd w:fill="auto" w:val="clear"/>
        </w:rPr>
        <w:t xml:space="preserve">agente era trabalhadora, mas agente era misturado um monte de coisa, então a Dijé que ta aqui hoje </w:t>
      </w:r>
      <w:r>
        <w:rPr>
          <w:rFonts w:ascii="Times New Roman" w:hAnsi="Times New Roman" w:cs="Times New Roman" w:eastAsia="Times New Roman"/>
          <w:color w:val="auto"/>
          <w:spacing w:val="0"/>
          <w:position w:val="0"/>
          <w:sz w:val="20"/>
          <w:u w:val="single"/>
          <w:shd w:fill="auto" w:val="clear"/>
        </w:rPr>
        <w:t xml:space="preserve">possui uma triplica identidade além de ser mulher eu sou quilombola, sua trabalhadora rural. sou mãe sou, avó,sou mulher que cuida da casa da roça</w:t>
      </w:r>
      <w:r>
        <w:rPr>
          <w:rFonts w:ascii="Times New Roman" w:hAnsi="Times New Roman" w:cs="Times New Roman" w:eastAsia="Times New Roman"/>
          <w:color w:val="auto"/>
          <w:spacing w:val="0"/>
          <w:position w:val="0"/>
          <w:sz w:val="20"/>
          <w:shd w:fill="auto" w:val="clear"/>
        </w:rPr>
        <w:t xml:space="preserve">. Eu digo que tenho um triplica identidade por isso. </w:t>
      </w:r>
      <w:r>
        <w:rPr>
          <w:rFonts w:ascii="Times New Roman" w:hAnsi="Times New Roman" w:cs="Times New Roman" w:eastAsia="Times New Roman"/>
          <w:color w:val="auto"/>
          <w:spacing w:val="0"/>
          <w:position w:val="0"/>
          <w:sz w:val="20"/>
          <w:u w:val="single"/>
          <w:shd w:fill="auto" w:val="clear"/>
        </w:rPr>
        <w:t xml:space="preserve">Essa identidade não é aquela que ta escrita no papel na foto. Essa identidade é aquela que nos mesmo criamos  é que em todo lugar aonde nos chegamos eu digo quem eu sou, essa é minha identidade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109"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o depoimento de dona Dijé essa identidade de quebradeiras de coco babaçu é construída no processo de luta. Ela afirma que anteriormente ao movimento das quebradeiras  de  coco  as  mulheres  não  possuíam  ainda  uma  identidade  e  que  embora se</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spacing w:before="98" w:after="0" w:line="360"/>
        <w:ind w:right="111" w:left="10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autodefinissem de várias formas, ela descreve esse momento, anterior a organização coletiva como um momento em que “tudo aparecia misturado”. É momento em que a autodefinição como quebradeira de coco relacionava-se mais a uma atividade econômica que propriamente uma categoria política. Isso significa que os contextos de ação política ainda não estavam definidos como hoje.</w:t>
      </w:r>
    </w:p>
    <w:p>
      <w:pPr>
        <w:spacing w:before="4"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Atualmente uma quebradeira de coco babaçu pode, dependendo do interlocutor, se definir de formas diferentes, inclusive como quilombola. Assim, se uma </w:t>
      </w:r>
      <w:r>
        <w:rPr>
          <w:rFonts w:ascii="Times New Roman" w:hAnsi="Times New Roman" w:cs="Times New Roman" w:eastAsia="Times New Roman"/>
          <w:i/>
          <w:color w:val="auto"/>
          <w:spacing w:val="0"/>
          <w:position w:val="0"/>
          <w:sz w:val="24"/>
          <w:shd w:fill="auto" w:val="clear"/>
        </w:rPr>
        <w:t xml:space="preserve">quebradeira de coco </w:t>
      </w:r>
      <w:r>
        <w:rPr>
          <w:rFonts w:ascii="Times New Roman" w:hAnsi="Times New Roman" w:cs="Times New Roman" w:eastAsia="Times New Roman"/>
          <w:color w:val="auto"/>
          <w:spacing w:val="0"/>
          <w:position w:val="0"/>
          <w:sz w:val="24"/>
          <w:shd w:fill="auto" w:val="clear"/>
        </w:rPr>
        <w:t xml:space="preserve">estiver, por exemplo, em uma reunião de um movimento social ligado a causa negra ela se autodefinirá, naquele contexto como quilombola. Se estiver em uma reunião que aglutina quebradeiras de coco babaçu se autodefinirá como quebradeiras de coco babaçu.</w:t>
      </w:r>
    </w:p>
    <w:p>
      <w:pPr>
        <w:spacing w:before="7" w:after="0" w:line="360"/>
        <w:ind w:right="110" w:left="243" w:firstLine="991"/>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ponto ressaltado, de acordo com o depoimento é que essa identidade é considerada, pela própria entrevistada como não sendo fixa, como se atualizando na prática, ou, nas suas próprias palavras como a </w:t>
      </w:r>
      <w:r>
        <w:rPr>
          <w:rFonts w:ascii="Times New Roman" w:hAnsi="Times New Roman" w:cs="Times New Roman" w:eastAsia="Times New Roman"/>
          <w:i/>
          <w:color w:val="auto"/>
          <w:spacing w:val="0"/>
          <w:position w:val="0"/>
          <w:sz w:val="24"/>
          <w:shd w:fill="auto" w:val="clear"/>
        </w:rPr>
        <w:t xml:space="preserve">identidade criada </w:t>
      </w:r>
      <w:r>
        <w:rPr>
          <w:rFonts w:ascii="Times New Roman" w:hAnsi="Times New Roman" w:cs="Times New Roman" w:eastAsia="Times New Roman"/>
          <w:color w:val="auto"/>
          <w:spacing w:val="0"/>
          <w:position w:val="0"/>
          <w:sz w:val="24"/>
          <w:shd w:fill="auto" w:val="clear"/>
        </w:rPr>
        <w:t xml:space="preserve">pelo próprio grupo em  contraposição a que está </w:t>
      </w:r>
      <w:r>
        <w:rPr>
          <w:rFonts w:ascii="Times New Roman" w:hAnsi="Times New Roman" w:cs="Times New Roman" w:eastAsia="Times New Roman"/>
          <w:i/>
          <w:color w:val="auto"/>
          <w:spacing w:val="0"/>
          <w:position w:val="0"/>
          <w:sz w:val="24"/>
          <w:shd w:fill="auto" w:val="clear"/>
        </w:rPr>
        <w:t xml:space="preserve">no papel na foto</w:t>
      </w:r>
      <w:r>
        <w:rPr>
          <w:rFonts w:ascii="Times New Roman" w:hAnsi="Times New Roman" w:cs="Times New Roman" w:eastAsia="Times New Roman"/>
          <w:color w:val="auto"/>
          <w:spacing w:val="0"/>
          <w:position w:val="0"/>
          <w:sz w:val="24"/>
          <w:shd w:fill="auto" w:val="clear"/>
        </w:rPr>
        <w:t xml:space="preserve">. Ainda a esse respeito vale destacar que o livro didático apresenta os chamados “tipos regionais”, inclusive com fotos representando uma naturalização desses sujeitos sociais (BARROS: 2005). A luta coletiva pela afirmação de uma identidade vem contrapor essa naturalização, ou conforme, minha entrevistada, essa identidade está, nas suas palavras</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4"/>
          <w:shd w:fill="auto" w:val="clear"/>
        </w:rPr>
        <w:t xml:space="preserve">em todo lugar aonde nos</w:t>
      </w:r>
      <w:r>
        <w:rPr>
          <w:rFonts w:ascii="Times New Roman" w:hAnsi="Times New Roman" w:cs="Times New Roman" w:eastAsia="Times New Roman"/>
          <w:i/>
          <w:color w:val="auto"/>
          <w:spacing w:val="-9"/>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chegamos.</w:t>
      </w:r>
    </w:p>
    <w:p>
      <w:pPr>
        <w:spacing w:before="7" w:after="0" w:line="360"/>
        <w:ind w:right="112" w:left="243" w:firstLine="99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pluralidade de pertencimentos reflete os efeitos expandidos da consolidação da existência dos chamados Novos Movimentos Sociais (HOBSBAWN, </w:t>
      </w:r>
      <w:r>
        <w:rPr>
          <w:rFonts w:ascii="Calibri" w:hAnsi="Calibri" w:cs="Calibri" w:eastAsia="Calibri"/>
          <w:color w:val="auto"/>
          <w:spacing w:val="0"/>
          <w:position w:val="0"/>
          <w:sz w:val="24"/>
          <w:shd w:fill="auto" w:val="clear"/>
        </w:rPr>
        <w:t xml:space="preserve">1995</w:t>
      </w:r>
      <w:r>
        <w:rPr>
          <w:rFonts w:ascii="Times New Roman" w:hAnsi="Times New Roman" w:cs="Times New Roman" w:eastAsia="Times New Roman"/>
          <w:color w:val="auto"/>
          <w:spacing w:val="0"/>
          <w:position w:val="0"/>
          <w:sz w:val="24"/>
          <w:shd w:fill="auto" w:val="clear"/>
        </w:rPr>
        <w:t xml:space="preserve">). É a partir dos anos 90, portanto, que “formas organizativas” plurais começam a se estruturar nas diferentes regiões de ocorrência dos babaçuais, transcendendo STRS- Sindicatos de trabalhadores Rurais e entidades confessionais (MARTINS: 2008).</w:t>
      </w:r>
    </w:p>
    <w:p>
      <w:pPr>
        <w:spacing w:before="4" w:after="0" w:line="360"/>
        <w:ind w:right="10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nesse contexto de luta que as categorias que emergem nos movimentos sociais passam a se institucionalizar, inclusive no plano governamental e científico. É instituído pelo MMA-Ministéiro do Meio Ambiente, o GT das quebraderias de coco babaçu, é criada a Comissão de Povos e Comunidades Tradicionais (MMA), assim como leis, decretos e convenções. Essa institucionalização da categoria passa também pelo reconhecimento por agencias multilaterais que passam a financiar projetos do próprio MIQCB, tais como Pão para o Mundo, FAO 1%,Actionaid e War on Wart.</w:t>
      </w:r>
    </w:p>
    <w:p>
      <w:pPr>
        <w:spacing w:before="4" w:after="0" w:line="360"/>
        <w:ind w:right="108" w:left="102" w:firstLine="1132"/>
        <w:jc w:val="both"/>
        <w:rPr>
          <w:rFonts w:ascii="Times New Roman" w:hAnsi="Times New Roman" w:cs="Times New Roman" w:eastAsia="Times New Roman"/>
          <w:color w:val="auto"/>
          <w:spacing w:val="0"/>
          <w:position w:val="0"/>
          <w:sz w:val="24"/>
          <w:shd w:fill="auto" w:val="clear"/>
        </w:rPr>
      </w:pPr>
    </w:p>
    <w:p>
      <w:pPr>
        <w:spacing w:before="4" w:after="0" w:line="360"/>
        <w:ind w:right="108" w:left="102" w:firstLine="1132"/>
        <w:jc w:val="both"/>
        <w:rPr>
          <w:rFonts w:ascii="Times New Roman" w:hAnsi="Times New Roman" w:cs="Times New Roman" w:eastAsia="Times New Roman"/>
          <w:color w:val="auto"/>
          <w:spacing w:val="0"/>
          <w:position w:val="0"/>
          <w:sz w:val="24"/>
          <w:shd w:fill="auto" w:val="clear"/>
        </w:rPr>
      </w:pPr>
    </w:p>
    <w:p>
      <w:pPr>
        <w:spacing w:before="4" w:after="0" w:line="360"/>
        <w:ind w:right="108" w:left="102" w:firstLine="1132"/>
        <w:jc w:val="both"/>
        <w:rPr>
          <w:rFonts w:ascii="Times New Roman" w:hAnsi="Times New Roman" w:cs="Times New Roman" w:eastAsia="Times New Roman"/>
          <w:color w:val="auto"/>
          <w:spacing w:val="0"/>
          <w:position w:val="0"/>
          <w:sz w:val="24"/>
          <w:shd w:fill="auto" w:val="clear"/>
        </w:rPr>
      </w:pPr>
    </w:p>
    <w:p>
      <w:pPr>
        <w:spacing w:before="4" w:after="0" w:line="360"/>
        <w:ind w:right="108" w:left="102" w:firstLine="1132"/>
        <w:jc w:val="both"/>
        <w:rPr>
          <w:rFonts w:ascii="Times New Roman" w:hAnsi="Times New Roman" w:cs="Times New Roman" w:eastAsia="Times New Roman"/>
          <w:color w:val="auto"/>
          <w:spacing w:val="0"/>
          <w:position w:val="0"/>
          <w:sz w:val="24"/>
          <w:shd w:fill="auto" w:val="clear"/>
        </w:rPr>
      </w:pPr>
    </w:p>
    <w:p>
      <w:pPr>
        <w:spacing w:before="6" w:after="0" w:line="360"/>
        <w:ind w:right="110"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Ocorre a construção de um quadro institucional que passa a reconhecer essa categoria identitária a partir de então, </w:t>
      </w:r>
      <w:r>
        <w:rPr>
          <w:rFonts w:ascii="Times New Roman" w:hAnsi="Times New Roman" w:cs="Times New Roman" w:eastAsia="Times New Roman"/>
          <w:i/>
          <w:color w:val="auto"/>
          <w:spacing w:val="0"/>
          <w:position w:val="0"/>
          <w:sz w:val="24"/>
          <w:shd w:fill="auto" w:val="clear"/>
        </w:rPr>
        <w:t xml:space="preserve">positivada </w:t>
      </w:r>
      <w:r>
        <w:rPr>
          <w:rFonts w:ascii="Times New Roman" w:hAnsi="Times New Roman" w:cs="Times New Roman" w:eastAsia="Times New Roman"/>
          <w:color w:val="auto"/>
          <w:spacing w:val="0"/>
          <w:position w:val="0"/>
          <w:sz w:val="24"/>
          <w:shd w:fill="auto" w:val="clear"/>
        </w:rPr>
        <w:t xml:space="preserve">no sentido de associada a frentes de luta como a ambientalista (CORDEIRO:2008), direitos de igualdade de gênero e outras  (NEVES:).</w:t>
      </w:r>
    </w:p>
    <w:p>
      <w:pPr>
        <w:spacing w:before="6" w:after="0" w:line="360"/>
        <w:ind w:right="116"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autor que nos ajuda a compreender essa discussão é ALMEIDA. Segue um trecho do seu trabalho onde diz que:</w:t>
      </w:r>
    </w:p>
    <w:p>
      <w:pPr>
        <w:spacing w:before="5" w:after="0" w:line="240"/>
        <w:ind w:right="112" w:left="237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denominadas quebradeiras de coco ao se autodefinirem pela atividade complementar e extrativa, envolvendo simultaneamente critérios ecológicos e de gênero, alcançam certo consenso que serve de alavanca para reposicioná-las política e economicamente face à ação governamental e aos circuitos de mercado...Isto se dá meio a intensa situações de conflito ao colidir com interesses oligopolistas, que desenvolvem práticas restritivas e abusivas de proteção a posições de mercado já alcançadas.(referencia)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ponto a ser considerado nesse processo é a ampliação do diálogo com o que a senhora Maria Martins denomina como “parcerias e conquista de espaços com o governo”. Devemos, portanto analisar como conquistas agregadas a própria construção da identidade de quebradeira de coco babaçu. No depoimento de dona Maria Martins que já coordenou regionalmente o movimento no estado do Pará, mais precisamente no povoado de Palestina:</w:t>
      </w:r>
    </w:p>
    <w:p>
      <w:pPr>
        <w:spacing w:before="3"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112" w:left="237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Palestina, a gente lembra as dificuldades e esquece as vitórias. Então temos vereadoras, pobres e negras. Outra conquista é dentro do lar. Outra é a auto-estima, não é só o homem, somos iguais. </w:t>
      </w:r>
      <w:r>
        <w:rPr>
          <w:rFonts w:ascii="Times New Roman" w:hAnsi="Times New Roman" w:cs="Times New Roman" w:eastAsia="Times New Roman"/>
          <w:color w:val="auto"/>
          <w:spacing w:val="0"/>
          <w:position w:val="0"/>
          <w:sz w:val="20"/>
          <w:u w:val="single"/>
          <w:shd w:fill="auto" w:val="clear"/>
        </w:rPr>
        <w:t xml:space="preserve">O movimento conseguiu parcerias e conquistou espaço com o governo. </w:t>
      </w:r>
      <w:r>
        <w:rPr>
          <w:rFonts w:ascii="Times New Roman" w:hAnsi="Times New Roman" w:cs="Times New Roman" w:eastAsia="Times New Roman"/>
          <w:color w:val="auto"/>
          <w:spacing w:val="0"/>
          <w:position w:val="0"/>
          <w:sz w:val="20"/>
          <w:shd w:fill="auto" w:val="clear"/>
        </w:rPr>
        <w:t xml:space="preserve">Maria Martins-PA. Relatório do V Encontrão, p.19, 2004.</w:t>
      </w: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360"/>
        <w:ind w:right="111"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Ressalto que a participação e o diálogo com instituições como o Estado,  academia, igreja e empresas também contribui para a construção dessa identidade, são interlocutores com quem o MIQCB se relaciona, participam da construção dessa identidade, mas não será tratado nesse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trabalho.</w:t>
      </w:r>
    </w:p>
    <w:p>
      <w:pPr>
        <w:spacing w:before="4" w:after="0" w:line="360"/>
        <w:ind w:right="113"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dos autores que nos ajuda a pensar esse processo de construção de múltiplas identidades é Stuart Hall quando considera que a medida em que os sistemas de significação e representação cultural se multiplicam, somos confrontados por uma multiplicidade desconcertante e cambiante de identidades possíveis, com cada uma das quais poderíamos nos identificar – ao menos temporariamente (HALL: p.13.2001).</w:t>
      </w:r>
    </w:p>
    <w:p>
      <w:pPr>
        <w:spacing w:before="4" w:after="0" w:line="360"/>
        <w:ind w:right="113" w:left="102" w:firstLine="1132"/>
        <w:jc w:val="both"/>
        <w:rPr>
          <w:rFonts w:ascii="Times New Roman" w:hAnsi="Times New Roman" w:cs="Times New Roman" w:eastAsia="Times New Roman"/>
          <w:color w:val="auto"/>
          <w:spacing w:val="0"/>
          <w:position w:val="0"/>
          <w:sz w:val="24"/>
          <w:shd w:fill="auto" w:val="clear"/>
        </w:rPr>
      </w:pPr>
    </w:p>
    <w:p>
      <w:pPr>
        <w:spacing w:before="4" w:after="0" w:line="360"/>
        <w:ind w:right="113" w:left="102" w:firstLine="1132"/>
        <w:jc w:val="both"/>
        <w:rPr>
          <w:rFonts w:ascii="Times New Roman" w:hAnsi="Times New Roman" w:cs="Times New Roman" w:eastAsia="Times New Roman"/>
          <w:color w:val="auto"/>
          <w:spacing w:val="0"/>
          <w:position w:val="0"/>
          <w:sz w:val="24"/>
          <w:shd w:fill="auto" w:val="clear"/>
        </w:rPr>
      </w:pPr>
    </w:p>
    <w:p>
      <w:pPr>
        <w:spacing w:before="4" w:after="0" w:line="360"/>
        <w:ind w:right="113" w:left="102" w:firstLine="1132"/>
        <w:jc w:val="both"/>
        <w:rPr>
          <w:rFonts w:ascii="Times New Roman" w:hAnsi="Times New Roman" w:cs="Times New Roman" w:eastAsia="Times New Roman"/>
          <w:color w:val="auto"/>
          <w:spacing w:val="0"/>
          <w:position w:val="0"/>
          <w:sz w:val="24"/>
          <w:shd w:fill="auto" w:val="clear"/>
        </w:rPr>
      </w:pPr>
    </w:p>
    <w:p>
      <w:pPr>
        <w:spacing w:before="4" w:after="0" w:line="240"/>
        <w:ind w:right="116" w:left="237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0"/>
          <w:shd w:fill="auto" w:val="clear"/>
        </w:rPr>
        <w:t xml:space="preserve">m tipo diferente de mudança estrutural está transformando as sociedades modernas no final do século XX. Isso está fragmentando as paisagens culturais de classe, gênero, sexualidade, etnia, raça e nacionalidade, que, no passado, nos tinham fornecido sólidas localizações como indivíduos sociais. Hall.p,9 2001</w:t>
      </w: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 w:after="0" w:line="360"/>
        <w:ind w:right="109"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Hall (2007), ao tratar das mudanças em relação ao conceito </w:t>
      </w:r>
      <w:r>
        <w:rPr>
          <w:rFonts w:ascii="Times New Roman" w:hAnsi="Times New Roman" w:cs="Times New Roman" w:eastAsia="Times New Roman"/>
          <w:color w:val="auto"/>
          <w:spacing w:val="2"/>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identidade expõe que as velhas identidades, que por tanto tempo estabilizaram o mundo social, estão em declínio, fazendo surgir novas identidades e fragmentando o individuo moderno, até aqui  visto como um sujeito unificado. (HALL, p.7.2001). No caso que estou analisando, quando uma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quebradeira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coco</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autodenomina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maneira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incorpora</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outras</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identidades, nem sempre se pode falar em fragmentação. Talvez se possa analisar essas diferentes formas de autodefinição como um recurso de interlocução inserido em um processo de luta por direitos.</w:t>
      </w:r>
    </w:p>
    <w:p>
      <w:pPr>
        <w:spacing w:before="4" w:after="0" w:line="360"/>
        <w:ind w:right="110"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o que é identidade? Manuel Castells em “Paraísos comunais: identidade e significados na sociedade em rede” afirma que identidade é a fonte de significado e experiências de um povo, porém quando se refere a atores sociais, entende por identidade o processo de construção de significado com base em um atributo cultural, ou ainda em um conjunto de atributos culturais inter-relacionados, os quais prevalecem sobre outras fontes de significados. Para definir a identidade de quebradeiras de coco babaçu não é necessário compartilhar uma cultura ou mesmo uma origem comum. Destaco ainda que esse atributos são erigidos pelas próprias quebradeiras. Nesse sentido, o termo um conjunto de atributos culturais inter-relacionados me parece conveniente para tratar da situação que estou  analisando já que me vi diante de uma multiplicidade de situações onde há uma diversidade  de recorte no sentido de estarem inseridas em contextos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diferenciados.</w:t>
      </w:r>
    </w:p>
    <w:p>
      <w:pPr>
        <w:spacing w:before="6" w:after="0" w:line="360"/>
        <w:ind w:right="110"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a pesquisa entrevistei ainda a senhora Nice Machado Aires, que foi uma das coordenadoras do MIQCB e que atualmente ocupa o cargo de presidente da associação de Enseada da Mata, município de Penalva. Enseada da Mata se constitui em uma área quilombola formada pelos povoados de Bairro Novo. Dona Nice já exerceu a função de vereadora, e se autodefine como quebradeira de coco babaçu e quilombola.</w:t>
      </w:r>
    </w:p>
    <w:p>
      <w:pPr>
        <w:spacing w:before="6" w:after="0" w:line="360"/>
        <w:ind w:right="113"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Mesmo na sociedade em rede globalizada a identidade deve ser considerada como uma auto-atribuição, pois o que a define é o reconhecer e ser reconhecido pelo outro. No caso de dona Nice a autodefinição como quebradeira e quilombola está associada a seu pertencimento a movimentos sociais que aglutinam sujeitas sociais que assim se definem.</w:t>
      </w:r>
    </w:p>
    <w:p>
      <w:pPr>
        <w:spacing w:before="6" w:after="0" w:line="360"/>
        <w:ind w:right="112" w:left="102" w:firstLine="1132"/>
        <w:jc w:val="both"/>
        <w:rPr>
          <w:rFonts w:ascii="Times New Roman" w:hAnsi="Times New Roman" w:cs="Times New Roman" w:eastAsia="Times New Roman"/>
          <w:color w:val="auto"/>
          <w:spacing w:val="0"/>
          <w:position w:val="0"/>
          <w:sz w:val="24"/>
          <w:shd w:fill="auto" w:val="clear"/>
        </w:rPr>
      </w:pPr>
    </w:p>
    <w:p>
      <w:pPr>
        <w:spacing w:before="6" w:after="0" w:line="360"/>
        <w:ind w:right="112"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Dona Nice, assim como as outras entrevistadas é delegadas no sentido de representantes desses movimentos. Bourdieu, no texto “Delegação e fetichismo” (ano) diz que o mandatário tem poder sobre quem lhe dá poder, isso em termo de representação de grupo social.</w:t>
      </w:r>
    </w:p>
    <w:p>
      <w:pPr>
        <w:spacing w:before="6" w:after="0" w:line="360"/>
        <w:ind w:right="112" w:left="102" w:firstLine="1132"/>
        <w:jc w:val="both"/>
        <w:rPr>
          <w:rFonts w:ascii="Times New Roman" w:hAnsi="Times New Roman" w:cs="Times New Roman" w:eastAsia="Times New Roman"/>
          <w:color w:val="auto"/>
          <w:spacing w:val="0"/>
          <w:position w:val="0"/>
          <w:sz w:val="24"/>
          <w:shd w:fill="auto" w:val="clear"/>
        </w:rPr>
      </w:pPr>
    </w:p>
    <w:p>
      <w:pPr>
        <w:spacing w:before="6" w:after="0" w:line="360"/>
        <w:ind w:right="113"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dos depoimentos identifiquei que essas diferentes formas de auto definição aparecem também nas músicas e nos relatórios de encontros.</w:t>
      </w:r>
    </w:p>
    <w:p>
      <w:pPr>
        <w:spacing w:before="6" w:after="0" w:line="360"/>
        <w:ind w:right="110"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Pelo que percebo não há uma identidade “mais forte” que a outra, elas são complementares. As identidade se fortalecem à medida que as conquistas vão aparecendo. Ao considerarmos a identidade como fruto do reconhecimento coletivo, percebo que esse fortalecimento também se da no coletivo.</w:t>
      </w:r>
    </w:p>
    <w:p>
      <w:pPr>
        <w:spacing w:before="0" w:after="0" w:line="36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4800"/>
        </w:numPr>
        <w:tabs>
          <w:tab w:val="left" w:pos="343" w:leader="none"/>
        </w:tabs>
        <w:spacing w:before="102" w:after="0" w:line="240"/>
        <w:ind w:right="0" w:left="342" w:hanging="24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CONSIDERAÇÕES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0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estudo da construção da categoria quebradeira de coco babaçu como categoria sócio política é um trabalho que precisa ser aprofundado, requer tempo para analise mais aprofundada e um debruçamento maior de qualquer pesquisador. Eu me contendo em dizer que este é um trabalho preliminar sobre essa temática e que pretendo continuar estudando. Por enquanto rogo em dizer que a identidade de </w:t>
      </w:r>
      <w:r>
        <w:rPr>
          <w:rFonts w:ascii="Times New Roman" w:hAnsi="Times New Roman" w:cs="Times New Roman" w:eastAsia="Times New Roman"/>
          <w:i/>
          <w:color w:val="auto"/>
          <w:spacing w:val="0"/>
          <w:position w:val="0"/>
          <w:sz w:val="24"/>
          <w:shd w:fill="auto" w:val="clear"/>
        </w:rPr>
        <w:t xml:space="preserve">quebradeira de coco e quilombola </w:t>
      </w:r>
      <w:r>
        <w:rPr>
          <w:rFonts w:ascii="Times New Roman" w:hAnsi="Times New Roman" w:cs="Times New Roman" w:eastAsia="Times New Roman"/>
          <w:color w:val="auto"/>
          <w:spacing w:val="0"/>
          <w:position w:val="0"/>
          <w:sz w:val="24"/>
          <w:shd w:fill="auto" w:val="clear"/>
        </w:rPr>
        <w:t xml:space="preserve">estão intrinsecamente entrelaçadas, uma nunca anulando completamente a outra. Podem-se considerar alguns elementos nessas identidades: primeiramente, as identidades não são contraditórias, elas se cruzam mutuamente; posteriormente, esse cruzamento se dá tanto no grupo, que reconhece quanto na autodefinição de cada sujeita social; então, não há uma única identidade. O que há é o acionamento destas, dependendo da situação ou contexto. Finalmente, posso afirmar que ambas não constituem uma classe, antes são categorias que mobilizam e representam grupos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sociais.</w:t>
      </w:r>
    </w:p>
    <w:p>
      <w:pPr>
        <w:spacing w:before="6" w:after="0" w:line="360"/>
        <w:ind w:right="10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Identidade são fontes mais importantes de significado, por causa do processo de autoconstrução que envolve o coletivo. Pode-se dizer que identidades organizam significados. Nas áreas de ocorrência dos babaçuais as mulheres que desenvolvem a atividade extrativista de coleta e quebra do coco organizam-se em torno de entidades como sindicatos, associações de trabalhadores rurais e cooperativas.</w:t>
      </w:r>
    </w:p>
    <w:p>
      <w:pPr>
        <w:spacing w:before="6" w:after="0" w:line="360"/>
        <w:ind w:right="108" w:left="102" w:firstLine="1132"/>
        <w:jc w:val="both"/>
        <w:rPr>
          <w:rFonts w:ascii="Times New Roman" w:hAnsi="Times New Roman" w:cs="Times New Roman" w:eastAsia="Times New Roman"/>
          <w:color w:val="auto"/>
          <w:spacing w:val="0"/>
          <w:position w:val="0"/>
          <w:sz w:val="24"/>
          <w:shd w:fill="auto" w:val="clear"/>
        </w:rPr>
      </w:pPr>
    </w:p>
    <w:p>
      <w:pPr>
        <w:spacing w:before="6" w:after="0" w:line="360"/>
        <w:ind w:right="108"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São extrativistas que passam a assumir um papel político a exemplo de vereadora e que nem por isso deixam de acionar a identidade de quebradeira. Isso significa que não é a freqüência da prática de quebrar coco em si que define 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identidade.</w:t>
      </w:r>
    </w:p>
    <w:p>
      <w:pPr>
        <w:spacing w:before="4" w:after="0" w:line="360"/>
        <w:ind w:right="110" w:left="102" w:firstLine="11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percebi, nas entrevistas, que, se o peso da identidade de quebradeiras levou inicialmente a uma autoafirmação das mulheres prioritariamente como </w:t>
      </w:r>
      <w:r>
        <w:rPr>
          <w:rFonts w:ascii="Times New Roman" w:hAnsi="Times New Roman" w:cs="Times New Roman" w:eastAsia="Times New Roman"/>
          <w:i/>
          <w:color w:val="auto"/>
          <w:spacing w:val="0"/>
          <w:position w:val="0"/>
          <w:sz w:val="24"/>
          <w:shd w:fill="auto" w:val="clear"/>
        </w:rPr>
        <w:t xml:space="preserve">quebradeiras de coco</w:t>
      </w:r>
      <w:r>
        <w:rPr>
          <w:rFonts w:ascii="Times New Roman" w:hAnsi="Times New Roman" w:cs="Times New Roman" w:eastAsia="Times New Roman"/>
          <w:color w:val="auto"/>
          <w:spacing w:val="0"/>
          <w:position w:val="0"/>
          <w:sz w:val="24"/>
          <w:shd w:fill="auto" w:val="clear"/>
        </w:rPr>
        <w:t xml:space="preserve">, hoje temos o que denomino de múltiplas identidades. Entendo por múltiplas identidades a possibilidade que essas agentes sociais têm de se definir e autodefinir de formas diferenciadas, dependendo do contexto em que estão de acionarem pertencimentos múltiplos sem reduzi-los a uma possível transgressão dessa própria identidade.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48" w:after="0" w:line="240"/>
        <w:ind w:right="114" w:left="812"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5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REFERENCIAS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6"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360"/>
        <w:ind w:right="113" w:left="10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ACSELRAD, Heri. As práticas espaciais e o campo dos conflitos ambientais. In: ACSELRAD, Heri. </w:t>
      </w:r>
      <w:r>
        <w:rPr>
          <w:rFonts w:ascii="Times New Roman" w:hAnsi="Times New Roman" w:cs="Times New Roman" w:eastAsia="Times New Roman"/>
          <w:b/>
          <w:color w:val="auto"/>
          <w:spacing w:val="0"/>
          <w:position w:val="0"/>
          <w:sz w:val="24"/>
          <w:shd w:fill="auto" w:val="clear"/>
        </w:rPr>
        <w:t xml:space="preserve">Conflitos ambientais no Brasil. </w:t>
      </w:r>
      <w:r>
        <w:rPr>
          <w:rFonts w:ascii="Times New Roman" w:hAnsi="Times New Roman" w:cs="Times New Roman" w:eastAsia="Times New Roman"/>
          <w:color w:val="auto"/>
          <w:spacing w:val="0"/>
          <w:position w:val="0"/>
          <w:sz w:val="24"/>
          <w:shd w:fill="auto" w:val="clear"/>
        </w:rPr>
        <w:t xml:space="preserve">Rio de janeiro. Relume Dumará, 2004 a p.13-35.</w:t>
      </w:r>
    </w:p>
    <w:p>
      <w:pPr>
        <w:spacing w:before="98" w:after="0" w:line="360"/>
        <w:ind w:right="108" w:left="10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ALMEIDA, Alfredo Wagner B. de. </w:t>
      </w:r>
      <w:r>
        <w:rPr>
          <w:rFonts w:ascii="Times New Roman" w:hAnsi="Times New Roman" w:cs="Times New Roman" w:eastAsia="Times New Roman"/>
          <w:b/>
          <w:color w:val="auto"/>
          <w:spacing w:val="0"/>
          <w:position w:val="0"/>
          <w:sz w:val="24"/>
          <w:shd w:fill="auto" w:val="clear"/>
        </w:rPr>
        <w:t xml:space="preserve">Guerra ecológica nos babaçuais: </w:t>
      </w:r>
      <w:r>
        <w:rPr>
          <w:rFonts w:ascii="Times New Roman" w:hAnsi="Times New Roman" w:cs="Times New Roman" w:eastAsia="Times New Roman"/>
          <w:color w:val="auto"/>
          <w:spacing w:val="0"/>
          <w:position w:val="0"/>
          <w:sz w:val="24"/>
          <w:shd w:fill="auto" w:val="clear"/>
        </w:rPr>
        <w:t xml:space="preserve">o processo de devastação das palmeiras, a elevação do preço de commodities e aquecimento do mercado de terras na Amazônia</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Alfredo Wagner Berno de Almeida, Joaquim Shiraishi Neto, Cynthia Carvalho Martins - São Luis, Lithograf, 2005.</w:t>
      </w:r>
    </w:p>
    <w:p>
      <w:pPr>
        <w:tabs>
          <w:tab w:val="left" w:pos="2141" w:leader="none"/>
        </w:tabs>
        <w:spacing w:before="6" w:after="0" w:line="360"/>
        <w:ind w:right="112"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 </w:t>
        <w:tab/>
      </w:r>
      <w:r>
        <w:rPr>
          <w:rFonts w:ascii="Times New Roman" w:hAnsi="Times New Roman" w:cs="Times New Roman" w:eastAsia="Times New Roman"/>
          <w:color w:val="auto"/>
          <w:spacing w:val="0"/>
          <w:position w:val="0"/>
          <w:sz w:val="24"/>
          <w:shd w:fill="auto" w:val="clear"/>
        </w:rPr>
        <w:t xml:space="preserve">Economia   do   Babaçu:   levantamento   de   dados   Wagner </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Berno </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Almeida, Joaquim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Shiraishi.</w:t>
      </w:r>
    </w:p>
    <w:p>
      <w:pPr>
        <w:spacing w:before="6" w:after="0" w:line="360"/>
        <w:ind w:right="114"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ALMEIDA,Alfredo Wagner Berno. </w:t>
      </w:r>
      <w:r>
        <w:rPr>
          <w:rFonts w:ascii="Times New Roman" w:hAnsi="Times New Roman" w:cs="Times New Roman" w:eastAsia="Times New Roman"/>
          <w:b/>
          <w:color w:val="auto"/>
          <w:spacing w:val="0"/>
          <w:position w:val="0"/>
          <w:sz w:val="24"/>
          <w:shd w:fill="auto" w:val="clear"/>
        </w:rPr>
        <w:t xml:space="preserve">Quebradeira de côco babaçu. </w:t>
      </w:r>
      <w:r>
        <w:rPr>
          <w:rFonts w:ascii="Times New Roman" w:hAnsi="Times New Roman" w:cs="Times New Roman" w:eastAsia="Times New Roman"/>
          <w:color w:val="auto"/>
          <w:spacing w:val="0"/>
          <w:position w:val="0"/>
          <w:sz w:val="24"/>
          <w:shd w:fill="auto" w:val="clear"/>
        </w:rPr>
        <w:t xml:space="preserve">Identidade e mobilização. São Luis: MIQCB, 1995.</w:t>
      </w:r>
    </w:p>
    <w:p>
      <w:pPr>
        <w:spacing w:before="6" w:after="0" w:line="360"/>
        <w:ind w:right="114"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BACHELARD, Gaston. </w:t>
      </w:r>
      <w:r>
        <w:rPr>
          <w:rFonts w:ascii="Times New Roman" w:hAnsi="Times New Roman" w:cs="Times New Roman" w:eastAsia="Times New Roman"/>
          <w:b/>
          <w:color w:val="auto"/>
          <w:spacing w:val="0"/>
          <w:position w:val="0"/>
          <w:sz w:val="24"/>
          <w:shd w:fill="auto" w:val="clear"/>
        </w:rPr>
        <w:t xml:space="preserve">A Formação do Espírito Científico</w:t>
      </w:r>
      <w:r>
        <w:rPr>
          <w:rFonts w:ascii="Times New Roman" w:hAnsi="Times New Roman" w:cs="Times New Roman" w:eastAsia="Times New Roman"/>
          <w:color w:val="auto"/>
          <w:spacing w:val="0"/>
          <w:position w:val="0"/>
          <w:sz w:val="24"/>
          <w:shd w:fill="auto" w:val="clear"/>
        </w:rPr>
        <w:t xml:space="preserve">. Rio de Janeiro: Contraponto, 1996.</w:t>
      </w:r>
    </w:p>
    <w:p>
      <w:pPr>
        <w:spacing w:before="7" w:after="0" w:line="360"/>
        <w:ind w:right="114"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BARTH, Fedrik. </w:t>
      </w:r>
      <w:r>
        <w:rPr>
          <w:rFonts w:ascii="Times New Roman" w:hAnsi="Times New Roman" w:cs="Times New Roman" w:eastAsia="Times New Roman"/>
          <w:b/>
          <w:color w:val="auto"/>
          <w:spacing w:val="0"/>
          <w:position w:val="0"/>
          <w:sz w:val="24"/>
          <w:shd w:fill="auto" w:val="clear"/>
        </w:rPr>
        <w:t xml:space="preserve">Os grupos étnicos e suas fronteiras. </w:t>
      </w:r>
      <w:r>
        <w:rPr>
          <w:rFonts w:ascii="Times New Roman" w:hAnsi="Times New Roman" w:cs="Times New Roman" w:eastAsia="Times New Roman"/>
          <w:color w:val="auto"/>
          <w:spacing w:val="0"/>
          <w:position w:val="0"/>
          <w:sz w:val="24"/>
          <w:shd w:fill="auto" w:val="clear"/>
        </w:rPr>
        <w:t xml:space="preserve">In: O guru, o iniciador e outras variações antropológicas. Rio de Janeiro; Contra Capa Livraria, 2000, p.25 – 67.</w:t>
      </w:r>
    </w:p>
    <w:p>
      <w:pPr>
        <w:spacing w:before="6" w:after="0" w:line="360"/>
        <w:ind w:right="816"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Pierre. Introdução a sociologia reflexiva. In: </w:t>
      </w:r>
      <w:r>
        <w:rPr>
          <w:rFonts w:ascii="Times New Roman" w:hAnsi="Times New Roman" w:cs="Times New Roman" w:eastAsia="Times New Roman"/>
          <w:b/>
          <w:color w:val="auto"/>
          <w:spacing w:val="0"/>
          <w:position w:val="0"/>
          <w:sz w:val="24"/>
          <w:shd w:fill="auto" w:val="clear"/>
        </w:rPr>
        <w:t xml:space="preserve">O Poder Simbólico. </w:t>
      </w:r>
      <w:r>
        <w:rPr>
          <w:rFonts w:ascii="Times New Roman" w:hAnsi="Times New Roman" w:cs="Times New Roman" w:eastAsia="Times New Roman"/>
          <w:color w:val="auto"/>
          <w:spacing w:val="0"/>
          <w:position w:val="0"/>
          <w:sz w:val="24"/>
          <w:shd w:fill="auto" w:val="clear"/>
        </w:rPr>
        <w:t xml:space="preserve">Rio de Janeiro: Bertrand Brasil, 1989</w:t>
      </w:r>
    </w:p>
    <w:p>
      <w:pPr>
        <w:tabs>
          <w:tab w:val="left" w:pos="1801" w:leader="none"/>
        </w:tabs>
        <w:spacing w:before="6" w:after="0" w:line="360"/>
        <w:ind w:right="110"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HALL,  Stuart.</w:t>
        <w:tab/>
      </w:r>
      <w:r>
        <w:rPr>
          <w:rFonts w:ascii="Times New Roman" w:hAnsi="Times New Roman" w:cs="Times New Roman" w:eastAsia="Times New Roman"/>
          <w:b/>
          <w:color w:val="auto"/>
          <w:spacing w:val="0"/>
          <w:position w:val="0"/>
          <w:sz w:val="24"/>
          <w:shd w:fill="auto" w:val="clear"/>
        </w:rPr>
        <w:t xml:space="preserve">A  identidade  cultural  na  pós-modernidade</w:t>
      </w:r>
      <w:r>
        <w:rPr>
          <w:rFonts w:ascii="Times New Roman" w:hAnsi="Times New Roman" w:cs="Times New Roman" w:eastAsia="Times New Roman"/>
          <w:color w:val="auto"/>
          <w:spacing w:val="0"/>
          <w:position w:val="0"/>
          <w:sz w:val="24"/>
          <w:shd w:fill="auto" w:val="clear"/>
        </w:rPr>
        <w:t xml:space="preserve">.  Rio  de  Janeiro,  DP</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&amp;</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Editora,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2000.</w:t>
      </w:r>
    </w:p>
    <w:p>
      <w:pPr>
        <w:spacing w:before="6" w:after="0" w:line="360"/>
        <w:ind w:right="156"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HOBSBAWN. Eric. </w:t>
      </w:r>
      <w:r>
        <w:rPr>
          <w:rFonts w:ascii="Times New Roman" w:hAnsi="Times New Roman" w:cs="Times New Roman" w:eastAsia="Times New Roman"/>
          <w:b/>
          <w:color w:val="auto"/>
          <w:spacing w:val="0"/>
          <w:position w:val="0"/>
          <w:sz w:val="24"/>
          <w:shd w:fill="auto" w:val="clear"/>
        </w:rPr>
        <w:t xml:space="preserve">A era dos extremos – O breve século XX (1914 – 1991). </w:t>
      </w:r>
      <w:r>
        <w:rPr>
          <w:rFonts w:ascii="Times New Roman" w:hAnsi="Times New Roman" w:cs="Times New Roman" w:eastAsia="Times New Roman"/>
          <w:color w:val="auto"/>
          <w:spacing w:val="0"/>
          <w:position w:val="0"/>
          <w:sz w:val="24"/>
          <w:shd w:fill="auto" w:val="clear"/>
        </w:rPr>
        <w:t xml:space="preserve">São Paulo: Cia das Letras,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1995.</w:t>
      </w:r>
    </w:p>
    <w:p>
      <w:pPr>
        <w:spacing w:before="4" w:after="0" w:line="362"/>
        <w:ind w:right="156"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NEVES, Delma Pessanha. </w:t>
      </w:r>
      <w:r>
        <w:rPr>
          <w:rFonts w:ascii="Times New Roman" w:hAnsi="Times New Roman" w:cs="Times New Roman" w:eastAsia="Times New Roman"/>
          <w:b/>
          <w:color w:val="auto"/>
          <w:spacing w:val="0"/>
          <w:position w:val="0"/>
          <w:sz w:val="24"/>
          <w:shd w:fill="auto" w:val="clear"/>
        </w:rPr>
        <w:t xml:space="preserve">Agricultura Familiar: q</w:t>
      </w:r>
      <w:r>
        <w:rPr>
          <w:rFonts w:ascii="Times New Roman" w:hAnsi="Times New Roman" w:cs="Times New Roman" w:eastAsia="Times New Roman"/>
          <w:color w:val="auto"/>
          <w:spacing w:val="0"/>
          <w:position w:val="0"/>
          <w:sz w:val="24"/>
          <w:shd w:fill="auto" w:val="clear"/>
        </w:rPr>
        <w:t xml:space="preserve">uestões metodológicas. Reforma Agraria. Revista da ABRA vol. 25 nº 2 e 3, ano 1995.</w:t>
      </w:r>
    </w:p>
    <w:p>
      <w:pPr>
        <w:tabs>
          <w:tab w:val="left" w:pos="2262" w:leader="none"/>
        </w:tabs>
        <w:spacing w:before="1" w:after="0" w:line="240"/>
        <w:ind w:right="114"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 </w:t>
        <w:tab/>
      </w:r>
      <w:r>
        <w:rPr>
          <w:rFonts w:ascii="Times New Roman" w:hAnsi="Times New Roman" w:cs="Times New Roman" w:eastAsia="Times New Roman"/>
          <w:b/>
          <w:color w:val="auto"/>
          <w:spacing w:val="0"/>
          <w:position w:val="0"/>
          <w:sz w:val="24"/>
          <w:shd w:fill="auto" w:val="clear"/>
        </w:rPr>
        <w:t xml:space="preserve">Agricultura familiar: </w:t>
      </w:r>
      <w:r>
        <w:rPr>
          <w:rFonts w:ascii="Times New Roman" w:hAnsi="Times New Roman" w:cs="Times New Roman" w:eastAsia="Times New Roman"/>
          <w:color w:val="auto"/>
          <w:spacing w:val="0"/>
          <w:position w:val="0"/>
          <w:sz w:val="24"/>
          <w:shd w:fill="auto" w:val="clear"/>
        </w:rPr>
        <w:t xml:space="preserve">Quantos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ancoradouros!.</w:t>
      </w:r>
    </w:p>
    <w:p>
      <w:pPr>
        <w:spacing w:before="139" w:after="0" w:line="240"/>
        <w:ind w:right="110"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PEREZ,  Carmem  Lúcia.  Docência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feminino,  singular  e  plural  –  a  trivial  diferença.  In:</w:t>
      </w:r>
    </w:p>
    <w:p>
      <w:pPr>
        <w:spacing w:before="137" w:after="0" w:line="360"/>
        <w:ind w:right="114" w:left="1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Formação de professores: possibilidades do imprevisível</w:t>
      </w:r>
      <w:r>
        <w:rPr>
          <w:rFonts w:ascii="Times New Roman" w:hAnsi="Times New Roman" w:cs="Times New Roman" w:eastAsia="Times New Roman"/>
          <w:color w:val="auto"/>
          <w:spacing w:val="0"/>
          <w:position w:val="0"/>
          <w:sz w:val="24"/>
          <w:shd w:fill="auto" w:val="clear"/>
        </w:rPr>
        <w:t xml:space="preserve">. Rio de Janeiro: DP&amp;A, 2004. POUTIGNAT, Pheilippe. </w:t>
      </w:r>
      <w:r>
        <w:rPr>
          <w:rFonts w:ascii="Times New Roman" w:hAnsi="Times New Roman" w:cs="Times New Roman" w:eastAsia="Times New Roman"/>
          <w:b/>
          <w:color w:val="auto"/>
          <w:spacing w:val="0"/>
          <w:position w:val="0"/>
          <w:sz w:val="24"/>
          <w:shd w:fill="auto" w:val="clear"/>
        </w:rPr>
        <w:t xml:space="preserve">Teória da Etnicidade. Seguido de Grupos Étnicos e suas Fronteiras</w:t>
      </w:r>
      <w:r>
        <w:rPr>
          <w:rFonts w:ascii="Times New Roman" w:hAnsi="Times New Roman" w:cs="Times New Roman" w:eastAsia="Times New Roman"/>
          <w:color w:val="auto"/>
          <w:spacing w:val="0"/>
          <w:position w:val="0"/>
          <w:sz w:val="24"/>
          <w:shd w:fill="auto" w:val="clear"/>
        </w:rPr>
        <w:t xml:space="preserve">. São Paulo, Editora nda UNESP, 1998.</w:t>
      </w:r>
    </w:p>
    <w:p>
      <w:pPr>
        <w:spacing w:before="6" w:after="0" w:line="360"/>
        <w:ind w:right="122" w:left="102"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RODRIGUES, Alberto Tosi</w:t>
      </w:r>
      <w:r>
        <w:rPr>
          <w:rFonts w:ascii="Times New Roman" w:hAnsi="Times New Roman" w:cs="Times New Roman" w:eastAsia="Times New Roman"/>
          <w:b/>
          <w:color w:val="auto"/>
          <w:spacing w:val="0"/>
          <w:position w:val="0"/>
          <w:sz w:val="24"/>
          <w:shd w:fill="auto" w:val="clear"/>
        </w:rPr>
        <w:t xml:space="preserve">. Sociologia da Educação. </w:t>
      </w:r>
      <w:r>
        <w:rPr>
          <w:rFonts w:ascii="Times New Roman" w:hAnsi="Times New Roman" w:cs="Times New Roman" w:eastAsia="Times New Roman"/>
          <w:color w:val="auto"/>
          <w:spacing w:val="0"/>
          <w:position w:val="0"/>
          <w:sz w:val="24"/>
          <w:shd w:fill="auto" w:val="clear"/>
        </w:rPr>
        <w:t xml:space="preserve">6.ed.Rio de Janeiro: Lamparina, 2007. WEBER, Max</w:t>
      </w:r>
      <w:r>
        <w:rPr>
          <w:rFonts w:ascii="Times New Roman" w:hAnsi="Times New Roman" w:cs="Times New Roman" w:eastAsia="Times New Roman"/>
          <w:b/>
          <w:color w:val="auto"/>
          <w:spacing w:val="0"/>
          <w:position w:val="0"/>
          <w:sz w:val="24"/>
          <w:shd w:fill="auto" w:val="clear"/>
        </w:rPr>
        <w:t xml:space="preserve">. Metodologia das Ciências Sociais. </w:t>
      </w:r>
      <w:r>
        <w:rPr>
          <w:rFonts w:ascii="Times New Roman" w:hAnsi="Times New Roman" w:cs="Times New Roman" w:eastAsia="Times New Roman"/>
          <w:color w:val="auto"/>
          <w:spacing w:val="0"/>
          <w:position w:val="0"/>
          <w:sz w:val="24"/>
          <w:shd w:fill="auto" w:val="clear"/>
        </w:rPr>
        <w:t xml:space="preserve">São Paulo, Cortês, 1993</w:t>
      </w:r>
      <w:r>
        <w:rPr>
          <w:rFonts w:ascii="Times New Roman" w:hAnsi="Times New Roman" w:cs="Times New Roman" w:eastAsia="Times New Roman"/>
          <w:b/>
          <w:color w:val="auto"/>
          <w:spacing w:val="0"/>
          <w:position w:val="0"/>
          <w:sz w:val="24"/>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100" w:after="100" w:line="240"/>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 PAPEL DA MULHER NOS CONTOS INFANTIS DE SÍLVIO ROMERO</w:t>
      </w:r>
    </w:p>
    <w:p>
      <w:pPr>
        <w:spacing w:before="0" w:after="0" w:line="240"/>
        <w:ind w:right="0" w:left="0" w:firstLine="0"/>
        <w:jc w:val="righ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LIMA, Heline Maria Furtado S.¹</w:t>
      </w:r>
    </w:p>
    <w:p>
      <w:pPr>
        <w:spacing w:before="0" w:after="0" w:line="240"/>
        <w:ind w:right="0" w:left="0" w:firstLine="0"/>
        <w:jc w:val="righ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COSTA, Maria Iranilde A. – Orientadora²</w: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Resumo:</w:t>
      </w:r>
      <w:r>
        <w:rPr>
          <w:rFonts w:ascii="Arial" w:hAnsi="Arial" w:cs="Arial" w:eastAsia="Arial"/>
          <w:color w:val="auto"/>
          <w:spacing w:val="0"/>
          <w:position w:val="0"/>
          <w:sz w:val="24"/>
          <w:shd w:fill="auto" w:val="clear"/>
        </w:rPr>
        <w:t xml:space="preserve"> Este artigo discute o papel da mulher na literatura infantil, a partir da investigação empreendida por Sílvio Romero no livro </w:t>
      </w:r>
      <w:r>
        <w:rPr>
          <w:rFonts w:ascii="Arial" w:hAnsi="Arial" w:cs="Arial" w:eastAsia="Arial"/>
          <w:b/>
          <w:color w:val="auto"/>
          <w:spacing w:val="0"/>
          <w:position w:val="0"/>
          <w:sz w:val="24"/>
          <w:shd w:fill="auto" w:val="clear"/>
        </w:rPr>
        <w:t xml:space="preserve">Contos populares do Brasil</w:t>
      </w:r>
      <w:r>
        <w:rPr>
          <w:rFonts w:ascii="Arial" w:hAnsi="Arial" w:cs="Arial" w:eastAsia="Arial"/>
          <w:color w:val="auto"/>
          <w:spacing w:val="0"/>
          <w:position w:val="0"/>
          <w:sz w:val="24"/>
          <w:shd w:fill="auto" w:val="clear"/>
        </w:rPr>
        <w:t xml:space="preserve">, em particular os contos de origem  Européia (ariana). Nestes, buscar-se-á, em particular, o papel da mulher, como este é definido e como tem sido tratado nos textos de literatura infantil, considerando que os contos arrolados pelo pesquisador, apesar de denominados populares, pertencem também ao universo infantil, e são, por esta razão, portadores de toda uma carga ideológica que visa à implementação de um modelo de conduta social ou, pelo menos, a manutenção dos papéis sociais já instituídos pela sociedade.</w:t>
      </w:r>
    </w:p>
    <w:p>
      <w:pPr>
        <w:spacing w:before="0" w:after="0" w:line="360"/>
        <w:ind w:right="0" w:left="0" w:firstLine="0"/>
        <w:jc w:val="both"/>
        <w:rPr>
          <w:rFonts w:ascii="Arial" w:hAnsi="Arial" w:cs="Arial" w:eastAsia="Arial"/>
          <w:color w:val="auto"/>
          <w:spacing w:val="0"/>
          <w:position w:val="0"/>
          <w:sz w:val="24"/>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Palavras-chave: Contos, mulher, literatura infantil.</w:t>
      </w:r>
    </w:p>
    <w:p>
      <w:pPr>
        <w:spacing w:before="0" w:after="0" w:line="360"/>
        <w:ind w:right="0" w:left="0" w:firstLine="0"/>
        <w:jc w:val="both"/>
        <w:rPr>
          <w:rFonts w:ascii="Arial" w:hAnsi="Arial" w:cs="Arial" w:eastAsia="Arial"/>
          <w:color w:val="auto"/>
          <w:spacing w:val="0"/>
          <w:position w:val="0"/>
          <w:sz w:val="24"/>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ABSTRACT:</w:t>
      </w:r>
      <w:r>
        <w:rPr>
          <w:rFonts w:ascii="Arial" w:hAnsi="Arial" w:cs="Arial" w:eastAsia="Arial"/>
          <w:color w:val="auto"/>
          <w:spacing w:val="0"/>
          <w:position w:val="0"/>
          <w:sz w:val="24"/>
          <w:shd w:fill="auto" w:val="clear"/>
        </w:rPr>
        <w:t xml:space="preserve"> Este artigo discute o papel da mulher na literatura infantil, a partir da investigação de Sílvio Romero organizados no  livro “Contos Populares do Brasil”, em particular os contos de origem  Européia (ariana). Nestes, buscar-se-á, em particular, o papel da mulher, como este é definido e como tem sido tratado nos textos de literatura infantil, considerando que os contos arrolados pelo pesquisador, apesar de denominados populares, pertencem também ao universo infantil, e são, por esta razão, portadores de toda uma carga ideológica que visa a implementação de um modelo de conduta social ou pelo menos a manutenção dos papéis sociais já instituídos pela sociedade.</w:t>
      </w: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Key words: Tales, woman, infantile literature. </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numPr>
          <w:ilvl w:val="0"/>
          <w:numId w:val="4828"/>
        </w:numPr>
        <w:spacing w:before="0" w:after="0" w:line="360"/>
        <w:ind w:right="0" w:left="284" w:hanging="284"/>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INTRODUÇÃO</w:t>
      </w:r>
    </w:p>
    <w:p>
      <w:pPr>
        <w:spacing w:before="0" w:after="0" w:line="360"/>
        <w:ind w:right="0" w:left="0" w:firstLine="0"/>
        <w:jc w:val="both"/>
        <w:rPr>
          <w:rFonts w:ascii="Arial" w:hAnsi="Arial" w:cs="Arial" w:eastAsia="Arial"/>
          <w:color w:val="auto"/>
          <w:spacing w:val="0"/>
          <w:position w:val="0"/>
          <w:sz w:val="24"/>
          <w:shd w:fill="auto" w:val="clear"/>
        </w:rPr>
      </w:pP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Entende-se que o conto popular diz-se infantil, porque oriundo de outras gerações, contado primeiramente às crianças, que ficam adultas e seguidamente conta a seus descendentes. Em “Contos populares do Brasil”, Sílvio Romero segue os mesmos passos que os irmãos Jacob e Wilhelm Grimm na Alemanha do séc. XIX, quando estes saíram á procura das histórias, lendas e mitos daquele povo. Romero buscou nas contadoras de histórias o rico acervo que compõe sua obra, situando, inclusive, o lugar de origem daquele conto. Assim, sua obra registra tanto as tradições do povo, quanto a maneira como este povo se percebe, pois nos contos é patente o deflagrar das funções de cada um, homem e mulher, na composição de uma sociedade que já se considerava evoluída.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Romero distribui seus contos em grupos de acordo com a origem dos mesmos, dessa forma, sua obra está dividida em três blocos: os contos de origem européia, os de origem africana e os de origem indígena. Para efeito deste estudo privilegiou-se os contos de origem européia, uma vez que caracterizam efetivamente enquanto contos (nos outros grupos predominam as fábulas), apresentam personagens humanas que se relacionam entre si, ambientam-se na realidade brasileira.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Por origem, entende-se todo um processo de importação cultural das histórias com os estrangeiros europeus, portugueses, alemãos, e outros que se estabeleceram no Brasil, como também o fato de a literatura ser um grande propagador de modelos.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senhoras contadoras de histórias, brancas ou negras, adaptaram o que ouviram ou leram para a realidade brasileira, de forma que a religiosidade católica evidencia-se, bem como a fauna local que também é privilegiada. Assim, quando Romero registra os contos, percebe-se que são releituras de outros mais antigos, a maioria brasileiros em sua forma, mais devedores de uma tradição européia.</w:t>
      </w:r>
    </w:p>
    <w:p>
      <w:pPr>
        <w:spacing w:before="100" w:after="100" w:line="360"/>
        <w:ind w:right="0" w:left="0" w:firstLine="709"/>
        <w:jc w:val="both"/>
        <w:rPr>
          <w:rFonts w:ascii="Arial" w:hAnsi="Arial" w:cs="Arial" w:eastAsia="Arial"/>
          <w:color w:val="auto"/>
          <w:spacing w:val="0"/>
          <w:position w:val="0"/>
          <w:sz w:val="24"/>
          <w:shd w:fill="auto" w:val="clear"/>
        </w:rPr>
      </w:pP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Na adaptação ou mesmo naqueles que são genuinamente brasileiros, sem correspondentes em outras literaturas, pelo menos não desvendados ainda, causa interesse o estudo da condição feminina, das possibilidades que aquela sociedade permitia à mulher. Ao se atualizar a análise, reflete-se sobre o que mudou na sociedade com relação à definição dos papéis femininos, é nossa proposta.</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Perseguiremos neste trabalho a seguinte linha diretiva: primeiro, será feito um estudo do conto infantil brasileiro, caracterizando suas fontes, seus autores mais significativos para entendermos como o gênero se firmou na nossa literatura; segundo, desvelar-se-á o autor dos ‘Contos populares do Brasil’, Silvio Romero, trilhando com ele os passos do pesquisador; a seguir, a mulher será deflagrada através de marcas históricas na sociedade e na época da coleta dos contos; por último, e uma vez entendido e gênero e o autor, a análise da personagem mulher, o desenhar de um modelo feminino poderá então ser percebido, e sobre este serão feitas as reflexões pertinentes.</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É patente nos contos citados, no que tange ao papel da mulher, a presença de uma ideologia marcadamente masculina e de uma ordem hierárquica que  não pode ser contrariada. O poder da autoridade masculina / patriarcal manifesta-se à mulher de forma absoluta e inquestionável, sujeitando-a, e quem ousar romper estes paradigmas receberá severas punições.</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Quem é a mulher na literatura infantil? Que função lhe cabe desempenhar? Como a sociedade definiu seu papel? A que foram destinadas? E, principalmente, como a literatura tem contribuído para manter ou não esses modelos? São perguntas que, no decorrer deste trabalho, espera-se respondidas, se não, que, pelo menos a problematizarão do tema ajude as mentalidades a refletirem acerca da questão. </w:t>
      </w:r>
    </w:p>
    <w:p>
      <w:pPr>
        <w:spacing w:before="100" w:after="100" w:line="360"/>
        <w:ind w:right="0" w:left="0" w:firstLine="709"/>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Objetivo Geral:</w:t>
      </w:r>
    </w:p>
    <w:p>
      <w:pPr>
        <w:spacing w:before="100" w:after="100" w:line="360"/>
        <w:ind w:right="0" w:left="0" w:firstLine="709"/>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Definir o papel da mulher nos contos infantis brasileiros, em especial nos contos catalogados por Sílvio Romero nos mais variados recônditos do país.</w:t>
      </w:r>
    </w:p>
    <w:p>
      <w:pPr>
        <w:spacing w:before="100" w:after="100" w:line="360"/>
        <w:ind w:right="0" w:left="0" w:firstLine="709"/>
        <w:jc w:val="left"/>
        <w:rPr>
          <w:rFonts w:ascii="Arial" w:hAnsi="Arial" w:cs="Arial" w:eastAsia="Arial"/>
          <w:b/>
          <w:color w:val="auto"/>
          <w:spacing w:val="0"/>
          <w:position w:val="0"/>
          <w:sz w:val="24"/>
          <w:shd w:fill="auto" w:val="clear"/>
        </w:rPr>
      </w:pPr>
    </w:p>
    <w:p>
      <w:pPr>
        <w:spacing w:before="100" w:after="100" w:line="360"/>
        <w:ind w:right="0" w:left="0" w:firstLine="709"/>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Objetivos específicos:</w:t>
      </w:r>
    </w:p>
    <w:p>
      <w:pPr>
        <w:spacing w:before="100" w:after="100" w:line="360"/>
        <w:ind w:right="0" w:left="0" w:firstLine="709"/>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Identificar diacronicamente os papéis sociais desempenhados pela mulher nos contos infantis;</w:t>
      </w:r>
    </w:p>
    <w:p>
      <w:pPr>
        <w:spacing w:before="100" w:after="100" w:line="360"/>
        <w:ind w:right="0" w:left="0" w:firstLine="709"/>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Discutir a importância de uma nova identidade, mais crítica, mais atuante na sociedade, tendo como base os contos populares do Brasil de Sílvio Romero;</w:t>
      </w:r>
    </w:p>
    <w:p>
      <w:pPr>
        <w:spacing w:before="100" w:after="100" w:line="360"/>
        <w:ind w:right="0" w:left="0" w:firstLine="709"/>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Resgatar valores que conferem a mulher maior humanidade, dignidade.</w:t>
      </w:r>
    </w:p>
    <w:p>
      <w:pPr>
        <w:numPr>
          <w:ilvl w:val="0"/>
          <w:numId w:val="4832"/>
        </w:numPr>
        <w:tabs>
          <w:tab w:val="left" w:pos="284" w:leader="none"/>
        </w:tabs>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 CONTO INFANTIL: um pouco de sua história.</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Calcula-se que o hábito de ouvir e de contar histórias venha acompanhando a humanidade em sua trajetória no espaço e no tempo. Em que momento o primeiro agrupamento humano se sentou ao redor da fogueira para ouvir as narrativas fantásticas ou didáticas, capazes de atrair a atenção e o gosto dos presentes e deixar, no rastro de magia em que eram envolvidas, uma lição e/ou um momento de prazer? Ou teriam elas nascido com o homem, no momento em que ele sentiu necessidade de comunicar aos outros alguma experiência sua, ter significado para todos, relacionando oralidade e literatura.</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O que se pode afirmar é que todos os povos, em todas as épocas, cultivaram seus contos. Contos anônimos, preservados pela tradição, mantiveram valores e costumes, ajudaram a explicar a história, iluminaram as noites dos tempos.De Sherazade (uma voz de mulher que conta mil e um contos nas Mil e uma noites, fazendo a compilação dos contos mais conhecidos no final da Idade Média) aos contistas contemporâneos, a narrativa curta tem sido observada com especial interesse.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A fórmula de compilação e narração de contos, até então mantidos no ideário popular, adotada nas Mil e uma noites foi largamente adotada e repetida por muitos autores nos anos subseqüentes (Veja-se, por exemplo, o Decamerão, de Bocaccio codificado provavelmente entre os séculos XIII e XVI).O rei persa Shariar, vítima de infidelidade de sua mulher, mandou mata-la e resolveu passar cada noite com uma esposa diferente, que mandava degolar na manhã seguinte.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Seguidamente a tantas esposas, recebeu como mulher Sherazade, que iniciou um conto que despertou o interesse do rei em ouvi-la a continuar o conto na noite seguinte. Sherazade com imaginação e criatividade conseguiu encantar e prender a atenção do monarca por mil e uma noites e foi poupada da morte, salvando-se a si própria e, simbolicamente, às demais mulheres.</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Aos poucos, novas modalidades de contos foram surgindo, diferenciando-se dos contos infantis e dos contos populares, regidos agora por uma nova maneira de narrar, de acordo com a época, os movimentos artísticos que essa época produziu e o estilo individual do autor/narrador.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Luzia de Maria, no livro O que é conto, introduz seu leitor na discussão das várias modalidades de conto, começando por distinguir "o conto como forma simples, expressão do maravilhoso, linguagem que fala de prodígios fantásticos, oralmente transmitido de gerações a gerações e o conto adquirindo uma formulação artística, literária, escorregando do domínio coletivo da linguagem para o universo do estilo individual de um certo escritor". (REIS, 1987 </w:t>
      </w:r>
      <w:r>
        <w:rPr>
          <w:rFonts w:ascii="Arial" w:hAnsi="Arial" w:cs="Arial" w:eastAsia="Arial"/>
          <w:i/>
          <w:color w:val="auto"/>
          <w:spacing w:val="0"/>
          <w:position w:val="0"/>
          <w:sz w:val="24"/>
          <w:shd w:fill="auto" w:val="clear"/>
        </w:rPr>
        <w:t xml:space="preserve">apud </w:t>
      </w:r>
      <w:r>
        <w:rPr>
          <w:rFonts w:ascii="Arial" w:hAnsi="Arial" w:cs="Arial" w:eastAsia="Arial"/>
          <w:color w:val="auto"/>
          <w:spacing w:val="0"/>
          <w:position w:val="0"/>
          <w:sz w:val="24"/>
          <w:shd w:fill="auto" w:val="clear"/>
        </w:rPr>
        <w:t xml:space="preserve">MARIA, 1992, p.10). Desde suas origens, a forma conto se diferencia em maravilhoso e de fadas. O conto maravilhoso foi a fonte misteriosa e privilegiada de onde nasceu a literatura. Esta forma, dos contos maravilhosos, tem raízes em narrativas orientais, e foi difundida pelos árabes, cujo modelo mais complexo é a coletânea As mil e uma noites. O maravilhoso deu origem a personagens que possuem poderes sobrenaturais; deslocam-se contrariando as leis da gravidade; sofrem metamorfoses contínuas; defrontam-se com as forças do bem e do mal personificadas, sofrem profecias que se cumprem, são beneficiadas com milagres, assistem a fenômenos que desafiam as leis da lógica etc.O núcleo dos contos é sempre de natureza material/ social/ sensorial (a busca de riquezas, a satisfação do corpo a conquista do poder etc.).</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Os contos de fadas, por sua vez, originaram-se entre os celtas, são de natureza espiritual/ ética/ existencial. Com personagens heróis e heroínas intimamente ligadas ao sobrenatural, ao mistério do além da vida e visavam a realização íntima do ser humano. O nome fada tem origem do termo latino “fatum” que significa destino. A fada, apesar de séculos, continua a manter um poder de atração sobre os homens e crianças. Esta personagem pertence à área dos mitos, e ocupa um lugar privilegiado. Encarna a possível “realização dos sonhos ou ideais” inerente à condição humana.</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Desses, surgiram os contos de humor, os contos fantásticos, os contos de mistério, de terror, os contos realistas, os contos psicológicos, os contos sombrios, os contos cômicos, os contos religiosos, os contos minimalistas, enfim, os contos passaram a ser estruturados de acordo com as técnicas da narrativa pretendida.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Alguns autores asseguram que o segredo de um conto bem escrito é que, na realidade, todo conto conta duas histórias: uma em primeiro plano e outra que se constrói em segredo. A arte do contista estaria em entrelaçar ambas e, só ao final, pelo elemento surpresa, revelar a história que se construiu abaixo da superfície em que a primeira se desenrola. As duas histórias encontram-se nos pontos de cruzamento que vão dando corpo a ambas, embora o que pareça supérfluo numa seja elemento imprescindível na armação da outra.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conto de feição clássica se organiza numa cadeia de acontecimentos que centralizam o poder de atração, apresentando, conseqüentemente, ação, personagens, diálogos. Caracteriza-se como narração de um episódio, uma única ação, com começo, meio e fim, concentrado num mesmo espaço físico, num tempo reduzido. Destaca-se por sua unidade de tempo e de ação. </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conto contemporâneo, reflexo da nova narrativa que se foi construindo nas últimas décadas, substituiu a estrutura clássica pela construção de um texto curto, com o objetivo de conduzir o leitor para além do dito, para a descoberta de um sentido do não-dito. A ação se torna ainda mais reduzida, surgem monólogos, a exploração de um tempo interior, psicológico, a linguagem pode, muitas vezes chocar pela rudeza, pela denúncia do que não se quer ver. Desaparece a construção dramática tradicional que exigia um desenvolvimento, um clímax e um desenlace. Em contrapartida, cobra a participação do leitor, para que os aspectos constitutivos da narrativa possam por ele ser encontrados e apreciados. Exige uma leitura que descortine não só o que é contado, mas, principalmente, a forma como o fato é contado, a forma como o texto se realiza.</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Nos inúmeros contos infantis brasileiros, muitos se destacam, entre eles os contos populares de Sílvio Romero que retratam histórias da nossa cultura nos diversos recônditos do Brasil, e que tão claramente retratam a sociedade da época.</w:t>
      </w:r>
    </w:p>
    <w:tbl>
      <w:tblPr/>
      <w:tblGrid>
        <w:gridCol w:w="9070"/>
      </w:tblGrid>
      <w:tr>
        <w:trPr>
          <w:trHeight w:val="1" w:hRule="atLeast"/>
          <w:jc w:val="left"/>
        </w:trPr>
        <w:tc>
          <w:tcPr>
            <w:tcW w:w="90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numPr>
                <w:ilvl w:val="0"/>
                <w:numId w:val="4835"/>
              </w:numPr>
              <w:tabs>
                <w:tab w:val="left" w:pos="284" w:leader="none"/>
              </w:tabs>
              <w:spacing w:before="100" w:after="100" w:line="480"/>
              <w:ind w:right="0" w:left="0" w:firstLine="0"/>
              <w:jc w:val="left"/>
              <w:rPr>
                <w:color w:val="auto"/>
                <w:spacing w:val="0"/>
                <w:position w:val="0"/>
                <w:shd w:fill="auto" w:val="clear"/>
              </w:rPr>
            </w:pPr>
            <w:r>
              <w:rPr>
                <w:rFonts w:ascii="Arial" w:hAnsi="Arial" w:cs="Arial" w:eastAsia="Arial"/>
                <w:b/>
                <w:color w:val="auto"/>
                <w:spacing w:val="0"/>
                <w:position w:val="0"/>
                <w:sz w:val="24"/>
                <w:shd w:fill="auto" w:val="clear"/>
              </w:rPr>
              <w:t xml:space="preserve">SÍLVIO ROMERO: o resgate das narrativas populares</w:t>
            </w:r>
          </w:p>
        </w:tc>
      </w:tr>
      <w:tr>
        <w:trPr>
          <w:trHeight w:val="1" w:hRule="atLeast"/>
          <w:jc w:val="left"/>
        </w:trPr>
        <w:tc>
          <w:tcPr>
            <w:tcW w:w="90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Sílvio Romero (S. Vasconcelos da Silveira Ramos R.), crítico, ensaísta, folclorista, polemista, professor e historiador da literatura brasileira, nasceu em Lagarto, SE, em 21 de abril de 1851, e faleceu no Rio de Janeiro, RJ, em 18 de julho de 1914. Convidado a comparecer à sessão de instalação da Academia Brasileira de Letras, em 28 de janeiro de 1897, fundou a Cadeira nº 17, escolhendo como patrono Hipólito da Costa. </w:t>
            </w: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Foram seus pais o comerciante português André Ramos Romero e Maria Joaquina Vasconcelos da Silveira. Na cidade natal, iniciou os estudos primários, cursando a escola mista do professor Badu. Em 1863, partiu para a corte, a fim de fazer os preparatórios no Ateneu Fluminense. Em 68, regressou ao Nordeste e matriculou-se na Faculdade de Direito do Recife. Formou, ao lado de Tobias Barreto (que cursava o 4º ano quando Sílvio se matriculou no 1º) e junto com outros moços de então, a Escola do Recife, em que se buscava uma renovação da mentalidade brasileira. Sílvio Romero foi, no início, positivista. Distinguiu-se, porém, dos que formavam o grupo do Rio, onde Miguel Lemos levava o comtismo para o terreno religioso. De espírito mais crítico, Sílvio Romero se afastaria das idéias de Comte para se aproximar da filosofia evolucionista de Herbert Spencer, na busca de métodos objetivos de análise crítica e apreciação do texto literário. </w:t>
            </w: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Silvio Romero estava no 2º ano de Direito quando começou a sua atuação jornalística na imprensa pernambucana, publicando a monografia </w:t>
            </w:r>
            <w:r>
              <w:rPr>
                <w:rFonts w:ascii="Arial" w:hAnsi="Arial" w:cs="Arial" w:eastAsia="Arial"/>
                <w:i/>
                <w:color w:val="333333"/>
                <w:spacing w:val="0"/>
                <w:position w:val="0"/>
                <w:sz w:val="24"/>
                <w:shd w:fill="auto" w:val="clear"/>
              </w:rPr>
              <w:t xml:space="preserve">A poesia contemporânea e a sua intuição naturalista</w:t>
            </w:r>
            <w:r>
              <w:rPr>
                <w:rFonts w:ascii="Arial" w:hAnsi="Arial" w:cs="Arial" w:eastAsia="Arial"/>
                <w:color w:val="333333"/>
                <w:spacing w:val="0"/>
                <w:position w:val="0"/>
                <w:sz w:val="24"/>
                <w:shd w:fill="auto" w:val="clear"/>
              </w:rPr>
              <w:t xml:space="preserve">. Desde então, manteve a colaboração, ora como ensaísta e crítico, ora como poeta, nas folhas recifenses, entre elas </w:t>
            </w:r>
            <w:r>
              <w:rPr>
                <w:rFonts w:ascii="Arial" w:hAnsi="Arial" w:cs="Arial" w:eastAsia="Arial"/>
                <w:i/>
                <w:color w:val="333333"/>
                <w:spacing w:val="0"/>
                <w:position w:val="0"/>
                <w:sz w:val="24"/>
                <w:shd w:fill="auto" w:val="clear"/>
              </w:rPr>
              <w:t xml:space="preserve">A Crença,</w:t>
            </w:r>
            <w:r>
              <w:rPr>
                <w:rFonts w:ascii="Arial" w:hAnsi="Arial" w:cs="Arial" w:eastAsia="Arial"/>
                <w:color w:val="333333"/>
                <w:spacing w:val="0"/>
                <w:position w:val="0"/>
                <w:sz w:val="24"/>
                <w:shd w:fill="auto" w:val="clear"/>
              </w:rPr>
              <w:t xml:space="preserve"> que ele próprio dirigia, juntamente com Celso de Magalhães, o</w:t>
            </w:r>
            <w:r>
              <w:rPr>
                <w:rFonts w:ascii="Arial" w:hAnsi="Arial" w:cs="Arial" w:eastAsia="Arial"/>
                <w:i/>
                <w:color w:val="333333"/>
                <w:spacing w:val="0"/>
                <w:position w:val="0"/>
                <w:sz w:val="24"/>
                <w:shd w:fill="auto" w:val="clear"/>
              </w:rPr>
              <w:t xml:space="preserve"> Americano, </w:t>
            </w:r>
            <w:r>
              <w:rPr>
                <w:rFonts w:ascii="Arial" w:hAnsi="Arial" w:cs="Arial" w:eastAsia="Arial"/>
                <w:color w:val="333333"/>
                <w:spacing w:val="0"/>
                <w:position w:val="0"/>
                <w:sz w:val="24"/>
                <w:shd w:fill="auto" w:val="clear"/>
              </w:rPr>
              <w:t xml:space="preserve">o</w:t>
            </w:r>
            <w:r>
              <w:rPr>
                <w:rFonts w:ascii="Arial" w:hAnsi="Arial" w:cs="Arial" w:eastAsia="Arial"/>
                <w:i/>
                <w:color w:val="333333"/>
                <w:spacing w:val="0"/>
                <w:position w:val="0"/>
                <w:sz w:val="24"/>
                <w:shd w:fill="auto" w:val="clear"/>
              </w:rPr>
              <w:t xml:space="preserve"> Correio de Pernambuco, </w:t>
            </w:r>
            <w:r>
              <w:rPr>
                <w:rFonts w:ascii="Arial" w:hAnsi="Arial" w:cs="Arial" w:eastAsia="Arial"/>
                <w:color w:val="333333"/>
                <w:spacing w:val="0"/>
                <w:position w:val="0"/>
                <w:sz w:val="24"/>
                <w:shd w:fill="auto" w:val="clear"/>
              </w:rPr>
              <w:t xml:space="preserve">o</w:t>
            </w:r>
            <w:r>
              <w:rPr>
                <w:rFonts w:ascii="Arial" w:hAnsi="Arial" w:cs="Arial" w:eastAsia="Arial"/>
                <w:i/>
                <w:color w:val="333333"/>
                <w:spacing w:val="0"/>
                <w:position w:val="0"/>
                <w:sz w:val="24"/>
                <w:shd w:fill="auto" w:val="clear"/>
              </w:rPr>
              <w:t xml:space="preserve"> Diário de Pernambuco, </w:t>
            </w:r>
            <w:r>
              <w:rPr>
                <w:rFonts w:ascii="Arial" w:hAnsi="Arial" w:cs="Arial" w:eastAsia="Arial"/>
                <w:color w:val="333333"/>
                <w:spacing w:val="0"/>
                <w:position w:val="0"/>
                <w:sz w:val="24"/>
                <w:shd w:fill="auto" w:val="clear"/>
              </w:rPr>
              <w:t xml:space="preserve">o</w:t>
            </w:r>
            <w:r>
              <w:rPr>
                <w:rFonts w:ascii="Arial" w:hAnsi="Arial" w:cs="Arial" w:eastAsia="Arial"/>
                <w:i/>
                <w:color w:val="333333"/>
                <w:spacing w:val="0"/>
                <w:position w:val="0"/>
                <w:sz w:val="24"/>
                <w:shd w:fill="auto" w:val="clear"/>
              </w:rPr>
              <w:t xml:space="preserve"> Movimento, </w:t>
            </w:r>
            <w:r>
              <w:rPr>
                <w:rFonts w:ascii="Arial" w:hAnsi="Arial" w:cs="Arial" w:eastAsia="Arial"/>
                <w:color w:val="333333"/>
                <w:spacing w:val="0"/>
                <w:position w:val="0"/>
                <w:sz w:val="24"/>
                <w:shd w:fill="auto" w:val="clear"/>
              </w:rPr>
              <w:t xml:space="preserve">o</w:t>
            </w:r>
            <w:r>
              <w:rPr>
                <w:rFonts w:ascii="Arial" w:hAnsi="Arial" w:cs="Arial" w:eastAsia="Arial"/>
                <w:i/>
                <w:color w:val="333333"/>
                <w:spacing w:val="0"/>
                <w:position w:val="0"/>
                <w:sz w:val="24"/>
                <w:shd w:fill="auto" w:val="clear"/>
              </w:rPr>
              <w:t xml:space="preserve"> Jornal do Recife, A República </w:t>
            </w:r>
            <w:r>
              <w:rPr>
                <w:rFonts w:ascii="Arial" w:hAnsi="Arial" w:cs="Arial" w:eastAsia="Arial"/>
                <w:color w:val="333333"/>
                <w:spacing w:val="0"/>
                <w:position w:val="0"/>
                <w:sz w:val="24"/>
                <w:shd w:fill="auto" w:val="clear"/>
              </w:rPr>
              <w:t xml:space="preserve">e</w:t>
            </w:r>
            <w:r>
              <w:rPr>
                <w:rFonts w:ascii="Arial" w:hAnsi="Arial" w:cs="Arial" w:eastAsia="Arial"/>
                <w:i/>
                <w:color w:val="333333"/>
                <w:spacing w:val="0"/>
                <w:position w:val="0"/>
                <w:sz w:val="24"/>
                <w:shd w:fill="auto" w:val="clear"/>
              </w:rPr>
              <w:t xml:space="preserve"> O Liberal.</w:t>
            </w:r>
            <w:r>
              <w:rPr>
                <w:rFonts w:ascii="Arial" w:hAnsi="Arial" w:cs="Arial" w:eastAsia="Arial"/>
                <w:color w:val="333333"/>
                <w:spacing w:val="0"/>
                <w:position w:val="0"/>
                <w:sz w:val="24"/>
                <w:shd w:fill="auto" w:val="clear"/>
              </w:rPr>
              <w:t xml:space="preserve"> </w:t>
            </w:r>
          </w:p>
          <w:p>
            <w:pPr>
              <w:spacing w:before="100" w:after="100" w:line="360"/>
              <w:ind w:right="0" w:left="0" w:firstLine="709"/>
              <w:jc w:val="both"/>
              <w:rPr>
                <w:rFonts w:ascii="Arial" w:hAnsi="Arial" w:cs="Arial" w:eastAsia="Arial"/>
                <w:color w:val="333333"/>
                <w:spacing w:val="0"/>
                <w:position w:val="0"/>
                <w:sz w:val="24"/>
                <w:shd w:fill="auto" w:val="clear"/>
              </w:rPr>
            </w:pP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Assim que se formou, exerceu a promotoria em Estância. Atraído pela política, elegeu-se deputado para a Assembléia provincial de Sergipe, em 1874, mas renunciou, logo depois, à cadeira. Regressou ao Recife para tentar fazer-se professor de Filosofia no Colégio das Artes. Em um concurso realizado no ano seguinte, ele foi classificado em primeiro lugar, mas a Congregação resolveu anular o concurso. A seguir, defendeu tese para conquistar o grau de doutor. Nesse concurso, Sílvio Romero se ergueu contra a Congregação da Faculdade de Direito do Recife, afirmando que “a metafísica estava morta” e discutindo, com grande vantagem, com professores como Tavares Belfort e Coelho Rodrigues. Abandonou a sala da Faculdade; foi, então, submetido a processo pela Congregação, atraindo para si a atenção dos intelectuais da época. </w:t>
            </w: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Em fins de 1875, transferiu-se para o Rio de Janeiro. Indo morara em Parati, como juiz municipal, e ali demorou-se dois anos e meio. Em 1878, publicou o livro de versos </w:t>
            </w:r>
            <w:r>
              <w:rPr>
                <w:rFonts w:ascii="Arial" w:hAnsi="Arial" w:cs="Arial" w:eastAsia="Arial"/>
                <w:i/>
                <w:color w:val="333333"/>
                <w:spacing w:val="0"/>
                <w:position w:val="0"/>
                <w:sz w:val="24"/>
                <w:shd w:fill="auto" w:val="clear"/>
              </w:rPr>
              <w:t xml:space="preserve">Cantos do fim do século</w:t>
            </w:r>
            <w:r>
              <w:rPr>
                <w:rFonts w:ascii="Arial" w:hAnsi="Arial" w:cs="Arial" w:eastAsia="Arial"/>
                <w:color w:val="333333"/>
                <w:spacing w:val="0"/>
                <w:position w:val="0"/>
                <w:sz w:val="24"/>
                <w:shd w:fill="auto" w:val="clear"/>
              </w:rPr>
              <w:t xml:space="preserve">, mal recebido pela crítica da corte. Depois de publicar </w:t>
            </w:r>
            <w:r>
              <w:rPr>
                <w:rFonts w:ascii="Arial" w:hAnsi="Arial" w:cs="Arial" w:eastAsia="Arial"/>
                <w:i/>
                <w:color w:val="333333"/>
                <w:spacing w:val="0"/>
                <w:position w:val="0"/>
                <w:sz w:val="24"/>
                <w:shd w:fill="auto" w:val="clear"/>
              </w:rPr>
              <w:t xml:space="preserve">Últimos harpejos</w:t>
            </w:r>
            <w:r>
              <w:rPr>
                <w:rFonts w:ascii="Arial" w:hAnsi="Arial" w:cs="Arial" w:eastAsia="Arial"/>
                <w:color w:val="333333"/>
                <w:spacing w:val="0"/>
                <w:position w:val="0"/>
                <w:sz w:val="24"/>
                <w:shd w:fill="auto" w:val="clear"/>
              </w:rPr>
              <w:t xml:space="preserve">, em 1883, abandonou as tentativas poéticas. Já fixado no Rio de Janeiro, começou a colaborar em </w:t>
            </w:r>
            <w:r>
              <w:rPr>
                <w:rFonts w:ascii="Arial" w:hAnsi="Arial" w:cs="Arial" w:eastAsia="Arial"/>
                <w:i/>
                <w:color w:val="333333"/>
                <w:spacing w:val="0"/>
                <w:position w:val="0"/>
                <w:sz w:val="24"/>
                <w:shd w:fill="auto" w:val="clear"/>
              </w:rPr>
              <w:t xml:space="preserve">O Repórter</w:t>
            </w:r>
            <w:r>
              <w:rPr>
                <w:rFonts w:ascii="Arial" w:hAnsi="Arial" w:cs="Arial" w:eastAsia="Arial"/>
                <w:color w:val="333333"/>
                <w:spacing w:val="0"/>
                <w:position w:val="0"/>
                <w:sz w:val="24"/>
                <w:shd w:fill="auto" w:val="clear"/>
              </w:rPr>
              <w:t xml:space="preserve">, de Lopes Trovão. Ali publicou a sua famosa série de perfis políticos. Em 1880, prestou concurso para a cadeira de Filosofia no Colégio Pedro II, conseguindo-a com a tese </w:t>
            </w:r>
            <w:r>
              <w:rPr>
                <w:rFonts w:ascii="Arial" w:hAnsi="Arial" w:cs="Arial" w:eastAsia="Arial"/>
                <w:i/>
                <w:color w:val="333333"/>
                <w:spacing w:val="0"/>
                <w:position w:val="0"/>
                <w:sz w:val="24"/>
                <w:shd w:fill="auto" w:val="clear"/>
              </w:rPr>
              <w:t xml:space="preserve">Interpretação filosófica dos fatos históricos</w:t>
            </w:r>
            <w:r>
              <w:rPr>
                <w:rFonts w:ascii="Arial" w:hAnsi="Arial" w:cs="Arial" w:eastAsia="Arial"/>
                <w:color w:val="333333"/>
                <w:spacing w:val="0"/>
                <w:position w:val="0"/>
                <w:sz w:val="24"/>
                <w:shd w:fill="auto" w:val="clear"/>
              </w:rPr>
              <w:t xml:space="preserve">. Jubilou-se como professor do Internato em 2 de junho de 1910. Fez parte, também, do corpo docente da Faculdade Livre de Direito e da Faculdade de Ciências Jurídicas e Sociais do Rio de Janeiro. </w:t>
            </w: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No governo de Campos Sales, foi deputado provincial e depois federal pelo Estado de Sergipe. Neste último mandato, foi escolhido relator da Comissão dos 21 do Código Civil e defendeu, então, muitas de suas idéias filosóficas. </w:t>
            </w: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Na imprensa do Rio de Janeiro, Sílvio Romero tornou-se literariamente poderoso. Admirador incondicional de Tobias Barreto, nunca deixou de colocá-lo acima de Castro Alves; além disso, manteve, durante algum tempo, uma certa má vontade para com a obra de Machado de Assis. Sua crítica injusta motivou Lafayette Rodrigues Pereira a escrever a defesa de Machado de Assis, sob o título </w:t>
            </w:r>
            <w:r>
              <w:rPr>
                <w:rFonts w:ascii="Arial" w:hAnsi="Arial" w:cs="Arial" w:eastAsia="Arial"/>
                <w:i/>
                <w:color w:val="333333"/>
                <w:spacing w:val="0"/>
                <w:position w:val="0"/>
                <w:sz w:val="24"/>
                <w:shd w:fill="auto" w:val="clear"/>
              </w:rPr>
              <w:t xml:space="preserve">Vindiciae</w:t>
            </w:r>
            <w:r>
              <w:rPr>
                <w:rFonts w:ascii="Arial" w:hAnsi="Arial" w:cs="Arial" w:eastAsia="Arial"/>
                <w:color w:val="333333"/>
                <w:spacing w:val="0"/>
                <w:position w:val="0"/>
                <w:sz w:val="24"/>
                <w:shd w:fill="auto" w:val="clear"/>
              </w:rPr>
              <w:t xml:space="preserve">. </w:t>
            </w:r>
          </w:p>
          <w:p>
            <w:pPr>
              <w:spacing w:before="100" w:after="100" w:line="360"/>
              <w:ind w:right="0" w:left="0" w:firstLine="709"/>
              <w:jc w:val="both"/>
              <w:rPr>
                <w:rFonts w:ascii="Arial" w:hAnsi="Arial" w:cs="Arial" w:eastAsia="Arial"/>
                <w:color w:val="333333"/>
                <w:spacing w:val="0"/>
                <w:position w:val="0"/>
                <w:sz w:val="24"/>
                <w:shd w:fill="auto" w:val="clear"/>
              </w:rPr>
            </w:pP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Como polemista, deve-se mencionar ainda a sua permanente luta com José Veríssimo, de quem o separavam fortes divergências de doutrina, método e temperamento e com quem discutiu violentamente. Nesse âmbito, reuniu as suas polêmicas na obra </w:t>
            </w:r>
            <w:r>
              <w:rPr>
                <w:rFonts w:ascii="Arial" w:hAnsi="Arial" w:cs="Arial" w:eastAsia="Arial"/>
                <w:i/>
                <w:color w:val="333333"/>
                <w:spacing w:val="0"/>
                <w:position w:val="0"/>
                <w:sz w:val="24"/>
                <w:shd w:fill="auto" w:val="clear"/>
              </w:rPr>
              <w:t xml:space="preserve">Zeverissimações ineptas da crítica</w:t>
            </w:r>
            <w:r>
              <w:rPr>
                <w:rFonts w:ascii="Arial" w:hAnsi="Arial" w:cs="Arial" w:eastAsia="Arial"/>
                <w:color w:val="333333"/>
                <w:spacing w:val="0"/>
                <w:position w:val="0"/>
                <w:sz w:val="24"/>
                <w:shd w:fill="auto" w:val="clear"/>
              </w:rPr>
              <w:t xml:space="preserve"> (1909). </w:t>
            </w:r>
          </w:p>
          <w:p>
            <w:pPr>
              <w:spacing w:before="100" w:after="100" w:line="360"/>
              <w:ind w:right="0" w:left="0" w:firstLine="709"/>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Sílvio Romero foi um pesquisador bibliográfico sério e minucioso. Preocupou-se, sobretudo, com o levantamento sociológico em torno de autor e obra. Sua força estava nas idéias de âmbito geral e no profundo sentido de brasilidade que imprimia em tudo que escrevia. A sua contribuição à historiografia literária brasileira é uma das mais importantes de seu tempo. Foi membro do Instituto Histórico e Geográfico Brasileiro, sócio-correspondente da Academia das Ciências de Lisboa e de diversas outras associações literárias.</w:t>
            </w:r>
          </w:p>
          <w:p>
            <w:pPr>
              <w:spacing w:before="100" w:after="100" w:line="360"/>
              <w:ind w:right="0" w:left="0" w:firstLine="709"/>
              <w:jc w:val="both"/>
              <w:rPr>
                <w:spacing w:val="0"/>
                <w:position w:val="0"/>
                <w:shd w:fill="auto" w:val="clear"/>
              </w:rPr>
            </w:pPr>
            <w:r>
              <w:rPr>
                <w:rFonts w:ascii="Arial" w:hAnsi="Arial" w:cs="Arial" w:eastAsia="Arial"/>
                <w:color w:val="333333"/>
                <w:spacing w:val="0"/>
                <w:position w:val="0"/>
                <w:sz w:val="24"/>
                <w:shd w:fill="auto" w:val="clear"/>
              </w:rPr>
              <w:t xml:space="preserve"> </w:t>
            </w:r>
          </w:p>
        </w:tc>
      </w:tr>
    </w:tbl>
    <w:p>
      <w:pPr>
        <w:numPr>
          <w:ilvl w:val="0"/>
          <w:numId w:val="4840"/>
        </w:numPr>
        <w:tabs>
          <w:tab w:val="left" w:pos="284" w:leader="none"/>
          <w:tab w:val="left" w:pos="3686" w:leader="none"/>
        </w:tabs>
        <w:spacing w:before="0" w:after="0" w:line="48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UM POUCO DA HISTÓRIA DA MULHER NO SÉCULO XIX</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É inegável que a mulher tem conquistado ao longo dos tempos mais espaço social (seja na igreja, no trabalho, na política etc.) mercê de uma longa e conflituosa luta, para fazer valer sua legitima condição de cidadã com direitos e deveres iguais ao homem. Essa batalha social seguramente tem implicado em gestos bastante dramáticos e eloqüentes de sua parte, a exemplo de Betty Friedan e seu grupo feminista, nos anos 60, quando nos Estados Unidos, queimaram sutiãs, calcinhas, saias etc, em praça pública, numa demonstração veemente de que seu clamor por mudanças, quanto ao tratamento que merecem ou devem merecer, havia chegado ao ponto extremo de audácia e transgressão. E realmente valeu, pois a partir daí, constatou-se mais avanços na ampliação de suas conquistas sociais e na afetividade de sua cidadania,  embora, é certo, em muitos países (mormente nos Asiáticos) ela ainda esteja subjugada, limitando-se à procriação e à cozinha. Por sua vez, é no século XIX, certamente em virtude dos fatos sociais ocorridos com ela que: </w:t>
      </w:r>
    </w:p>
    <w:p>
      <w:pPr>
        <w:spacing w:before="0" w:after="0" w:line="240"/>
        <w:ind w:right="0" w:left="2268" w:firstLine="0"/>
        <w:jc w:val="both"/>
        <w:rPr>
          <w:rFonts w:ascii="Arial" w:hAnsi="Arial" w:cs="Arial" w:eastAsia="Arial"/>
          <w:color w:val="auto"/>
          <w:spacing w:val="0"/>
          <w:position w:val="0"/>
          <w:sz w:val="20"/>
          <w:shd w:fill="auto" w:val="clear"/>
        </w:rPr>
      </w:pPr>
    </w:p>
    <w:p>
      <w:pPr>
        <w:spacing w:before="0" w:after="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...é o momento histórico em que a vida das mulheres se altera, ou mais exatamente o momento em que a perspectiva de vida das mulheres se altera: tempo da modernidade em que se torna possível uma posição de sujeito, indivíduo de corpo inteiro e actriz política, futura cidadã.(FRAISSE; PERROT,1991,p.9)</w:t>
      </w:r>
    </w:p>
    <w:p>
      <w:pPr>
        <w:spacing w:before="0" w:after="0" w:line="240"/>
        <w:ind w:right="0" w:left="2268" w:firstLine="0"/>
        <w:jc w:val="both"/>
        <w:rPr>
          <w:rFonts w:ascii="Arial" w:hAnsi="Arial" w:cs="Arial" w:eastAsia="Arial"/>
          <w:color w:val="auto"/>
          <w:spacing w:val="0"/>
          <w:position w:val="0"/>
          <w:sz w:val="20"/>
          <w:shd w:fill="auto" w:val="clear"/>
        </w:rPr>
      </w:pPr>
    </w:p>
    <w:p>
      <w:pPr>
        <w:spacing w:before="0" w:after="200" w:line="360"/>
        <w:ind w:right="0" w:left="0" w:firstLine="709"/>
        <w:jc w:val="both"/>
        <w:rPr>
          <w:rFonts w:ascii="Arial" w:hAnsi="Arial" w:cs="Arial" w:eastAsia="Arial"/>
          <w:color w:val="auto"/>
          <w:spacing w:val="0"/>
          <w:position w:val="0"/>
          <w:sz w:val="20"/>
          <w:shd w:fill="auto" w:val="clear"/>
        </w:rPr>
      </w:pP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4"/>
          <w:shd w:fill="auto" w:val="clear"/>
        </w:rPr>
        <w:t xml:space="preserve">Pela História das Nações e pela marcha civilizatória de povos e Estados, tem-se como produto de sua luta que a Modernidade propiciou o ensejo para a mulher em conseqüência das “mudanças econômicas e políticas, sociais e culturais, características do século XIX, que lhes são favoráveis”. (FRAISSE; PERROT, p. 9-10).</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I Revolução Industrial pôs em cena (na Europa, evidentemente) que o indivíduo feminino poderia tornar-se igual ao modelo masculino, ao trabalhador e ao cidadão. A ruptura também poderia ocorrer junto ao pai e ao marido, em vista do novo modelo econômico-social que começava a se desenhar na Europa, considerando-se a sua chamada para a força-de-trabalho emergente, inclusive nas fábricas de munição (bombas, petardos, canhões etc) quando da I Guerra Mundial, fato social esse que arremata o século XIX. A igualdade de direitos e um palco de vida republicano também puderam proporcionar-lhe o espaço político-social a que já fazia jus.</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eclosão da mulher em sua ânsia legítima de ocupar seu lugar na sociedade, como cidadã plena de direitos e deveres encontram, no século XIX, o corolário das lutas precedentes, principalmente na Europa, ou mais precisamente na França, quando da Revolução Francesa. “Dos seus gestos e das suas vozes, nascerá a revolta” (FRAISSE; PERROT, p. 23). Nessa Revolução, os gestos antigos e novos misturam-se com bastante intimidade. Ela estará à frente da insurreição nas ruas, nas praças e avenidas e seu coletivo, as mulheres, provaram aos homens que podiam agir e operar a gestualidade das mudanças sociais, políticas e religiosas. Foram as operárias, as costureiras, comerciantes que se tornaram militares ambreando-se aos homens, a ponto de derrubarem a monarquia de Luís XVI e Maria Antonieta. Também nas tribunas elas, em seu coletivo, tiveram extraordinária atuação e puderam exercer com bravura sua transgressão. Contudo, infelizmente, após a Revolução é chegado o momento da (nova) organização social e elas são excluídas, afastadas de participação pelos homens, estes receosos das súbitas conquistas de suas Evas.</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Na América do Norte a nascente República impõe também, como na França, uma tarefa político-social: educar os filhos a fim de que se tornem “bons republicanos”, imprimindo-lhes a marca da liberdade e da igualdade, isto é, para os homens. É claro que o lugar, o papel e o imaginário do contingente feminino na América do Norte não são semelhantes ao da Europa e isto revela que as relações entre o homem e a mulher são reflexos da sociedade. Por fim, participando ativamente das revoluções (no plural mesmo!) foi-lhes fricosamente reconhecida uma personalidade civil que se imaginava não possuírem. Um simples exemplo desses avanços são as leis sobre casamento e divórcio (setembro de 1792, na França) que tratam o homem e a mulher de modo igualitário. Em 1792 uma obra sacode a Europa, trabalho intelectual de uma mulher, Mary Wollstonecraft; é ela:</w:t>
      </w:r>
      <w:r>
        <w:rPr>
          <w:rFonts w:ascii="Arial" w:hAnsi="Arial" w:cs="Arial" w:eastAsia="Arial"/>
          <w:i/>
          <w:color w:val="auto"/>
          <w:spacing w:val="0"/>
          <w:position w:val="0"/>
          <w:sz w:val="24"/>
          <w:shd w:fill="auto" w:val="clear"/>
        </w:rPr>
        <w:t xml:space="preserve"> Reivindicação dos direitos da mulher.</w:t>
      </w:r>
      <w:r>
        <w:rPr>
          <w:rFonts w:ascii="Arial" w:hAnsi="Arial" w:cs="Arial" w:eastAsia="Arial"/>
          <w:color w:val="auto"/>
          <w:spacing w:val="0"/>
          <w:position w:val="0"/>
          <w:sz w:val="24"/>
          <w:shd w:fill="auto" w:val="clear"/>
        </w:rPr>
        <w:t xml:space="preserve"> O livro trata da exclusão política das mulheres na Revolução Francesa. Este livro concorrerá para o ânimo das “futuras gerações de feministas” (FRAISSE; PERROT, p.52).</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mulher observa-se, ser no início no século XIX, um objeto definível e, em decorrência, uma outra dinâmica entre sexos vai surgir.</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próximo passo no cenário do século XIX será a participação da mulher nas tribunas das campanhas eleitorais, aliás, movimentos participatórios na Europa e na América do Norte. As “sufragistas”, por exemplo, entram em cena, apesar de idéias contrárias vinculadas por vultos notáveis como Kierkaard, Conte e outros mais. Por sua vez, a Igreja Católica não fica de braços cruzados e invoca as teses do Cristianismo quanto à obediência e submissão bíblicas para a mulher. Os movimentos feministas não são bem vindos para a igreja Católica. E para essa instituição, as bandeiras reivindicatórias de autonomia, emancipação, justiça, divórcio, força-de-trabalho etc., soam como inaceitáveis transgressões. Entretanto, o capitalismo será, surpreendentemente, um aliado paradoxal da mulher, embora a explorando. A economia, e não a Lei ou as Leis, é a base da emancipação da mulher  no século XIX. E não são poucos os pensadores que afirmam ser a oficina a “célula de base da sociedade” (FRAISSE; PERROT, p.80). Prondhon é um deles. Infelizmente, via a mulher em nível mais abaixo do homem. Felizmente, há vozes discordantes, como Stuart Mill, por exemplo, que escreveu ensaios sobre os direitos da mulher. Enfim, os debates prós e contras foram uma tônica dialética no século XIX, a qual envolveu a mulher, seu papel social e sua destinação.</w:t>
      </w:r>
    </w:p>
    <w:p>
      <w:pPr>
        <w:spacing w:before="0" w:after="200" w:line="360"/>
        <w:ind w:right="0" w:left="0" w:firstLine="709"/>
        <w:jc w:val="both"/>
        <w:rPr>
          <w:rFonts w:ascii="Arial" w:hAnsi="Arial" w:cs="Arial" w:eastAsia="Arial"/>
          <w:color w:val="auto"/>
          <w:spacing w:val="0"/>
          <w:position w:val="0"/>
          <w:sz w:val="24"/>
          <w:shd w:fill="auto" w:val="clear"/>
        </w:rPr>
      </w:pP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Os tribunais, ou melhor, o Direito dominante no século XIX, fundava-se no livre arbítrio do indivíduo, contudo, era vigente que admitia para a mulher no papel de “um ser relativo”, vivendo somente como filha, esposa, mãe, isto é, figura secundária em comparação com o homem. Os juristas buscaram legitimar as diferenças no trato a trato com elas. Por sua vez, a Igreja Católica, influente em muitos países, mostrava-se refratária em reconhecer os direitos políticos  para as mulheres. </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direito à educação, é o caminho para emancipação, mesmo em um país de influência da Igreja Católica, torna-se um dos vetores de suas reivindicações. Por sua vez, cresce o clamor contra a exploração feminina e infanto-juvenil nas fábricas e empresas capitalistas.</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acesso feminino à imprensa, tornando-se a mulher escritora ativa, é outro passo importante para aprofundar as suas conquistas. Também a entrada das mulheres no magistério como professoras, ainda que inicialmente para o ensino fundamental, foi outro passo importante. Passa por sua vez, embora o credo católico apostólico romano expressasse seu modelo feminino pela prática religiosa, levando a mulher como esposa e mãe na própria Itália.  Como relata: (FRAISSE; PERROT, p.203).</w:t>
      </w:r>
    </w:p>
    <w:p>
      <w:pPr>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os efeitos conjugados da industrialização, da urbanização, da alfabetização e da politização das mulheres obrigam a Igreja a adaptar-se às classificações da ciência social laica e a definir o mundo feminino até então indiferenciado [...]” </w:t>
      </w:r>
    </w:p>
    <w:p>
      <w:pPr>
        <w:tabs>
          <w:tab w:val="left" w:pos="7230" w:leader="none"/>
        </w:tabs>
        <w:spacing w:before="0" w:after="200" w:line="240"/>
        <w:ind w:right="0" w:left="226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ab/>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Desse modo a Itália passa a assistir a entrada em cena de uma mulher sob novos impulsos frutos, sobretudo, dos ideais políticos, pro - liberais. Contudo, a Igreja não assistiu passiva a marcha continuada dos ideais laicos. Em 1880, por exemplo, a igreja Católica publica a Encíclica Arcanum (Leão XIII) reafirmando a autoridade do homem, principalmente no casamento.</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Outra forma da expressão do trabalho feminino, em toda a Europa, contribuindo para sua presença atuante, é no campo das ações sociais caritativas, na beneficência. Neste particular, a mulher evangélica (de início metodista, presbiteriana, anglicana, etc.) iniciou bem cedo sua participação social, ocupando um espaço social importante.</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Como diaconisas, esposas de pastores, enfermeiras, assistentes sociais, etc. As mulheres protestantes “[...] atrevem-se a interpretar a Bíblia e, apoiando-se nela, questiona o lugar atribuído a mulher, defendendo a sua igualdade com o homem” (FRAISSE; PERROT,p.247). E, diga-se de passagem, que os conflitos internacionais de caridade, ocorridos, por exemplo, em 1889 e 1900, promovidos por mulheres protestantes, expressam que a questão da mulher se revela mais robustecida nas nações de credo luterano.</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Quanto à mulher negra, esta permaneceu longo tempo excluída, depredada e aviltada, servindo muitas vezes apenas como objeto sexual. A mulher índia, por sua vez, completamente isolada. A mulher asiática (chinesa, nepalesa etc.) era aceita no Império Britânico, por exemplo, só se estivesse em nível econômico-financeiro bem elevado e mesmo assim era mantida em certa distância.</w:t>
      </w:r>
    </w:p>
    <w:p>
      <w:pPr>
        <w:spacing w:before="0" w:after="200" w:line="360"/>
        <w:ind w:right="0" w:left="0" w:firstLine="709"/>
        <w:jc w:val="both"/>
        <w:rPr>
          <w:rFonts w:ascii="Arial" w:hAnsi="Arial" w:cs="Arial" w:eastAsia="Arial"/>
          <w:b/>
          <w:color w:val="auto"/>
          <w:spacing w:val="0"/>
          <w:position w:val="0"/>
          <w:sz w:val="24"/>
          <w:shd w:fill="auto" w:val="clear"/>
        </w:rPr>
      </w:pPr>
    </w:p>
    <w:p>
      <w:pPr>
        <w:spacing w:before="0" w:after="200" w:line="360"/>
        <w:ind w:right="0" w:left="0" w:firstLine="709"/>
        <w:jc w:val="both"/>
        <w:rPr>
          <w:rFonts w:ascii="Arial" w:hAnsi="Arial" w:cs="Arial" w:eastAsia="Arial"/>
          <w:b/>
          <w:color w:val="auto"/>
          <w:spacing w:val="0"/>
          <w:position w:val="0"/>
          <w:sz w:val="24"/>
          <w:shd w:fill="auto" w:val="clear"/>
        </w:rPr>
      </w:pPr>
    </w:p>
    <w:p>
      <w:pPr>
        <w:spacing w:before="0" w:after="200" w:line="360"/>
        <w:ind w:right="0" w:left="0" w:firstLine="709"/>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4.1  O papel da mulher nessa panorâmica do século XIX no Brasil</w:t>
      </w:r>
    </w:p>
    <w:p>
      <w:pPr>
        <w:tabs>
          <w:tab w:val="left" w:pos="426" w:leader="none"/>
        </w:tabs>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Na colônia, a sexualidade indígena foi observada por invasores franceses, por exemplo. Jean de Lery e Cloude d’Abeville e outros comentaristas assinalavam que elas dormiam nos matos e mantinha relação sexual com os homens e estes até com filhas, irmãs e tias. Soares de Sousa, por exemplo, retratou as índias tupinambás assim, como relata RALINELLI, 2004, P.27:</w:t>
      </w:r>
    </w:p>
    <w:p>
      <w:pPr>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cometiam todas as modalidades do pecado da carne. Os índios de pouca idade não se furtaram de manter relações sociais com as mulheres. As velhas logo os introduziam, no pecado, ensinando-lhes os prazeres do sexo. Por conta de suas debilidades físicas e da perda do vigor da juventude, as índias de idade avançada eram pouco procuradas pelos homens. Assim, era muito natural que investissem sobre os meninos para satisfazer seus desejos.</w:t>
      </w:r>
    </w:p>
    <w:p>
      <w:pPr>
        <w:tabs>
          <w:tab w:val="left" w:pos="426" w:leader="none"/>
        </w:tabs>
        <w:spacing w:before="0" w:after="200" w:line="240"/>
        <w:ind w:right="0" w:left="2268" w:firstLine="0"/>
        <w:jc w:val="right"/>
        <w:rPr>
          <w:rFonts w:ascii="Arial" w:hAnsi="Arial" w:cs="Arial" w:eastAsia="Arial"/>
          <w:color w:val="auto"/>
          <w:spacing w:val="0"/>
          <w:position w:val="0"/>
          <w:sz w:val="20"/>
          <w:shd w:fill="auto" w:val="clear"/>
        </w:rPr>
      </w:pP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Outras descrições são feitas pelos primeiros comentaristas do contingente feminino índio encontrado na Colônia. Foram as índias as primeiras a estabelecer contato com o invasor português. Este bem cedo tentou escravizar as ameríndias ou levá-las para a cama. Eram consideradas as ameríndias seres degenerados, principalmente porque as índias participavam de “banquetes canibalescos” .</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Desse modo, a mulher degredada passou a servir de elemento procriador na Colônia. Diz-se que as meretrizes do Porto e de Lisboa eram mandadas para cá.</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mulher na Colônia era restrita ao lar e neste podiam agir, isto no caso constituírem a classe média do Brasil que ensaiava os primeiros passos. Muitas casavam na fazenda, na área rural, e de lá não saiam. Contudo, nos diz (ARAÚJO, 2004, p.55) que:</w:t>
      </w:r>
    </w:p>
    <w:p>
      <w:pPr>
        <w:spacing w:before="0" w:after="200" w:line="360"/>
        <w:ind w:right="0" w:left="0" w:firstLine="709"/>
        <w:jc w:val="both"/>
        <w:rPr>
          <w:rFonts w:ascii="Arial" w:hAnsi="Arial" w:cs="Arial" w:eastAsia="Arial"/>
          <w:color w:val="auto"/>
          <w:spacing w:val="0"/>
          <w:position w:val="0"/>
          <w:sz w:val="24"/>
          <w:shd w:fill="auto" w:val="clear"/>
        </w:rPr>
      </w:pPr>
    </w:p>
    <w:p>
      <w:pPr>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não seria o caso das mulheres pobres que, na observação do Marquês do Lavradio, em 1768, andavam pelas ruas de Salvador “quase nuas a pouco mais de meia cintura para cima, e porque as camisas são feitas em tal desgarre que um ombro e peito daquela parte é necessário que ande aparecendo todo”.</w:t>
      </w:r>
    </w:p>
    <w:p>
      <w:pPr>
        <w:spacing w:before="0" w:after="200" w:line="240"/>
        <w:ind w:right="0" w:left="2268" w:firstLine="0"/>
        <w:jc w:val="both"/>
        <w:rPr>
          <w:rFonts w:ascii="Arial" w:hAnsi="Arial" w:cs="Arial" w:eastAsia="Arial"/>
          <w:color w:val="auto"/>
          <w:spacing w:val="0"/>
          <w:position w:val="0"/>
          <w:sz w:val="20"/>
          <w:shd w:fill="auto" w:val="clear"/>
        </w:rPr>
      </w:pP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mulher pobre, geralmente mestiça, bem cedo era iniciada na vida sexual e condicionada a subempregos ou a força-de-trabalho informal ou semi-escravo. Por sua vez, há uma abundante literatura ficcional ou sociológica que retrata a lascívia e as atividades sexuais, veladas ou explicitadas, na nossa Colônia.</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entrada da mulher negra na vida da colônia acrescentou novo contingente carnal e força - de- trabalho. Coube à mulher negra substituir a índia e a Lusitana na sexualidade tida como devassa, marginal e proibida. Aqui também a ação da Igreja Católica se fez sentir, os jesuítas a princípio, depois as dioceses com seus bispos e padres; contudo, essa ação da Igreja Católica ela mesma se via envolvida por escândalos tidos até como naturais pois era comum padres terem amantes e propor criar uma legião de filhos bastardos. Existem obras ficcionais e sociológicas que retratam a prevaricação de sacerdotes católicos. Diz-se que:</w:t>
      </w:r>
    </w:p>
    <w:p>
      <w:pPr>
        <w:spacing w:before="0" w:after="200" w:line="360"/>
        <w:ind w:right="0" w:left="0" w:firstLine="709"/>
        <w:jc w:val="both"/>
        <w:rPr>
          <w:rFonts w:ascii="Arial" w:hAnsi="Arial" w:cs="Arial" w:eastAsia="Arial"/>
          <w:color w:val="auto"/>
          <w:spacing w:val="0"/>
          <w:position w:val="0"/>
          <w:sz w:val="24"/>
          <w:shd w:fill="auto" w:val="clear"/>
        </w:rPr>
      </w:pPr>
    </w:p>
    <w:p>
      <w:pPr>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Os refúgios do pecado eram os de sempre, o mato, a rede, a cama, mas as ocasiões variavam. Os padres, por exemplo, aproveitavam-se do confessionário para [...] seduzir algumas paroquianas. Em 1792, um vigário foi surpreendido em Goiás “atracado na oca em tão cega fúria, que lhe rasgou a saia “[...].(ARAÚJO, P.60)</w:t>
      </w:r>
    </w:p>
    <w:p>
      <w:pPr>
        <w:spacing w:before="0" w:after="200" w:line="240"/>
        <w:ind w:right="0" w:left="2268" w:firstLine="0"/>
        <w:jc w:val="both"/>
        <w:rPr>
          <w:rFonts w:ascii="Arial" w:hAnsi="Arial" w:cs="Arial" w:eastAsia="Arial"/>
          <w:color w:val="auto"/>
          <w:spacing w:val="0"/>
          <w:position w:val="0"/>
          <w:sz w:val="20"/>
          <w:shd w:fill="auto" w:val="clear"/>
        </w:rPr>
      </w:pPr>
    </w:p>
    <w:p>
      <w:pPr>
        <w:spacing w:before="0" w:after="200" w:line="240"/>
        <w:ind w:right="0" w:left="2268" w:firstLine="0"/>
        <w:jc w:val="both"/>
        <w:rPr>
          <w:rFonts w:ascii="Arial" w:hAnsi="Arial" w:cs="Arial" w:eastAsia="Arial"/>
          <w:color w:val="auto"/>
          <w:spacing w:val="0"/>
          <w:position w:val="0"/>
          <w:sz w:val="20"/>
          <w:shd w:fill="auto" w:val="clear"/>
        </w:rPr>
      </w:pPr>
    </w:p>
    <w:p>
      <w:pPr>
        <w:tabs>
          <w:tab w:val="left" w:pos="0" w:leader="none"/>
        </w:tabs>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Sendo o comércio ambulante representado por ocupação eminentemente feminina, coube a mulher e mulatas certas determinantes culturais. Elas, por exemplo, faziam bolos, frutos, melaço, queijos, etc. Comerciavam agulhas, alfinetes, roupas (usadas) etc. As mulheres forras ou escravas faziam o papel de camelôs. As vendas ocorriam sempre nas casas e as “negras de tabuleiro” já constituíam um contingente considerável. Não é de estranhar, por exemplo, que a frouxidão ética e moral fosse grande no Brasil Colônia, principalmente, e nos Impérios de Pedro I e Pedro II. Em Minas Gerais a prostituição era um tipo de característica feminina da pobreza e miséria social, cabendo a vadiagem e a criminalidade ao homem. Ademais, nas casas de alcouce, ou prostíbulo, os saraus ou galhofas, velha caria e libidinagem ocorriam. A mulher negra, escrava, era usada por seu proprietário em todos os sentidos, sexuais, comerciais, de amamentação, etc.</w:t>
      </w:r>
    </w:p>
    <w:p>
      <w:pPr>
        <w:tabs>
          <w:tab w:val="left" w:pos="0" w:leader="none"/>
        </w:tabs>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século XIX a vida no Brasil forçosamente teve de alterar-se e outros valores chegaram por força do estreitamento das distâncias e do poder da comunicação. A transmigração da família real, com Dom João VI, foi sem dúvida, a grande alavanca de transformação da nossa sociedade e a mulher brasileira cedo ou tarde haveria de receber as novidades culturais que os novos tempos traziam. Desse modo, as mudanças urbanas e o estilo de vida da mulher brasileira sofreram transformação. A família burguesa se vê às voltas com a cultura francesa, americana e inglesa, principalmente. Essa guinada cultural foi bem retratada por nossos escritores, a exemplo de José de Alencar, Machado de Assis, Joaquim Manoel de Macedo e outros mais.</w:t>
      </w:r>
    </w:p>
    <w:p>
      <w:pPr>
        <w:tabs>
          <w:tab w:val="left" w:pos="6165" w:leader="none"/>
        </w:tabs>
        <w:spacing w:before="0" w:after="200" w:line="360"/>
        <w:ind w:right="0" w:left="0" w:firstLine="851"/>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visão social da mulher pode ser rastreada, ao longo do tempo, também, e expressivamente, através da literatura.</w:t>
      </w:r>
    </w:p>
    <w:p>
      <w:pPr>
        <w:tabs>
          <w:tab w:val="left" w:pos="6165" w:leader="none"/>
        </w:tabs>
        <w:spacing w:before="0" w:after="200" w:line="360"/>
        <w:ind w:right="0" w:left="0" w:firstLine="851"/>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Consideramos como foi vista - e como continua sendo observada – através da pena de romancistas, cronistas, poetas etc. A visão do homem sobra a mulher; e a visão da mulher sobre a própria mulher.</w:t>
      </w:r>
    </w:p>
    <w:p>
      <w:pPr>
        <w:numPr>
          <w:ilvl w:val="0"/>
          <w:numId w:val="4856"/>
        </w:numPr>
        <w:tabs>
          <w:tab w:val="left" w:pos="284" w:leader="none"/>
        </w:tabs>
        <w:spacing w:before="0" w:after="0" w:line="48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 PAPEL DA MULHER NOS CONTOS DE SÍLVIO ROMERO</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espécie humana para se reproduzir necessita dos dois sexos, masculino e feminino, só ocorre a partir desses dois seres. Para vinculação da espécie os homens e as mulheres foram criando uma relação de convivência constante e permanente. Surgiu a sociedade humana, a partir desse surgimento, começam a definir os papéis para homens e mulheres, sendo a sociedade humana histórica. Surgiram então as sociedades agrícolas e, concomitante a esta sociedade a divisão sexual do trabalho, marcada desde sempre pela capacidade reprodutora da mulher, a competência de gerar o filho e amamentá-lo. Como podemos observar no conto </w:t>
      </w:r>
      <w:r>
        <w:rPr>
          <w:rFonts w:ascii="Arial" w:hAnsi="Arial" w:cs="Arial" w:eastAsia="Arial"/>
          <w:i/>
          <w:color w:val="auto"/>
          <w:spacing w:val="0"/>
          <w:position w:val="0"/>
          <w:sz w:val="24"/>
          <w:shd w:fill="auto" w:val="clear"/>
        </w:rPr>
        <w:t xml:space="preserve">Os três coroados </w:t>
      </w:r>
      <w:r>
        <w:rPr>
          <w:rFonts w:ascii="Arial" w:hAnsi="Arial" w:cs="Arial" w:eastAsia="Arial"/>
          <w:color w:val="auto"/>
          <w:spacing w:val="0"/>
          <w:position w:val="0"/>
          <w:sz w:val="24"/>
          <w:shd w:fill="auto" w:val="clear"/>
        </w:rPr>
        <w:t xml:space="preserve">( a pobre mulher paga por seus atos julgados errados pelo homem).E ainda no conto </w:t>
      </w:r>
      <w:r>
        <w:rPr>
          <w:rFonts w:ascii="Arial" w:hAnsi="Arial" w:cs="Arial" w:eastAsia="Arial"/>
          <w:i/>
          <w:color w:val="auto"/>
          <w:spacing w:val="0"/>
          <w:position w:val="0"/>
          <w:sz w:val="24"/>
          <w:shd w:fill="auto" w:val="clear"/>
        </w:rPr>
        <w:t xml:space="preserve">Uma das de Pedro Malas-artes,</w:t>
      </w:r>
      <w:r>
        <w:rPr>
          <w:rFonts w:ascii="Arial" w:hAnsi="Arial" w:cs="Arial" w:eastAsia="Arial"/>
          <w:color w:val="auto"/>
          <w:spacing w:val="0"/>
          <w:position w:val="0"/>
          <w:sz w:val="24"/>
          <w:shd w:fill="auto" w:val="clear"/>
        </w:rPr>
        <w:t xml:space="preserve"> a mulher comparada ao objeto vale como dinheiro, e ainda a “Mulata”, como objeto de desejo do homem. O aprendizado da capacidade de cuidar foi delegado à mulher, embora ela participasse do trabalho do cultivo e da criação de animais.</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Dessa forma, surgiram as sociedades patriarcais, fundadas no poder do homem, do chefe da família. A idéia de monopólio dos bens, e a garantia da herança dela para as gerações futuras, induziram ao homem a interessar-se pela paternidade. De tal modo, a sexualidade da mulher foi sendo cada vez mais submetida aos interesses do homem, tanto no repasse dos bens materiais, através da herança, como forma dele perpetuar-se através da descendência. O papel da mulher foi sendo restrito ao mundo doméstico, submissa ao homem.</w:t>
      </w:r>
    </w:p>
    <w:p>
      <w:pPr>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Nas sociedades tribais e agrícolas, pré capitalistas, o modelo de família era multigeracional e todos trabalhavam numa mesma unidade econômica de produção. O mundo do trabalho e o mundo doméstico eram coincidentes. O papel de reprodutora da espécie, que cabe á mulher, beneficiou a sua subordinação ao homem, podemos observar claramente no conto </w:t>
      </w:r>
      <w:r>
        <w:rPr>
          <w:rFonts w:ascii="Arial" w:hAnsi="Arial" w:cs="Arial" w:eastAsia="Arial"/>
          <w:i/>
          <w:color w:val="auto"/>
          <w:spacing w:val="0"/>
          <w:position w:val="0"/>
          <w:sz w:val="24"/>
          <w:shd w:fill="auto" w:val="clear"/>
        </w:rPr>
        <w:t xml:space="preserve">O Rei Andrada,</w:t>
      </w:r>
      <w:r>
        <w:rPr>
          <w:rFonts w:ascii="Arial" w:hAnsi="Arial" w:cs="Arial" w:eastAsia="Arial"/>
          <w:color w:val="auto"/>
          <w:spacing w:val="0"/>
          <w:position w:val="0"/>
          <w:sz w:val="24"/>
          <w:shd w:fill="auto" w:val="clear"/>
        </w:rPr>
        <w:t xml:space="preserve"> em que a filha do rei ousou sonhar e  contar o sonho, foi morta e retirado o dedo mindinho como prova para o rei. A mulher foi sendo considerada mais frágil e inabilitada para assumir a direção e chefia do grupo familiar. O homem coligado a idéia de autoridade devido a sua força física e poder de mando assumiu o poder dentro da sociedade, à filha cabe obediência ao pai, e casando-se a mulher fica subordinada ao homem, como no conto </w:t>
      </w:r>
      <w:r>
        <w:rPr>
          <w:rFonts w:ascii="Arial" w:hAnsi="Arial" w:cs="Arial" w:eastAsia="Arial"/>
          <w:i/>
          <w:color w:val="auto"/>
          <w:spacing w:val="0"/>
          <w:position w:val="0"/>
          <w:sz w:val="24"/>
          <w:shd w:fill="auto" w:val="clear"/>
        </w:rPr>
        <w:t xml:space="preserve">A Princesa Roubadeira.</w:t>
      </w:r>
    </w:p>
    <w:p>
      <w:pPr>
        <w:tabs>
          <w:tab w:val="left" w:pos="6165" w:leader="none"/>
        </w:tabs>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interessante o conto </w:t>
      </w:r>
      <w:r>
        <w:rPr>
          <w:rFonts w:ascii="Arial" w:hAnsi="Arial" w:cs="Arial" w:eastAsia="Arial"/>
          <w:i/>
          <w:color w:val="auto"/>
          <w:spacing w:val="0"/>
          <w:position w:val="0"/>
          <w:sz w:val="24"/>
          <w:shd w:fill="auto" w:val="clear"/>
        </w:rPr>
        <w:t xml:space="preserve">Os três coroados,</w:t>
      </w:r>
      <w:r>
        <w:rPr>
          <w:rFonts w:ascii="Arial" w:hAnsi="Arial" w:cs="Arial" w:eastAsia="Arial"/>
          <w:color w:val="auto"/>
          <w:spacing w:val="0"/>
          <w:position w:val="0"/>
          <w:sz w:val="24"/>
          <w:shd w:fill="auto" w:val="clear"/>
        </w:rPr>
        <w:t xml:space="preserve"> onde se observa a importância do casamento para a mulher, já proferidas por VASCONCELOS, 1999, p. 56.</w:t>
      </w:r>
    </w:p>
    <w:p>
      <w:pPr>
        <w:tabs>
          <w:tab w:val="left" w:pos="6165" w:leader="none"/>
        </w:tabs>
        <w:spacing w:before="100" w:after="100" w:line="360"/>
        <w:ind w:right="0" w:left="0" w:firstLine="709"/>
        <w:jc w:val="both"/>
        <w:rPr>
          <w:rFonts w:ascii="Arial" w:hAnsi="Arial" w:cs="Arial" w:eastAsia="Arial"/>
          <w:color w:val="auto"/>
          <w:spacing w:val="0"/>
          <w:position w:val="0"/>
          <w:sz w:val="24"/>
          <w:shd w:fill="auto" w:val="clear"/>
        </w:rPr>
      </w:pPr>
    </w:p>
    <w:p>
      <w:pPr>
        <w:tabs>
          <w:tab w:val="left" w:pos="6165" w:leader="none"/>
        </w:tabs>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 o casamento para a mulher, estava no mesmo nível da profissão, da carreira política ou da riqueza para o homem. Era no matrimônio que as aspirações feministas se concretizavam. Este lhe dava independência dos pais, condição de adulta, estabilidade econômica e podia também significar ascensão social. Enfatizava-se que só em uma união conjugal a mulher realizava-se como pessoa. Além disso, [...] as ligações livres eram condenadas. [...] A mulher casava-se por imposição social, pela riqueza do homem [...] curva-se as determinações sociais.</w:t>
      </w:r>
    </w:p>
    <w:p>
      <w:pPr>
        <w:tabs>
          <w:tab w:val="left" w:pos="0" w:leader="none"/>
        </w:tabs>
        <w:spacing w:before="0" w:after="200" w:line="360"/>
        <w:ind w:right="0" w:left="0" w:firstLine="0"/>
        <w:jc w:val="both"/>
        <w:rPr>
          <w:rFonts w:ascii="Arial" w:hAnsi="Arial" w:cs="Arial" w:eastAsia="Arial"/>
          <w:color w:val="auto"/>
          <w:spacing w:val="0"/>
          <w:position w:val="0"/>
          <w:sz w:val="20"/>
          <w:shd w:fill="auto" w:val="clear"/>
        </w:rPr>
      </w:pPr>
    </w:p>
    <w:p>
      <w:pPr>
        <w:tabs>
          <w:tab w:val="left" w:pos="0" w:leader="none"/>
        </w:tabs>
        <w:spacing w:before="100" w:after="1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Pelo texto supra referido é pontuado um modelo de mulher, uma definição social de mulher: além da obsessão durante toda a vida pela condição de objeto </w:t>
      </w:r>
      <w:r>
        <w:rPr>
          <w:rFonts w:ascii="Arial" w:hAnsi="Arial" w:cs="Arial" w:eastAsia="Arial"/>
          <w:i/>
          <w:color w:val="auto"/>
          <w:spacing w:val="0"/>
          <w:position w:val="0"/>
          <w:sz w:val="24"/>
          <w:shd w:fill="auto" w:val="clear"/>
        </w:rPr>
        <w:t xml:space="preserve">belo, </w:t>
      </w:r>
      <w:r>
        <w:rPr>
          <w:rFonts w:ascii="Arial" w:hAnsi="Arial" w:cs="Arial" w:eastAsia="Arial"/>
          <w:color w:val="auto"/>
          <w:spacing w:val="0"/>
          <w:position w:val="0"/>
          <w:sz w:val="24"/>
          <w:shd w:fill="auto" w:val="clear"/>
        </w:rPr>
        <w:t xml:space="preserve">submetida, limitada, interesseira e condicionada somente à procriação, como observamos no conto acima citado: </w:t>
      </w:r>
    </w:p>
    <w:p>
      <w:pPr>
        <w:tabs>
          <w:tab w:val="left" w:pos="2268" w:leader="none"/>
        </w:tabs>
        <w:spacing w:before="0" w:after="200" w:line="240"/>
        <w:ind w:right="0" w:left="2268" w:firstLine="0"/>
        <w:jc w:val="both"/>
        <w:rPr>
          <w:rFonts w:ascii="Arial" w:hAnsi="Arial" w:cs="Arial" w:eastAsia="Arial"/>
          <w:color w:val="auto"/>
          <w:spacing w:val="0"/>
          <w:position w:val="0"/>
          <w:sz w:val="20"/>
          <w:shd w:fill="auto" w:val="clear"/>
        </w:rPr>
      </w:pPr>
    </w:p>
    <w:p>
      <w:pPr>
        <w:tabs>
          <w:tab w:val="left" w:pos="2268" w:leader="none"/>
        </w:tabs>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Foi um dia, havia três moças já órfãs de pai e mãe. Uma vez, elas estavam todas três na sacada de seu sobrado, quando viram passar o rei. A mais velha disse: “Se eu casasse com aquele rei, fazia-lhe uma camisa como ele nunca viu.” A do meio disse: “Se eu me casasse com ele, lhe fazia uma ceroula como ele nunca teve.” A caçula disse: “Se eu me casasse com ele, paria três coroados.” (ROMERO, 2002, p. 45)</w:t>
      </w:r>
    </w:p>
    <w:p>
      <w:pPr>
        <w:tabs>
          <w:tab w:val="left" w:pos="2268" w:leader="none"/>
        </w:tabs>
        <w:spacing w:before="0" w:after="200" w:line="240"/>
        <w:ind w:right="0" w:left="2268" w:firstLine="0"/>
        <w:jc w:val="both"/>
        <w:rPr>
          <w:rFonts w:ascii="Arial" w:hAnsi="Arial" w:cs="Arial" w:eastAsia="Arial"/>
          <w:color w:val="auto"/>
          <w:spacing w:val="0"/>
          <w:position w:val="0"/>
          <w:sz w:val="20"/>
          <w:shd w:fill="auto" w:val="clear"/>
        </w:rPr>
      </w:pPr>
    </w:p>
    <w:p>
      <w:pPr>
        <w:tabs>
          <w:tab w:val="left" w:pos="0" w:leader="none"/>
        </w:tabs>
        <w:spacing w:before="0" w:after="200" w:line="360"/>
        <w:ind w:right="0" w:left="0" w:firstLine="851"/>
        <w:jc w:val="both"/>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Os escritores masculinos (portanto, a leitura da mulher feita pela sensibilidade do homem) põem voz e discurso pelas personagens femininas, ideologicamente, conforme o momento histórico e civilizatório de uma sociedade. O retrato social, é via de regra, para a sociedade burguesa do seu tempo (século XIX e mesmo no século XX), pouco lisonjeiro, papel de feminilidade, embora haja modelos de mulher transgressora, como no conto </w:t>
      </w:r>
      <w:r>
        <w:rPr>
          <w:rFonts w:ascii="Arial" w:hAnsi="Arial" w:cs="Arial" w:eastAsia="Arial"/>
          <w:i/>
          <w:color w:val="auto"/>
          <w:spacing w:val="0"/>
          <w:position w:val="0"/>
          <w:sz w:val="24"/>
          <w:shd w:fill="auto" w:val="clear"/>
        </w:rPr>
        <w:t xml:space="preserve">A</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Princesa Roubadeira:</w:t>
      </w:r>
    </w:p>
    <w:p>
      <w:pPr>
        <w:tabs>
          <w:tab w:val="left" w:pos="0" w:leader="none"/>
        </w:tabs>
        <w:spacing w:before="0" w:after="200" w:line="360"/>
        <w:ind w:right="0" w:left="0" w:firstLine="851"/>
        <w:jc w:val="both"/>
        <w:rPr>
          <w:rFonts w:ascii="Arial" w:hAnsi="Arial" w:cs="Arial" w:eastAsia="Arial"/>
          <w:color w:val="auto"/>
          <w:spacing w:val="0"/>
          <w:position w:val="0"/>
          <w:sz w:val="24"/>
          <w:shd w:fill="auto" w:val="clear"/>
        </w:rPr>
      </w:pPr>
    </w:p>
    <w:p>
      <w:pPr>
        <w:tabs>
          <w:tab w:val="left" w:pos="2268" w:leader="none"/>
        </w:tabs>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Era a casa de uma senhora muito rica. Pediu um agasalho e o que comer; a senhora mandou-lhe dar-lhe de jantar. Acabando o jantar, o convidou para dar um passeio em sua horta; antes de chegar a ela, tinha de passar um riachinho. Ai a moça, que era a Princesa Roubadeira, suspendeu bastante o vestido a ponto de deixar ver um tanto das pernas. Passeavam na tal horta que só tinha couves e mais nada. De volta a princesa perguntou ao hóspede: “Então, o que achou mais bonitona minha horta?” Ele respondeu:  “Couves”.A moça convidou-o ao depois para o jogo, no qual ganhou todo o dinheiro que levava. “Acabando o jogo, mandou-o prender e sustentar de couves.” (ROMERO, 2002, p. 65-66)</w:t>
      </w:r>
    </w:p>
    <w:p>
      <w:pPr>
        <w:tabs>
          <w:tab w:val="left" w:pos="0" w:leader="none"/>
        </w:tabs>
        <w:spacing w:before="0" w:after="200" w:line="360"/>
        <w:ind w:right="0" w:left="0" w:firstLine="851"/>
        <w:jc w:val="both"/>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Para a mulher pobre, negra ou mulata ou ainda de origem indígena, as coisas são realmente difíceis. A ascensão da mulher pobre (quando ascendem socialmente) é permeada de ingentes dificuldades. Igualmente, para a mulher mulata, via de regra, são tidas como objeto de desejo do homem, vale como pagamento, ou prêmio. Um simples exemplo do conto </w:t>
      </w:r>
      <w:r>
        <w:rPr>
          <w:rFonts w:ascii="Arial" w:hAnsi="Arial" w:cs="Arial" w:eastAsia="Arial"/>
          <w:i/>
          <w:color w:val="auto"/>
          <w:spacing w:val="0"/>
          <w:position w:val="0"/>
          <w:sz w:val="24"/>
          <w:shd w:fill="auto" w:val="clear"/>
        </w:rPr>
        <w:t xml:space="preserve">Uma das de Pedro Malas-Artes.</w:t>
      </w:r>
    </w:p>
    <w:p>
      <w:pPr>
        <w:tabs>
          <w:tab w:val="left" w:pos="0" w:leader="none"/>
        </w:tabs>
        <w:spacing w:before="0" w:after="200" w:line="360"/>
        <w:ind w:right="0" w:left="0" w:firstLine="851"/>
        <w:jc w:val="both"/>
        <w:rPr>
          <w:rFonts w:ascii="Arial" w:hAnsi="Arial" w:cs="Arial" w:eastAsia="Arial"/>
          <w:color w:val="auto"/>
          <w:spacing w:val="0"/>
          <w:position w:val="0"/>
          <w:sz w:val="20"/>
          <w:shd w:fill="auto" w:val="clear"/>
        </w:rPr>
      </w:pPr>
    </w:p>
    <w:p>
      <w:pPr>
        <w:tabs>
          <w:tab w:val="left" w:pos="0" w:leader="none"/>
        </w:tabs>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“Estou perdido; vou para a forca; me mataram a filha do rei!...” Os donos da casa ficaram muito aflitos, e começaram a oferecer coisas pela moça, e Pedro, sem querer aceitar nada, até que ele mesmo exigiu três mulatas das mais moças e bonitas. O homem rico as deu, e Pedro disse que dava uma desculpa ao rei sobre a morte de sua filha, e lhe dava de presente as três mulatas, para o rei não se agastar muito. (ROMERO, 2002, p. 57)</w:t>
      </w:r>
    </w:p>
    <w:p>
      <w:pPr>
        <w:tabs>
          <w:tab w:val="left" w:pos="0" w:leader="none"/>
        </w:tabs>
        <w:spacing w:before="0" w:after="0" w:line="360"/>
        <w:ind w:right="0" w:left="0" w:firstLine="709"/>
        <w:jc w:val="both"/>
        <w:rPr>
          <w:rFonts w:ascii="Arial" w:hAnsi="Arial" w:cs="Arial" w:eastAsia="Arial"/>
          <w:color w:val="auto"/>
          <w:spacing w:val="0"/>
          <w:position w:val="0"/>
          <w:sz w:val="20"/>
          <w:shd w:fill="auto" w:val="clear"/>
        </w:rPr>
      </w:pPr>
    </w:p>
    <w:p>
      <w:pPr>
        <w:tabs>
          <w:tab w:val="left" w:pos="0" w:leader="none"/>
        </w:tabs>
        <w:spacing w:before="0" w:after="0" w:line="360"/>
        <w:ind w:right="0" w:left="0" w:firstLine="709"/>
        <w:jc w:val="both"/>
        <w:rPr>
          <w:rFonts w:ascii="Arial" w:hAnsi="Arial" w:cs="Arial" w:eastAsia="Arial"/>
          <w:color w:val="auto"/>
          <w:spacing w:val="0"/>
          <w:position w:val="0"/>
          <w:sz w:val="20"/>
          <w:shd w:fill="auto" w:val="clear"/>
        </w:rPr>
      </w:pPr>
    </w:p>
    <w:p>
      <w:pPr>
        <w:tabs>
          <w:tab w:val="left" w:pos="0" w:leader="none"/>
        </w:tabs>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transgressão feminina cabe geralmente à mulher mestiça ou negra, oriunda da base da pirâmide social. As burguesas geralmente acompanhavam, como simples coadjuvantes, os maridos, embora o adultério também estivesse inserido nessa atuação social, como descrito no conto </w:t>
      </w:r>
      <w:r>
        <w:rPr>
          <w:rFonts w:ascii="Arial" w:hAnsi="Arial" w:cs="Arial" w:eastAsia="Arial"/>
          <w:i/>
          <w:color w:val="auto"/>
          <w:spacing w:val="0"/>
          <w:position w:val="0"/>
          <w:sz w:val="24"/>
          <w:shd w:fill="auto" w:val="clear"/>
        </w:rPr>
        <w:t xml:space="preserve">O príncipe cornudo.</w:t>
      </w:r>
    </w:p>
    <w:p>
      <w:pPr>
        <w:tabs>
          <w:tab w:val="left" w:pos="0" w:leader="none"/>
        </w:tabs>
        <w:spacing w:before="0" w:after="200" w:line="360"/>
        <w:ind w:right="0" w:left="0" w:firstLine="709"/>
        <w:jc w:val="both"/>
        <w:rPr>
          <w:rFonts w:ascii="Arial" w:hAnsi="Arial" w:cs="Arial" w:eastAsia="Arial"/>
          <w:color w:val="auto"/>
          <w:spacing w:val="0"/>
          <w:position w:val="0"/>
          <w:sz w:val="24"/>
          <w:shd w:fill="auto" w:val="clear"/>
        </w:rPr>
      </w:pPr>
    </w:p>
    <w:p>
      <w:pPr>
        <w:tabs>
          <w:tab w:val="left" w:pos="0" w:leader="none"/>
        </w:tabs>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Uma vez um rei teve um filho e mandou ver que sina o menino tinha trazido. A cigana leu a sorte e disse que o príncipe tinha trazido a sorte de ser cornudo...Quando foi uma vez o príncipe pediu ao pai para ver a missa. O rei respondeu: ‘Pois bem; tu irás comigo ouvir a missa , mais há de ser na condição de nunca olhares para trás, por causa de uma diabinhas”. O moço prometeu e foram...mas o moço não pode se conter, e olhou para trás e ficou embebido todo o tempo, olhando para as diabinhas, que eram as moças...O rei ficou pensativo, e mandou preparar um navio para o filho ir viajar; mas na condição de nunca saltar em terra senão num reino onde não houvesse notícias de seu reino, nem de sua família...  (ROMERO, 2002, p. 57).</w:t>
      </w:r>
    </w:p>
    <w:p>
      <w:pPr>
        <w:tabs>
          <w:tab w:val="left" w:pos="0" w:leader="none"/>
        </w:tabs>
        <w:spacing w:before="0" w:after="200" w:line="240"/>
        <w:ind w:right="0" w:left="2268" w:firstLine="0"/>
        <w:jc w:val="both"/>
        <w:rPr>
          <w:rFonts w:ascii="Arial" w:hAnsi="Arial" w:cs="Arial" w:eastAsia="Arial"/>
          <w:color w:val="auto"/>
          <w:spacing w:val="0"/>
          <w:position w:val="0"/>
          <w:sz w:val="20"/>
          <w:shd w:fill="auto" w:val="clear"/>
        </w:rPr>
      </w:pPr>
    </w:p>
    <w:p>
      <w:pPr>
        <w:tabs>
          <w:tab w:val="left" w:pos="0" w:leader="none"/>
        </w:tabs>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Quanto às negras, mulatas, índias, mamelucas etc., eram estas discriminadas. O estudo sobre estas mulheres ainda são pouco numerosos no Brasil. Recente obra Mulheres Negras no Brasil (SCHUMAHER; Brasil, SENAC, RJ, 2007), retrata com boa fidelidade o papel social e a contribuição da mulher negra no Brasil. São inúmeros os exemplos que Schumaher; O Brasil apresenta mulheres negras, nas revoluções, na música, na política etc. O exemplo mais famoso é o da negra Marina Baptista de Paracatu (</w:t>
      </w:r>
      <w:r>
        <w:rPr>
          <w:rFonts w:ascii="Arial" w:hAnsi="Arial" w:cs="Arial" w:eastAsia="Arial"/>
          <w:i/>
          <w:color w:val="auto"/>
          <w:spacing w:val="0"/>
          <w:position w:val="0"/>
          <w:sz w:val="24"/>
          <w:shd w:fill="auto" w:val="clear"/>
        </w:rPr>
        <w:t xml:space="preserve">noveau riche</w:t>
      </w:r>
      <w:r>
        <w:rPr>
          <w:rFonts w:ascii="Arial" w:hAnsi="Arial" w:cs="Arial" w:eastAsia="Arial"/>
          <w:color w:val="auto"/>
          <w:spacing w:val="0"/>
          <w:position w:val="0"/>
          <w:sz w:val="24"/>
          <w:shd w:fill="auto" w:val="clear"/>
        </w:rPr>
        <w:t xml:space="preserve">), que ofereceu a rainha lusitana Maria I, em troca de um papel nobiliário, um cacho de bananas de ouro. Este livro é um interessante inventário, e instrutivo, sobre a participação das afro-descendentes, da Colônia até os dias atuais.</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Por muitos séculos a mulher foi predestinada e vista como objeto a ser “lapidado” e moldado para obedecer ao que era pregado pela Igreja, para satisfazer as expectativas dos pais e posteriormente ao marido, que era escolhido por sua família, a “fidelidade” sexual do marido com relação à sua esposa legítima não era exigido pelas leis nem pelos costumes, era uma questão que se colocava e uma forma de austeridade a que certos moralistas conferiam grande valor, assim como a virgindade para a mulher, visivelmente descrito no conto </w:t>
      </w:r>
      <w:r>
        <w:rPr>
          <w:rFonts w:ascii="Arial" w:hAnsi="Arial" w:cs="Arial" w:eastAsia="Arial"/>
          <w:i/>
          <w:color w:val="auto"/>
          <w:spacing w:val="0"/>
          <w:position w:val="0"/>
          <w:sz w:val="24"/>
          <w:shd w:fill="auto" w:val="clear"/>
        </w:rPr>
        <w:t xml:space="preserve">Dona Pinta</w:t>
      </w:r>
      <w:r>
        <w:rPr>
          <w:rFonts w:ascii="Arial" w:hAnsi="Arial" w:cs="Arial" w:eastAsia="Arial"/>
          <w:color w:val="auto"/>
          <w:spacing w:val="0"/>
          <w:position w:val="0"/>
          <w:sz w:val="24"/>
          <w:shd w:fill="auto" w:val="clear"/>
        </w:rPr>
        <w:t xml:space="preserve">.</w:t>
      </w:r>
    </w:p>
    <w:p>
      <w:pPr>
        <w:spacing w:before="0" w:after="0" w:line="360"/>
        <w:ind w:right="0" w:left="0" w:firstLine="709"/>
        <w:jc w:val="both"/>
        <w:rPr>
          <w:rFonts w:ascii="Arial" w:hAnsi="Arial" w:cs="Arial" w:eastAsia="Arial"/>
          <w:color w:val="auto"/>
          <w:spacing w:val="0"/>
          <w:position w:val="0"/>
          <w:sz w:val="24"/>
          <w:shd w:fill="auto" w:val="clear"/>
        </w:rPr>
      </w:pPr>
    </w:p>
    <w:p>
      <w:pPr>
        <w:tabs>
          <w:tab w:val="left" w:pos="0" w:leader="none"/>
        </w:tabs>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Era uma vez um rei que tinha seu palácio defronte de uma casa onde morava um velho que tinha três filhas muito bonitas. A mais bonita de todas chamava-se Dona Pinta e o rei apaixonou-se por ela...Passados os dias o velho seguiu para as guerras, deixando a cada uma das filhas uma rosa, dizendo: “ Quando eu voltar, cada uma há de me apresentar a sua rosa aberta e fresca, que é o sinal de sua virgindade; aquela cuja a rosa estiver murcha, terá meu castigo”. (ROMERO, 2002, p. 87).</w:t>
      </w:r>
    </w:p>
    <w:p>
      <w:pPr>
        <w:spacing w:before="0" w:after="200" w:line="240"/>
        <w:ind w:right="0" w:left="2268" w:firstLine="0"/>
        <w:jc w:val="both"/>
        <w:rPr>
          <w:rFonts w:ascii="Arial" w:hAnsi="Arial" w:cs="Arial" w:eastAsia="Arial"/>
          <w:color w:val="auto"/>
          <w:spacing w:val="0"/>
          <w:position w:val="0"/>
          <w:sz w:val="20"/>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século XIX, era forte o preconceito contra as mulheres, descritos pela sociedade na literatura, em especial nos contos de Sílvio Romero descritos neste, até mesmo nas Artes predominava a idéia de que os homens eram seres biológica e intelectualmente superiores às mulheres. A Arte abriu as portas à conscientização e o respeito à diversidade. Somos diferentes sim, mais inferiores, nunca.</w:t>
      </w:r>
    </w:p>
    <w:p>
      <w:pPr>
        <w:spacing w:before="0" w:after="0" w:line="360"/>
        <w:ind w:right="0" w:left="0" w:firstLine="709"/>
        <w:jc w:val="both"/>
        <w:rPr>
          <w:rFonts w:ascii="Arial" w:hAnsi="Arial" w:cs="Arial" w:eastAsia="Arial"/>
          <w:color w:val="auto"/>
          <w:spacing w:val="0"/>
          <w:position w:val="0"/>
          <w:sz w:val="24"/>
          <w:shd w:fill="auto" w:val="clear"/>
        </w:rPr>
      </w:pPr>
    </w:p>
    <w:p>
      <w:pPr>
        <w:numPr>
          <w:ilvl w:val="0"/>
          <w:numId w:val="4875"/>
        </w:numPr>
        <w:tabs>
          <w:tab w:val="left" w:pos="284" w:leader="none"/>
        </w:tabs>
        <w:spacing w:before="100" w:after="100" w:line="48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CONSIDERAÇÕES FINAIS</w:t>
      </w:r>
    </w:p>
    <w:p>
      <w:pPr>
        <w:spacing w:before="0" w:after="0" w:line="360"/>
        <w:ind w:right="0" w:left="720" w:firstLine="0"/>
        <w:jc w:val="both"/>
        <w:rPr>
          <w:rFonts w:ascii="Arial" w:hAnsi="Arial" w:cs="Arial" w:eastAsia="Arial"/>
          <w:color w:val="auto"/>
          <w:spacing w:val="0"/>
          <w:position w:val="0"/>
          <w:sz w:val="24"/>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livro recentemente lançado de autoria de Patrícia Rocha, intitulado “Mulheres sob todas as luzes”, expõe a trajetória de lutas e conquistas das mulheres e neste mesmo século as palavras do filósofo iluminista Jean-Jacques Rousseau, expressa não havendo a possibilidade das mulheres serem tratadas de forma igualitária. Para ele, as mulheres eram naturalmente inferiores e deveriam ser educadas para servir ao homem, como boas esposas, como segue:</w:t>
      </w:r>
    </w:p>
    <w:p>
      <w:pPr>
        <w:spacing w:before="0" w:after="0" w:line="360"/>
        <w:ind w:right="0" w:left="0" w:firstLine="709"/>
        <w:jc w:val="both"/>
        <w:rPr>
          <w:rFonts w:ascii="Arial" w:hAnsi="Arial" w:cs="Arial" w:eastAsia="Arial"/>
          <w:color w:val="auto"/>
          <w:spacing w:val="0"/>
          <w:position w:val="0"/>
          <w:sz w:val="24"/>
          <w:shd w:fill="auto" w:val="clear"/>
        </w:rPr>
      </w:pPr>
    </w:p>
    <w:p>
      <w:pPr>
        <w:spacing w:before="0" w:after="200" w:line="240"/>
        <w:ind w:right="0" w:left="226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Em sua obra </w:t>
      </w:r>
      <w:r>
        <w:rPr>
          <w:rFonts w:ascii="Arial" w:hAnsi="Arial" w:cs="Arial" w:eastAsia="Arial"/>
          <w:i/>
          <w:color w:val="auto"/>
          <w:spacing w:val="0"/>
          <w:position w:val="0"/>
          <w:sz w:val="20"/>
          <w:shd w:fill="auto" w:val="clear"/>
        </w:rPr>
        <w:t xml:space="preserve">Emílio ou na educação </w:t>
      </w:r>
      <w:r>
        <w:rPr>
          <w:rFonts w:ascii="Arial" w:hAnsi="Arial" w:cs="Arial" w:eastAsia="Arial"/>
          <w:color w:val="auto"/>
          <w:spacing w:val="0"/>
          <w:position w:val="0"/>
          <w:sz w:val="20"/>
          <w:shd w:fill="auto" w:val="clear"/>
        </w:rPr>
        <w:t xml:space="preserve">(1792, p. 1302-1331), Rousseau escreve que as meninas deveriam “ser acostumadas cedo à restrição”, “conhecer seus deveres” (domésticos), “amar esses deveres” e aprender a “suportar injustiças até mesmo da...mão [de seu marido]”, porque qualquer desejo de liberdade, “somente multiplicaria o sofrimento da esposa e os maus tratos do marido”. Para as mulheres, somente a posição de subalternidade “benigna” deveria ser reservada.(ROUSSEAU </w:t>
      </w:r>
      <w:r>
        <w:rPr>
          <w:rFonts w:ascii="Arial" w:hAnsi="Arial" w:cs="Arial" w:eastAsia="Arial"/>
          <w:i/>
          <w:color w:val="auto"/>
          <w:spacing w:val="0"/>
          <w:position w:val="0"/>
          <w:sz w:val="20"/>
          <w:shd w:fill="auto" w:val="clear"/>
        </w:rPr>
        <w:t xml:space="preserve">apud </w:t>
      </w:r>
      <w:r>
        <w:rPr>
          <w:rFonts w:ascii="Arial" w:hAnsi="Arial" w:cs="Arial" w:eastAsia="Arial"/>
          <w:color w:val="auto"/>
          <w:spacing w:val="0"/>
          <w:position w:val="0"/>
          <w:sz w:val="20"/>
          <w:shd w:fill="auto" w:val="clear"/>
        </w:rPr>
        <w:t xml:space="preserve">ROCHA, 2009, p.125)</w:t>
      </w:r>
    </w:p>
    <w:p>
      <w:pPr>
        <w:spacing w:before="0" w:after="200" w:line="240"/>
        <w:ind w:right="0" w:left="2268" w:firstLine="0"/>
        <w:jc w:val="both"/>
        <w:rPr>
          <w:rFonts w:ascii="Arial" w:hAnsi="Arial" w:cs="Arial" w:eastAsia="Arial"/>
          <w:color w:val="auto"/>
          <w:spacing w:val="0"/>
          <w:position w:val="0"/>
          <w:sz w:val="20"/>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idéias de Rousseau eram revolucionárias, ele traçou pedagogicamente linhas gerais, que deveriam ser seguidas com o objetivo de fazer da criança um adulto bom. No entanto, essas brilhantes idéias eram apontadas somente ao sexo masculino, as meninas seriam educadas de forma diferente, conforme descreve acima. </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disciplinas de Anatomia, Fisiologia, Biologia evolucionária, Antropologia, Física, Psicologia e Sociologia, no século XIX, elaboraram teorias explorando as diferenças sexuais, então chegaram ao consenso de que as mulheres eram de modo próprio diferentes dos homens e de sua anatomia, fisiologia, pensamento e intelecto. Buscou-se então uma ciência que estudasse a diferença, dos predicados femininos, Isso porque, em um mundo patriarcal, machista, ainda com resquícios misóginos nas ciências, o descaso em relação à mulher ainda era evidente, os verdadeiros atributos femininos eram desconhecidos, pois, eram desprezados.</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sociedades patriarcais permanecem ao longo dos tempos, mesmo na sociedade industrial. No entanto, nas sociedades industriais o mundo do trabalho se divide do mundo doméstico, e a mulher passou a ter uma dupla jornada de trabalho. A ela cabia cuidar dos filhos, das tarefas domésticas e também do trabalho remunerado.</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Mulheres e homens nascem, desenvolvem-se e sobrevivem em um mundo que é resultado direto da cultura e da sociedade em que estão inseridos. Nesse espaço, eles assumem atribuições específicas que acabam contribuindo para a afirmação das diferenças de gênero. O ambiente interfere nessa distinção, mas não é nem longe o fator principal. </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Sabemos que mulheres e homens são, por natureza, tão distintos que o tratamento igualitário, proposto pelos primeiros movimentos feministas, tornou-se contraprudente. Hoje, continuamos querendo respeito, eqüidade de direitos, oportunidades profissionais mais amplas, conceituadas e bem remuneradas. A boa notícia é que estamos mais instruídas para encarar com firmeza as competições advindas dessa forma de poder.</w:t>
      </w:r>
    </w:p>
    <w:p>
      <w:pPr>
        <w:spacing w:before="0" w:after="20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Pode-se definir atualmente, que o papel social da mulher revela-se amplo e multifacetado (elas podem ser agora até presidentas, pastoras, etc), contudo a violência contra ela por parte do homem (e do estado social), ainda é uma constante, que o diga a Lei Maria da Penha.</w:t>
      </w:r>
    </w:p>
    <w:p>
      <w:pPr>
        <w:tabs>
          <w:tab w:val="left" w:pos="0" w:leader="none"/>
          <w:tab w:val="left" w:pos="8789" w:leader="none"/>
        </w:tabs>
        <w:spacing w:before="0" w:after="120" w:line="48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REFERÊCIAS</w: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ARANHA, Maria Lúcia de Arruda. História da Educação. 2. ed. rev. e atual. – São Paulo: Moderna, 1996.</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ARAÚJO, Emanuel. </w:t>
      </w:r>
      <w:r>
        <w:rPr>
          <w:rFonts w:ascii="Arial" w:hAnsi="Arial" w:cs="Arial" w:eastAsia="Arial"/>
          <w:b/>
          <w:color w:val="auto"/>
          <w:spacing w:val="0"/>
          <w:position w:val="0"/>
          <w:sz w:val="24"/>
          <w:shd w:fill="auto" w:val="clear"/>
        </w:rPr>
        <w:t xml:space="preserve">A arte da sedução: a sexualidade feminina na colônia. </w:t>
      </w:r>
      <w:r>
        <w:rPr>
          <w:rFonts w:ascii="Arial" w:hAnsi="Arial" w:cs="Arial" w:eastAsia="Arial"/>
          <w:color w:val="auto"/>
          <w:spacing w:val="0"/>
          <w:position w:val="0"/>
          <w:sz w:val="24"/>
          <w:shd w:fill="auto" w:val="clear"/>
        </w:rPr>
        <w:t xml:space="preserve">In História das mulheres no Brasil. São Paulo: Editora Contexto, 2004. </w:t>
      </w:r>
    </w:p>
    <w:p>
      <w:pPr>
        <w:spacing w:before="0" w:after="12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BERNARDES, Maria T. C. C. </w:t>
      </w:r>
      <w:r>
        <w:rPr>
          <w:rFonts w:ascii="Arial" w:hAnsi="Arial" w:cs="Arial" w:eastAsia="Arial"/>
          <w:b/>
          <w:color w:val="auto"/>
          <w:spacing w:val="0"/>
          <w:position w:val="0"/>
          <w:sz w:val="24"/>
          <w:shd w:fill="auto" w:val="clear"/>
        </w:rPr>
        <w:t xml:space="preserve">Mulheres de Ontem 2.</w:t>
      </w:r>
      <w:r>
        <w:rPr>
          <w:rFonts w:ascii="Arial" w:hAnsi="Arial" w:cs="Arial" w:eastAsia="Arial"/>
          <w:color w:val="auto"/>
          <w:spacing w:val="0"/>
          <w:position w:val="0"/>
          <w:sz w:val="24"/>
          <w:shd w:fill="auto" w:val="clear"/>
        </w:rPr>
        <w:t xml:space="preserve">Rio de Janeiro - Século XIX. Rio de Janeiro: Garnier, 1906.</w:t>
      </w:r>
    </w:p>
    <w:p>
      <w:pPr>
        <w:spacing w:before="0" w:after="12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BEZERRA, Menzeli Maria de Almeida. </w:t>
      </w:r>
      <w:r>
        <w:rPr>
          <w:rFonts w:ascii="Arial" w:hAnsi="Arial" w:cs="Arial" w:eastAsia="Arial"/>
          <w:b/>
          <w:color w:val="auto"/>
          <w:spacing w:val="0"/>
          <w:position w:val="0"/>
          <w:sz w:val="24"/>
          <w:shd w:fill="auto" w:val="clear"/>
        </w:rPr>
        <w:t xml:space="preserve">O papel das mulheres na elaboração de estratégias de sobrevivência. </w:t>
      </w:r>
      <w:r>
        <w:rPr>
          <w:rFonts w:ascii="Arial" w:hAnsi="Arial" w:cs="Arial" w:eastAsia="Arial"/>
          <w:color w:val="auto"/>
          <w:spacing w:val="0"/>
          <w:position w:val="0"/>
          <w:sz w:val="24"/>
          <w:shd w:fill="auto" w:val="clear"/>
        </w:rPr>
        <w:t xml:space="preserve">In Desenvolvimento, poder e Cultura Política. São Luís: UEMA, 2006.</w:t>
      </w:r>
    </w:p>
    <w:p>
      <w:pPr>
        <w:spacing w:before="0" w:after="12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COELHO, Nelly Novaes. </w:t>
      </w:r>
      <w:r>
        <w:rPr>
          <w:rFonts w:ascii="Arial" w:hAnsi="Arial" w:cs="Arial" w:eastAsia="Arial"/>
          <w:b/>
          <w:color w:val="auto"/>
          <w:spacing w:val="0"/>
          <w:position w:val="0"/>
          <w:sz w:val="24"/>
          <w:shd w:fill="auto" w:val="clear"/>
        </w:rPr>
        <w:t xml:space="preserve">Literatura infantil: teoria, análise, didática.</w:t>
      </w:r>
      <w:r>
        <w:rPr>
          <w:rFonts w:ascii="Arial" w:hAnsi="Arial" w:cs="Arial" w:eastAsia="Arial"/>
          <w:color w:val="auto"/>
          <w:spacing w:val="0"/>
          <w:position w:val="0"/>
          <w:sz w:val="24"/>
          <w:shd w:fill="auto" w:val="clear"/>
        </w:rPr>
        <w:t xml:space="preserve"> 1. ed. São Paulo: Moderna, 2000.</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FRAISSE, Geneviéve; PERROT, Michele. </w:t>
      </w:r>
      <w:r>
        <w:rPr>
          <w:rFonts w:ascii="Arial" w:hAnsi="Arial" w:cs="Arial" w:eastAsia="Arial"/>
          <w:b/>
          <w:color w:val="auto"/>
          <w:spacing w:val="0"/>
          <w:position w:val="0"/>
          <w:sz w:val="24"/>
          <w:shd w:fill="auto" w:val="clear"/>
        </w:rPr>
        <w:t xml:space="preserve">História das mulheres: o século XIX. </w:t>
      </w:r>
      <w:r>
        <w:rPr>
          <w:rFonts w:ascii="Arial" w:hAnsi="Arial" w:cs="Arial" w:eastAsia="Arial"/>
          <w:color w:val="auto"/>
          <w:spacing w:val="0"/>
          <w:position w:val="0"/>
          <w:sz w:val="24"/>
          <w:shd w:fill="auto" w:val="clear"/>
        </w:rPr>
        <w:t xml:space="preserve">Porto: Edições Afrontamento, 1991.</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JACOBINA, Eloá. KÜHNER, Maria Helena (organização). </w:t>
      </w:r>
      <w:r>
        <w:rPr>
          <w:rFonts w:ascii="Arial" w:hAnsi="Arial" w:cs="Arial" w:eastAsia="Arial"/>
          <w:b/>
          <w:color w:val="auto"/>
          <w:spacing w:val="0"/>
          <w:position w:val="0"/>
          <w:sz w:val="24"/>
          <w:shd w:fill="auto" w:val="clear"/>
        </w:rPr>
        <w:t xml:space="preserve">Feminino/ Masculino no imaginário de diferentes épocas </w:t>
      </w:r>
      <w:r>
        <w:rPr>
          <w:rFonts w:ascii="Arial" w:hAnsi="Arial" w:cs="Arial" w:eastAsia="Arial"/>
          <w:color w:val="auto"/>
          <w:spacing w:val="0"/>
          <w:position w:val="0"/>
          <w:sz w:val="24"/>
          <w:shd w:fill="auto" w:val="clear"/>
        </w:rPr>
        <w:t xml:space="preserve">– Rio de Janeiro: Bertrand Brasil, 1998.</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MARIA, Luzia de. </w:t>
      </w:r>
      <w:r>
        <w:rPr>
          <w:rFonts w:ascii="Arial" w:hAnsi="Arial" w:cs="Arial" w:eastAsia="Arial"/>
          <w:b/>
          <w:color w:val="auto"/>
          <w:spacing w:val="0"/>
          <w:position w:val="0"/>
          <w:sz w:val="24"/>
          <w:shd w:fill="auto" w:val="clear"/>
        </w:rPr>
        <w:t xml:space="preserve">O que é conto. </w:t>
      </w:r>
      <w:r>
        <w:rPr>
          <w:rFonts w:ascii="Arial" w:hAnsi="Arial" w:cs="Arial" w:eastAsia="Arial"/>
          <w:color w:val="auto"/>
          <w:spacing w:val="0"/>
          <w:position w:val="0"/>
          <w:sz w:val="24"/>
          <w:shd w:fill="auto" w:val="clear"/>
        </w:rPr>
        <w:t xml:space="preserve">4 ed. São Paulo: Brasiliense, 1992. – Coleção Primeiros Passos.</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MENDES, Alzemira de Macedo.</w:t>
      </w:r>
      <w:r>
        <w:rPr>
          <w:rFonts w:ascii="Arial" w:hAnsi="Arial" w:cs="Arial" w:eastAsia="Arial"/>
          <w:b/>
          <w:color w:val="auto"/>
          <w:spacing w:val="0"/>
          <w:position w:val="0"/>
          <w:sz w:val="24"/>
          <w:shd w:fill="auto" w:val="clear"/>
        </w:rPr>
        <w:t xml:space="preserve"> A imagem da mulher na obra de Amélia Bevilácgua. </w:t>
      </w:r>
      <w:r>
        <w:rPr>
          <w:rFonts w:ascii="Arial" w:hAnsi="Arial" w:cs="Arial" w:eastAsia="Arial"/>
          <w:color w:val="auto"/>
          <w:spacing w:val="0"/>
          <w:position w:val="0"/>
          <w:sz w:val="24"/>
          <w:shd w:fill="auto" w:val="clear"/>
        </w:rPr>
        <w:t xml:space="preserve">Tijuca: Editora Caetés, 2004. </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NAHUZ, Cecília dos Santos. </w:t>
      </w:r>
      <w:r>
        <w:rPr>
          <w:rFonts w:ascii="Arial" w:hAnsi="Arial" w:cs="Arial" w:eastAsia="Arial"/>
          <w:b/>
          <w:color w:val="auto"/>
          <w:spacing w:val="0"/>
          <w:position w:val="0"/>
          <w:sz w:val="24"/>
          <w:shd w:fill="auto" w:val="clear"/>
        </w:rPr>
        <w:t xml:space="preserve">Manual para normalização de monografias.</w:t>
      </w:r>
      <w:r>
        <w:rPr>
          <w:rFonts w:ascii="Arial" w:hAnsi="Arial" w:cs="Arial" w:eastAsia="Arial"/>
          <w:color w:val="auto"/>
          <w:spacing w:val="0"/>
          <w:position w:val="0"/>
          <w:sz w:val="24"/>
          <w:shd w:fill="auto" w:val="clear"/>
        </w:rPr>
        <w:t xml:space="preserve"> -4.ed. ver. e atual. - São Luís, Visionária, 2007.</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RAMINELLI, Ronald. </w:t>
      </w:r>
      <w:r>
        <w:rPr>
          <w:rFonts w:ascii="Arial" w:hAnsi="Arial" w:cs="Arial" w:eastAsia="Arial"/>
          <w:b/>
          <w:color w:val="auto"/>
          <w:spacing w:val="0"/>
          <w:position w:val="0"/>
          <w:sz w:val="24"/>
          <w:shd w:fill="auto" w:val="clear"/>
        </w:rPr>
        <w:t xml:space="preserve">Eva Tupinambá. In história das mulheres no Brasil.</w:t>
      </w:r>
      <w:r>
        <w:rPr>
          <w:rFonts w:ascii="Arial" w:hAnsi="Arial" w:cs="Arial" w:eastAsia="Arial"/>
          <w:color w:val="auto"/>
          <w:spacing w:val="0"/>
          <w:position w:val="0"/>
          <w:sz w:val="24"/>
          <w:shd w:fill="auto" w:val="clear"/>
        </w:rPr>
        <w:t xml:space="preserve"> São Paulo: Editora contexto/Unesp, 2004.</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REVISTA CONSTRUIR NOTICIAS. Recife, PE: Nº 29 – Ano 05 – Julho/Agosto 2006. Circulação Nacional.</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POCHA, Patrícia. </w:t>
      </w:r>
      <w:r>
        <w:rPr>
          <w:rFonts w:ascii="Arial" w:hAnsi="Arial" w:cs="Arial" w:eastAsia="Arial"/>
          <w:b/>
          <w:color w:val="auto"/>
          <w:spacing w:val="0"/>
          <w:position w:val="0"/>
          <w:sz w:val="24"/>
          <w:shd w:fill="auto" w:val="clear"/>
        </w:rPr>
        <w:t xml:space="preserve">Mulheres sob todas as luzes: a emancipação feminina e os últimos dias do patriarcado.</w:t>
      </w:r>
      <w:r>
        <w:rPr>
          <w:rFonts w:ascii="Arial" w:hAnsi="Arial" w:cs="Arial" w:eastAsia="Arial"/>
          <w:color w:val="auto"/>
          <w:spacing w:val="0"/>
          <w:position w:val="0"/>
          <w:sz w:val="24"/>
          <w:shd w:fill="auto" w:val="clear"/>
        </w:rPr>
        <w:t xml:space="preserve"> – Belo Horizonte: Editora Leitura, 2009.</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ROMERO, Silvio. </w:t>
      </w:r>
      <w:r>
        <w:rPr>
          <w:rFonts w:ascii="Arial" w:hAnsi="Arial" w:cs="Arial" w:eastAsia="Arial"/>
          <w:b/>
          <w:color w:val="auto"/>
          <w:spacing w:val="0"/>
          <w:position w:val="0"/>
          <w:sz w:val="24"/>
          <w:shd w:fill="auto" w:val="clear"/>
        </w:rPr>
        <w:t xml:space="preserve">Contos Populares do Brasil.</w:t>
      </w:r>
      <w:r>
        <w:rPr>
          <w:rFonts w:ascii="Arial" w:hAnsi="Arial" w:cs="Arial" w:eastAsia="Arial"/>
          <w:color w:val="auto"/>
          <w:spacing w:val="0"/>
          <w:position w:val="0"/>
          <w:sz w:val="24"/>
          <w:shd w:fill="auto" w:val="clear"/>
        </w:rPr>
        <w:t xml:space="preserve"> São Paulo: Landy, 2000.</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SCHUMAHER, Schuma; BRASIL, Erico Vital. </w:t>
      </w:r>
      <w:r>
        <w:rPr>
          <w:rFonts w:ascii="Arial" w:hAnsi="Arial" w:cs="Arial" w:eastAsia="Arial"/>
          <w:b/>
          <w:color w:val="auto"/>
          <w:spacing w:val="0"/>
          <w:position w:val="0"/>
          <w:sz w:val="24"/>
          <w:shd w:fill="auto" w:val="clear"/>
        </w:rPr>
        <w:t xml:space="preserve">Dicionário mulheres do Brasil. </w:t>
      </w:r>
      <w:r>
        <w:rPr>
          <w:rFonts w:ascii="Arial" w:hAnsi="Arial" w:cs="Arial" w:eastAsia="Arial"/>
          <w:color w:val="auto"/>
          <w:spacing w:val="0"/>
          <w:position w:val="0"/>
          <w:sz w:val="24"/>
          <w:shd w:fill="auto" w:val="clear"/>
        </w:rPr>
        <w:t xml:space="preserve">Rio de Janeiro: Jorge Tahar Editor, 2000.</w:t>
      </w:r>
    </w:p>
    <w:p>
      <w:pPr>
        <w:spacing w:before="0" w:after="12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STEIN, Ingrid. </w:t>
      </w:r>
      <w:r>
        <w:rPr>
          <w:rFonts w:ascii="Arial" w:hAnsi="Arial" w:cs="Arial" w:eastAsia="Arial"/>
          <w:b/>
          <w:color w:val="auto"/>
          <w:spacing w:val="0"/>
          <w:position w:val="0"/>
          <w:sz w:val="24"/>
          <w:shd w:fill="auto" w:val="clear"/>
        </w:rPr>
        <w:t xml:space="preserve">Figuras femininas em Machado de Assis.</w:t>
      </w:r>
      <w:r>
        <w:rPr>
          <w:rFonts w:ascii="Arial" w:hAnsi="Arial" w:cs="Arial" w:eastAsia="Arial"/>
          <w:color w:val="auto"/>
          <w:spacing w:val="0"/>
          <w:position w:val="0"/>
          <w:sz w:val="24"/>
          <w:shd w:fill="auto" w:val="clear"/>
        </w:rPr>
        <w:t xml:space="preserve">Rio de Janeiro: Paz e Terra, 1984.</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TOSCANA, Moema. </w:t>
      </w:r>
      <w:r>
        <w:rPr>
          <w:rFonts w:ascii="Arial" w:hAnsi="Arial" w:cs="Arial" w:eastAsia="Arial"/>
          <w:b/>
          <w:color w:val="auto"/>
          <w:spacing w:val="0"/>
          <w:position w:val="0"/>
          <w:sz w:val="24"/>
          <w:shd w:fill="auto" w:val="clear"/>
        </w:rPr>
        <w:t xml:space="preserve">Introdução a sociologia educacional.</w:t>
      </w:r>
      <w:r>
        <w:rPr>
          <w:rFonts w:ascii="Arial" w:hAnsi="Arial" w:cs="Arial" w:eastAsia="Arial"/>
          <w:color w:val="auto"/>
          <w:spacing w:val="0"/>
          <w:position w:val="0"/>
          <w:sz w:val="24"/>
          <w:shd w:fill="auto" w:val="clear"/>
        </w:rPr>
        <w:t xml:space="preserve"> 10. Ed. Petrópolis: Vozes, 2001. </w:t>
      </w:r>
    </w:p>
    <w:p>
      <w:pPr>
        <w:spacing w:before="0" w:after="12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VASCONCELLOS, Eliane. </w:t>
      </w:r>
      <w:r>
        <w:rPr>
          <w:rFonts w:ascii="Arial" w:hAnsi="Arial" w:cs="Arial" w:eastAsia="Arial"/>
          <w:b/>
          <w:color w:val="auto"/>
          <w:spacing w:val="0"/>
          <w:position w:val="0"/>
          <w:sz w:val="24"/>
          <w:shd w:fill="auto" w:val="clear"/>
        </w:rPr>
        <w:t xml:space="preserve">Entre a agulha e a caneta: a mulher na obra de Lima Barreto. </w:t>
      </w:r>
      <w:r>
        <w:rPr>
          <w:rFonts w:ascii="Arial" w:hAnsi="Arial" w:cs="Arial" w:eastAsia="Arial"/>
          <w:color w:val="auto"/>
          <w:spacing w:val="0"/>
          <w:position w:val="0"/>
          <w:sz w:val="24"/>
          <w:shd w:fill="auto" w:val="clear"/>
        </w:rPr>
        <w:t xml:space="preserve">Rio de Janeiro: Lacerda. Editora, 1999. </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12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ZILBERMAN, Regina; LAJOLO, Marisa. </w:t>
      </w:r>
      <w:r>
        <w:rPr>
          <w:rFonts w:ascii="Arial" w:hAnsi="Arial" w:cs="Arial" w:eastAsia="Arial"/>
          <w:b/>
          <w:color w:val="auto"/>
          <w:spacing w:val="0"/>
          <w:position w:val="0"/>
          <w:sz w:val="24"/>
          <w:shd w:fill="auto" w:val="clear"/>
        </w:rPr>
        <w:t xml:space="preserve">Um Brasil para crianças: para conhecer a literatura infantil brasileira: história, autores e textos</w:t>
      </w:r>
      <w:r>
        <w:rPr>
          <w:rFonts w:ascii="Arial" w:hAnsi="Arial" w:cs="Arial" w:eastAsia="Arial"/>
          <w:color w:val="auto"/>
          <w:spacing w:val="0"/>
          <w:position w:val="0"/>
          <w:sz w:val="24"/>
          <w:shd w:fill="auto" w:val="clear"/>
        </w:rPr>
        <w:t xml:space="preserve">. - 4. Ed – São Paulo: Global, 1993. – (Global) universitária. Série crítica e teoria literária.</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200" w:line="360"/>
        <w:ind w:right="0" w:left="0" w:firstLine="709"/>
        <w:jc w:val="both"/>
        <w:rPr>
          <w:rFonts w:ascii="Arial" w:hAnsi="Arial" w:cs="Arial" w:eastAsia="Arial"/>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INTRODUÇÃO</w:t>
      </w: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opção por esse tema se deve à observação sobre a reduzida participação da mulher no âmbito da política, fenômeno este naturalizado pela sociedade, mas que merece um estudo pormenorizado sobre as razões para tal naturalização. Esta foi uma das primeiras razões pelas quais escolhi trabalhar sobre a presente temática. </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Apesar de a Constituição Federal determinar o tratamento de igualdade para todos os brasileiros, proibindo práticas quanto às diferenças de salário entre homens e mulheres no exercício de funções semelhantes, na prática ainda se constata a presença da discriminação em relação às mulheres e outros segmentos sociais. Assim, as mulheres continuam sendo, centralmente, por sua sexualidade, tratadas como seres inferiores, fúteis, fofoqueiras, incapazes de criatividade. Todas estas desqualificações, por certo, repercutem nas funções públicas, especialmente na área política, impedindo-as de representar o povo, ao serem avaliadas por critérios subjetivos que as desclassificam historicamente.</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Essa distinção entre homem e mulher é percebida nas funções que cada qual desempenha, cujas atividades consideradas inferiores são “próprias” para as mulheres e não são delegadas aos homens. Da mesma forma, quando as mulheres exercem atividades consideradas masculinas, são percebidas com surpresa, desprezo, ou reprovação, indicando a compreensão de que as mesmas não são capazes para ocupar os cargos compreendidos como sendo especificamente masculinos.</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Apesar das constantes mudanças destes paradigmas, ainda se faz presente na nossa sociedade a distinção entre os serviços que são restritos ao mundo das mulheres. </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Entre eles, constata-se a expressiva presença de mulheres em trabalhos voltados para o educar, o cuidar, o alimentar, o vestir, enfim, enfatiza-se atividades e carreiras consideradas mais femininas, reforçando assim as diferenças de gênero.</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Entretanto, há na atualidade uma discussão, principalmente no ambiente acadêmico, sobre as formas de dominação. Indubitavelmente, não podemos esquecer que aprendemos a naturalizar e a recorrer a um reducionismo em relação à questão de gênero, uma vez que involuntariamente distinguimos funções para homens e para mulheres. </w:t>
      </w:r>
    </w:p>
    <w:p>
      <w:pPr>
        <w:spacing w:before="0" w:after="0" w:line="360"/>
        <w:ind w:right="0" w:left="0" w:firstLine="709"/>
        <w:jc w:val="both"/>
        <w:rPr>
          <w:rFonts w:ascii="Arial" w:hAnsi="Arial" w:cs="Arial" w:eastAsia="Arial"/>
          <w:color w:val="auto"/>
          <w:spacing w:val="0"/>
          <w:position w:val="0"/>
          <w:sz w:val="24"/>
          <w:shd w:fill="auto" w:val="clear"/>
        </w:rPr>
      </w:pPr>
    </w:p>
    <w:p>
      <w:pPr>
        <w:numPr>
          <w:ilvl w:val="0"/>
          <w:numId w:val="4904"/>
        </w:numPr>
        <w:spacing w:before="0" w:after="0" w:line="360"/>
        <w:ind w:right="0" w:left="720" w:hanging="36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Os procedimentos teórico-metodológicos</w:t>
      </w:r>
    </w:p>
    <w:p>
      <w:pPr>
        <w:spacing w:before="0" w:after="0" w:line="360"/>
        <w:ind w:right="0" w:left="360" w:firstLine="0"/>
        <w:jc w:val="left"/>
        <w:rPr>
          <w:rFonts w:ascii="Arial" w:hAnsi="Arial" w:cs="Arial" w:eastAsia="Arial"/>
          <w:b/>
          <w:color w:val="auto"/>
          <w:spacing w:val="0"/>
          <w:position w:val="0"/>
          <w:sz w:val="24"/>
          <w:shd w:fill="auto" w:val="clear"/>
        </w:rPr>
      </w:pPr>
    </w:p>
    <w:p>
      <w:pPr>
        <w:spacing w:before="0" w:after="0" w:line="360"/>
        <w:ind w:right="0" w:left="0" w:firstLine="90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que se pretende analisar no presente estudo são as motivações, as principais dificuldades das mulheres, protagonistas de sua própria história, enquanto candidatas a cargos eletivos e sua inserção política nos cargos do Poder Legislativo no município de Itajaí/SC. </w:t>
      </w:r>
    </w:p>
    <w:p>
      <w:pPr>
        <w:spacing w:before="0" w:after="0" w:line="360"/>
        <w:ind w:right="0" w:left="0" w:firstLine="90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Para desenvolver este estudo utilizou-se como recurso metodológico o levantamento bibliográfico sobre a temática, partindo das áreas sociais, especificamente, os estudos de sociologia e antropologia política.</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virtude da necessidade de uma maior compreensão dos dados coletados, a amostra não-probabilística tornou-se a melhor opção. Para tal, foi previsto a seleção das entrevistadas que, a priori, foi determinado pela ocupação do cargo eletivo. Assim, foram entrevistadas sete, das doze mulheres, que conseguiram se eleger no município de Itajaí desde o ano de 1970. Atualmente apenas uma mulher integra a Câmara de Vereadores do referido município, cujas questões abordadas dizem respeito à participação feminina na política, as facilidades e adversidades identificadas pelas entrevistadas para participarem do processo político eleitoral.</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Objetivando compreender como se inserem as mulheres no campo da política, recorreu-se a procedimentos teórico-metodológicos que orientaram a presente investigação, bem como as mudanças ocorridas no pensamento social brasileiro no que diz respeito à atuação da mulher nas atividades políticas.</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Há ainda que se considerar que “o acoplamento entre política e subjetividade conduz sempre a resultados variáveis”, a exemplo do que registraram Goldmann e Sant`Ana (1999, p. 139). Isto nos induz a compreendermos, auxiliados pela teoria das representações sociais, os significados da inserção das mulheres, foco da presente investigação, atribuído pelas mesmas ao ingressarem na vida política. Ou seja, o que significa para estas mulheres ingressar na vida política em um país que historicamente teve o predomínio dos homens nesta arena social? </w:t>
      </w:r>
    </w:p>
    <w:p>
      <w:pPr>
        <w:tabs>
          <w:tab w:val="left" w:pos="900" w:leader="none"/>
        </w:tabs>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Para analisar os dados relativos a esta pesquisa recorreu-se à teoria das representações sociais. Esta teoria nos orienta a captar a realidade dinâmica e complexa das práticas políticas por meio das representações sociais, identificada por Moscovici (2003) como sendo constituídas por um sistema de valores, idéias e práticas, que estabelece uma ordem possibilitando às pessoas orientar-se em seu mundo material e social e também comunicar-se com os membros de uma comunidade, fornecendo-lhes um código para nomear e classificar os vários aspectos de seu mundo e da sua história individual e social. </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Partindo da perspectiva destes e de outros autores, Minayo define “representações sociais como categorias de pensamento que expressam a realidade, explicam-na, justificando-a ou questionando-a” (1998, p. 89).</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Para a mesma autora, o cotidiano vivido compõe um estoque de experiências pessoais e no conjunto com os outros atores sociais formam o senso comum, que podem ter os seus atos tipificados em seus contextos específicos. Neste sentido Jodelet afirma que “a representação social é uma forma de conhecimento socialmente elaborada e compartilhada”, que é parte do “saber de senso comum”. Este saber distingue-se do conhecimento científico, porém é tido como objeto de estudo igualmente legítimo, devido a sua importância na vida social e à elucidação que possibilita dos processos cognitivos e das interações sociais (JODELET, 2001, p. 22).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Considerando que a pesquisa qualitativa possibilita ingressar em um “espaço muito próximo à realidade empírica e totalmente ligada aos marcos conceituais do método” (Minayo, 2000, p. 99), elegeu-se como procedimentos metodológicos a elaboração de um roteiro de entrevistas “visando a apreender o ponto de vista dos atores sociais” para as questões explanadas nos objetivos da presente pesquisa.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Assim, a pesquisa de caráter qualitativo objetivou coletar as informações por meio de entrevistas semi-estruturadas (Minayo, 2000), entendendo que estas nos permitem compreender os valores culturais e as representações das mulheres candidatas sobre as questões que permeiam a presente investigação. </w:t>
      </w: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Desta forma, a coleta de dados, obtida através de entrevistas teve como intuito identificar a pluralidade de situações que vivenciam estas mulheres ao ascender ao poder político, por meio de cargos eletivos. Para tal, entrevistamos 7 mulheres de um conjunto de 12 que chegaram ao poder legislativo municipal em Itajaí.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recurso das entrevistas se justifica, na medida em que a pesquisa de campo abre um leque de conhecimentos para o pesquisador, que se aproxima de seu objeto de análise, possibilitando, inclusive, interagir com estas mulheres, cuja superação de paradigmas consagrados pela sociedade brasileira lhes permitiu adentrar na vida política. Além disso, a pesquisa de campo permitiu formular novas questões, ampliando assim o conhecimento e permitindo ao pesquisador expandir as questões mais condizentes com a sua investigação para além daquelas despertadas pelo próprio levantamento bibliográfico.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síntese, esta metodologia tem como finalidade conferir o que pensam estas mulheres e como atuam junto às instituições, no caso, a Câmara de Vereadores, bem como junto à sociedade na qual se apóiam para desenvolver o seu trabalho político.</w:t>
      </w:r>
    </w:p>
    <w:p>
      <w:pPr>
        <w:spacing w:before="0" w:after="0" w:line="360"/>
        <w:ind w:right="0" w:left="0" w:firstLine="708"/>
        <w:jc w:val="both"/>
        <w:rPr>
          <w:rFonts w:ascii="Arial" w:hAnsi="Arial" w:cs="Arial" w:eastAsia="Arial"/>
          <w:color w:val="auto"/>
          <w:spacing w:val="0"/>
          <w:position w:val="0"/>
          <w:sz w:val="24"/>
          <w:shd w:fill="auto" w:val="clear"/>
        </w:rPr>
      </w:pPr>
    </w:p>
    <w:p>
      <w:pPr>
        <w:numPr>
          <w:ilvl w:val="0"/>
          <w:numId w:val="4911"/>
        </w:numPr>
        <w:spacing w:before="0" w:after="0" w:line="360"/>
        <w:ind w:right="0" w:left="720" w:hanging="36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 histórico lugar da mulher na sociedade</w:t>
      </w:r>
    </w:p>
    <w:p>
      <w:pPr>
        <w:spacing w:before="0" w:after="0" w:line="360"/>
        <w:ind w:right="0" w:left="360" w:firstLine="0"/>
        <w:jc w:val="left"/>
        <w:rPr>
          <w:rFonts w:ascii="Arial" w:hAnsi="Arial" w:cs="Arial" w:eastAsia="Arial"/>
          <w:b/>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pensamento de que não se nasce mulher, mas torna-se mulher, desconstrói muitos paradigmas, rompendo com a tradição de naturalizar o fenômeno, pensando na questão de gênero e não apenas sexo.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meio em que vivemos, podemos identificar uma série de movimentos corporais socialmente produzidos e reproduzidos que fazem com que a mulher imperceptivelmente, se submeta à vontade dos dominantes (BOURDIEU, 2005), em decorrência de que a preocupação não está centrada em como ela se percebe, mas sim como ela é percebida pelos outros.</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Partindo deste pressuposto podemos afirmar que as mulheres não são descritas, e sim imaginadas ou representadas, tornando-as meras espectadoras de si mesmas (PERROT, 2007), utilizando-se estereótipos para qualificá-las, inculcando-lhes modos de pensar, agir, dizendo a elas o que são ou o que devem fazer.</w:t>
      </w:r>
    </w:p>
    <w:p>
      <w:pPr>
        <w:spacing w:before="0" w:after="200" w:line="360"/>
        <w:ind w:right="0" w:left="0" w:firstLine="708"/>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Para Bourdieu (2001), não há ruptura entre o </w:t>
      </w:r>
      <w:r>
        <w:rPr>
          <w:rFonts w:ascii="Arial" w:hAnsi="Arial" w:cs="Arial" w:eastAsia="Arial"/>
          <w:color w:val="auto"/>
          <w:spacing w:val="0"/>
          <w:position w:val="0"/>
          <w:sz w:val="24"/>
          <w:shd w:fill="auto" w:val="clear"/>
        </w:rPr>
        <w:t xml:space="preserve">presente e o passado, fazendo com que a tradição e o presente se relacionem por meio do </w:t>
      </w:r>
      <w:r>
        <w:rPr>
          <w:rFonts w:ascii="Arial" w:hAnsi="Arial" w:cs="Arial" w:eastAsia="Arial"/>
          <w:i/>
          <w:color w:val="auto"/>
          <w:spacing w:val="0"/>
          <w:position w:val="0"/>
          <w:sz w:val="24"/>
          <w:shd w:fill="auto" w:val="clear"/>
        </w:rPr>
        <w:t xml:space="preserve">habitus</w:t>
      </w:r>
      <w:r>
        <w:rPr>
          <w:rFonts w:ascii="Arial" w:hAnsi="Arial" w:cs="Arial" w:eastAsia="Arial"/>
          <w:color w:val="000000"/>
          <w:spacing w:val="0"/>
          <w:position w:val="0"/>
          <w:sz w:val="24"/>
          <w:shd w:fill="auto" w:val="clear"/>
        </w:rPr>
        <w:t xml:space="preserve"> que vai interiorizar o exterior e exteriorizar o interior. Tal dinâmica funciona como matriz perceptora, fazendo com que nossos comportamentos sejam percebidos como produtos de trajetórias anteriores.</w:t>
      </w:r>
    </w:p>
    <w:p>
      <w:pPr>
        <w:spacing w:before="0" w:after="200" w:line="360"/>
        <w:ind w:right="0" w:left="0" w:firstLine="708"/>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Assim, não podemos deixar de mencionar que desde a infância, tanto homens, quanto mulheres aprendem a maneira “correta” de agir. Enquanto aos meninos se estimula a desvinculação da mãe para que não lhes reste nada de feminino, às meninas é ensinado a aceitar o que já está previamente decidido, mesmo antes de elas nascerem, que é servir ao sexo oposto (BOURDIEU, 2005), negando-lhes, por vezes, o poder de decisão sobre suas opções profissionais, sobre atividades que gostariam e desejariam atuar.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Dessa forma, no momento em que uma criança vivencia um segundo nascimento, um nascimento social (OLIVEIRA, 1991), passa a se desvincular do mundo feminino para então incorporar valores e práticas de um mundo necessariamente masculinizado, como se existisse uma polaridade inquestionável, sendo o feminino infantil, natural, enquanto o masculino é o adulto e o social.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Há uma compreensão na sociedade de que saber e feminilidade não andam juntos, razão pela qual a mulher necessita estar sempre pronta para o ato de sedução, fragmentando seus prazeres que devem ser regidos pelos prazeres do homem.</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Um dos paradoxos de nossa cultura é que, apesar de as mulheres serem ensinadas e estimuladas desde a infância a cozinhar e a costurar na maioria das vezes são os homens que são premiados e reconhecidos como grandes estilistas ou chefes de cozinha, o que revela que nem na área considerada tradicionalmente, como de excelência feminina elas são reconhecidas.</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espaços da vida pública, também se constata que a população prefere ouvir um homem discursar, no caso de um político, por exemplo, prestando atenção em suas palavras. Quanto às mulheres, muitas vezes a atenção se volta para a verificação de sua estrutura física, cabelos, modo de se vestir, estado civil, enfim, desconsiderando suas propostas de governo.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Entretanto não se pode deixar de registrar que essas práticas ocorrem entre as próprias mulheres, que fazem isso naturalmente, sem que consigam se perceber nestas atitudes discriminatórias. Assim,</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A fala feminina no espaço público. Sofrida porque deslocada ou vivida como tal, é a fala da estrangeira, da que não domina os códigos, da que titubeia, da que se sente mal, fora de lugar (OLIVEIRA, 1991, p. 79).</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Evidencia-se a importância do discurso na medida em que este exerce e perpetua o poder (PAIVA, 2008), tornando-se assim difícil de ser revertido para uma aceitação de quem não tem uma oratória considerada própria para um político.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fala tem um conjunto de símbolos presentes no mundo social que faz com que uma mulher na prática adote um discurso que se assemelha ao de um homem, corra o risco de ser considerada “masculinizada”. Este é um dos motivos pelos quais pode ser tão difícil as mulheres adentrarem à vida pública, pois no momento em que suas práticas são orientadas por uma visão tradicionalista, ficam muitas vezes com medo de se inserirem neste mundo ainda desconhecido como é o da política, temendo o próprio fracasso.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Há que se considerar ainda que a forma preconceituosa como a mulher é tratada, por vezes aparece de uma maneira sutil como, por exemplo, impulsionando as mulheres a exercerem funções de menor visibilidade como assessorias, consultorias, acompanhamento de trabalhos cujos cargos são considerados de menor importância. Restringe-se assim, para a mulher, a capacidade de tomar decisões, por vezes aceitando-se como incapaz para exercer funções de comando.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O fato de as mulheres adentrarem a cargos tradicionalmente masculinos não significa que as trabalhadoras se emanciparam, uma vez que ainda persistem as ambigüidades (HAHNER, 1978). As mudanças que ocorreram podem não ser necessariamente maiores do que os fatos, revelados pelos cargos auxiliares ocupados por mulheres nesta sociedade ainda tão masculinizada.</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É neste jogo, na ambigüidade, que surge uma crise de identidade, ou seja, é difícil para as mulheres se reconhecerem quando precisam exercer funções na esfera pública, mantendo-se na esfera privada. Procuram lutar por diferenças que não sejam marcadas pela hierarquia e ambigüidade. Neste processo, as mulheres acabam perdendo suas identidades pelo caminho, se moldando a um padrão masculinizado em busca da “igualdade de gênero”.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construção dessa identidade resulta em uma crise psicossocial, na medida em que as mulheres ao mesmo tempo em que desejam adentrar na vida pública, continuam com boa parte de antigos valores inculcados, mantendo a posição de mãe, esposa e ao mesmo tempo profissional em busca do sucesso.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Assim, muitas mulheres não conseguem atuar profissionalmente em um ambiente masculinizado, dada a presença de uma rede intrincada de estereótipos, nos quais o cotidiano da mulher está condicionado social e historicamente, segundo o lugar em que vive, a classe social, a posição social que ocupa, etc., carregando valores introjetados, que dão sentido a sua forma de pensar e agir.</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Certamente a mulher avançou em relação ao espaço público, tornando-se sujeito de sua própria história. Contudo, ainda se perpetuam os muitos estereótipos que impõem normas de conduta, tipo físico, tom de voz, enfim, atributos insignificantes para a vida pública, mas considerados socialmente. No caso da política, é preciso mencionar que as mulheres não ocupam cargos para desfilarem, e sim para representar o povo.</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Touraine (2007)  em seus estudos chama a atenção que apesar do que é representado sobre as mulheres, estas não se consideram vítimas, não perderam sua identidade, e acreditam que podem ser protagonistas de suas próprias vidas. Portanto, não existe uma natureza feminina, uma vez que a noção de gênero é uma criação do homem enquanto dominador, e que a mulher começa a reconhecer o poder exercido sobre ela.</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Para o mesmo autor, “Definir-se como mulher significa colocar no centro da vida certo relacionamento para consigo mesma e construir uma imagem de si como mulher” (2007, p.27). Em outros termos,</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Hoje como ontem, a luta mortal não conduz ao conflito social, muito menos à formação de movimentos sociais; ela somente remete a uma contracultura que deixa o terreno livre ao individualismo mercantil e à submissão das mulheres a novas formas de dominação (TOURAINE, 2007, p.50).</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Neste sentido, a luta não é coletiva, e sim individual, na medida em que as mulheres objetivam a construção de si mesmas, deixando assim de se definirem em relação aos homens, ou a modelos culturais, mas por um conjunto de atitudes e expectativas opostas, buscando sua construção enquanto mulheres – sujeitos.</w:t>
      </w: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708"/>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RESULTADOS DA PESQUISA</w:t>
      </w:r>
    </w:p>
    <w:p>
      <w:pPr>
        <w:spacing w:before="0" w:after="0" w:line="360"/>
        <w:ind w:right="0" w:left="0" w:firstLine="708"/>
        <w:jc w:val="center"/>
        <w:rPr>
          <w:rFonts w:ascii="Arial" w:hAnsi="Arial" w:cs="Arial" w:eastAsia="Arial"/>
          <w:b/>
          <w:color w:val="auto"/>
          <w:spacing w:val="0"/>
          <w:position w:val="0"/>
          <w:sz w:val="24"/>
          <w:shd w:fill="auto" w:val="clear"/>
        </w:rPr>
      </w:pPr>
    </w:p>
    <w:p>
      <w:pPr>
        <w:numPr>
          <w:ilvl w:val="0"/>
          <w:numId w:val="4923"/>
        </w:numPr>
        <w:spacing w:before="0" w:after="0" w:line="276"/>
        <w:ind w:right="0" w:left="720" w:hanging="36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 competência política e a atuação da mulher</w:t>
      </w:r>
    </w:p>
    <w:p>
      <w:pPr>
        <w:spacing w:before="0" w:after="0" w:line="276"/>
        <w:ind w:right="0" w:left="360" w:firstLine="0"/>
        <w:jc w:val="left"/>
        <w:rPr>
          <w:rFonts w:ascii="Arial" w:hAnsi="Arial" w:cs="Arial" w:eastAsia="Arial"/>
          <w:b/>
          <w:color w:val="auto"/>
          <w:spacing w:val="0"/>
          <w:position w:val="0"/>
          <w:sz w:val="24"/>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Quando questionadas sobre se haviam sentido alguma dúvida por parte de seus pares sobre sua competência na atuação do cargo de vereadores, apenas uma das entrevistadas ressaltou um sentimento de igualdade de gênero, não só durante a campanha, como também durante as sessões.</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Entretanto, seis das entrevistadas responderam que de alguma forma, implícita ou explicitamente, sentiram a necessidade de provar a sua competência, para marcar a sua atuação enquanto mulheres que acenderam ao poder político. Ou seja, as mulheres tiveram que mostrar que eram tão competentes quanto os homens que atuavam na mesma casa legislativa.</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É preciso. Por exemplo, se um homem fala uma bobagenzinha qualquer, ele dificilmente é notado, agora se uma mulher fala uma bobagenzinha qualquer, ela é notada, é apontada, nossa, mas que mulher burrinha, não sabe o que tá fazendo. Então eles falam só podia ser mulher (Entrevistada 3).</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Ao que tudo indica, há ainda uma naturalização sobre a competência dos homens e a incompetência das mulheres para os cargos públicos, que Bourdieu (2001) identificou como uma naturalização da desigualdade entre agentes que partilham dos mesmos valores sociais, cuja desigualdade se expressa pela violência simbólica, como alertou o mesmo autor. Esta violência se manifesta de um modo geral de forma implícita, com insinuações, olhares, sorrisos sarcásticos, enfim, códigos com significados que partilhamos socialmente, coibindo o dominado para que deixe de se submeter à dominação. </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Um dado igualmente importante a ser analisado é a qualificação de cada entrevistada, pois a maioria possui curso superior, sendo que boa parte dos homens que faziam ou fazem parte do poder legislativo do município de Itajaí, não têm ou tiveram esta formação.</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As entrevistadas, ao serem questionadas sobre a existência de machismo na política, a maioria reconheceu que há um machismo exacerbado na arena política, sendo que uma delas fez o seguinte comentário: </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É e muito, isso é cultural, isso faz parte do homem, toda a história de mulher foi registrada pelo homem, então  tem muito machismo nisso. Eu me lembro de uma vez que eu fui fazer um discurso aqui em Itajaí e uma pessoa gritou: “Vai lavar roupa, vai pra casa cozinhar, aqui não é lugar de mulher”, então tem muito machismo ainda, as coisas vão mudando, vão. Até ter um nível de pessoas mais educadas, mais instruídas, mas se você for levar em conta, a mulher ainda é vista como uma pessoa inferior. Quando um homem vai discutir com uma mulher, por exemplo, é muito difícil a mulher “peitar” um homem, então é muito machista (Entrevistada 5).</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Este comentário, expressa um conjunto de valores, símbolos e signos que perpetuam o poder masculino, porque temos espaços socialmente demarcados como masculinos ou femininos, e, o espaço da política ainda é reconhecidamente masculino. Por esta razão, se estabelecem confrontos na atualidade, por valores historicamente inculcados na sociedade. Assim, enquanto o lugar público é o espaço privilegiado dos homens, por oposição, a vida privada torna-se, essencialmente, feminina, como se a mulher tivesse nascido para cuidar dos afazeres domésticos, filhos e marido, impedindo-a de se dedicar à vida pública.</w:t>
      </w:r>
    </w:p>
    <w:p>
      <w:pPr>
        <w:spacing w:before="0" w:after="0" w:line="360"/>
        <w:ind w:right="0" w:left="0" w:firstLine="0"/>
        <w:jc w:val="both"/>
        <w:rPr>
          <w:rFonts w:ascii="Arial" w:hAnsi="Arial" w:cs="Arial" w:eastAsia="Arial"/>
          <w:color w:val="auto"/>
          <w:spacing w:val="0"/>
          <w:position w:val="0"/>
          <w:sz w:val="24"/>
          <w:shd w:fill="auto" w:val="clear"/>
        </w:rPr>
      </w:pPr>
    </w:p>
    <w:p>
      <w:pPr>
        <w:numPr>
          <w:ilvl w:val="0"/>
          <w:numId w:val="4932"/>
        </w:numPr>
        <w:spacing w:before="0" w:after="0" w:line="360"/>
        <w:ind w:right="0" w:left="720" w:hanging="36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 espaço da política: vida privada </w:t>
      </w:r>
      <w:r>
        <w:rPr>
          <w:rFonts w:ascii="Arial" w:hAnsi="Arial" w:cs="Arial" w:eastAsia="Arial"/>
          <w:b/>
          <w:i/>
          <w:color w:val="auto"/>
          <w:spacing w:val="0"/>
          <w:position w:val="0"/>
          <w:sz w:val="24"/>
          <w:shd w:fill="auto" w:val="clear"/>
        </w:rPr>
        <w:t xml:space="preserve">versus</w:t>
      </w:r>
      <w:r>
        <w:rPr>
          <w:rFonts w:ascii="Arial" w:hAnsi="Arial" w:cs="Arial" w:eastAsia="Arial"/>
          <w:b/>
          <w:color w:val="auto"/>
          <w:spacing w:val="0"/>
          <w:position w:val="0"/>
          <w:sz w:val="24"/>
          <w:shd w:fill="auto" w:val="clear"/>
        </w:rPr>
        <w:t xml:space="preserve"> vida pública</w:t>
      </w:r>
    </w:p>
    <w:p>
      <w:pPr>
        <w:spacing w:before="0" w:after="0" w:line="360"/>
        <w:ind w:right="0" w:left="360" w:firstLine="0"/>
        <w:jc w:val="left"/>
        <w:rPr>
          <w:rFonts w:ascii="Arial" w:hAnsi="Arial" w:cs="Arial" w:eastAsia="Arial"/>
          <w:b/>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 relação à importância que cada entrevistada dá ao peso que é atribuído à vida pessoal de um homem e de uma mulher (estado civil, relacionamento com os filhos, relacionamentos extra-conjugais...) constatamos que a maioria das entrevistadas acredita haver diferença. Confirmam que homens e mulheres são educados para pensarem e agirem diferentemente, ou seja, a mesma atitude pode ser condenada quando realizada por uma mulher, e positivada quando realizada por um homem. </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homem tudo pode, um exemplo, nós íamos em festas, isso no meu tempo, então nessa festa se estivessem jornalistas, a preocupação era com o comportamento da vereadora, se ela tá bebendo muito e qualquer deslize da vereadora ia para a imprensa, então no outro dia já estava lá estampadinho, então se a mulher tomou um wisque eles já diziam que ela tinha tomado um porre. E o vereador não, o vereador pode falar um palavrão no meio da festa ou derrubar alguém no chão, não, não era importante (Entrevistada 6).</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falas nos remetem à análise de DaMatta refletindo sobre os espaços que assumem sentidos e “permitem normalizar e moralizar o comportamento por meio de perspectivas próprias” (1985, p. 41). Assim, estão previstos comentários, e reprodução de comportamentos culturais, socialmente construídos, os quais distinguem os papéis que se espera de homens e mulheres, onde as mesmas atitudes que são valorizadas entre os homens, quando ocorre entre as mulheres são depreciadas. Esta distinção contribui para marcar as diferenças, sejam elas de ordem sócio-político ou culturais.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Segundo Kolontai (2008), as virtudes femininas aceitas e introjetadas ao longo de anos, tornam-se inúteis e inclusive prejudiciais quando marcam desigualdades entre atores potencialmente iguais. Assim, para que a mulher consiga se consolidar na vida pública, não só na política como em muitas profissões, precisa de firmeza e persistência para modificar paradigmas ainda reproduzidos pela sociedade. A mulher necessita se sobrepujar nesta desvalorização de sua própria identidade, tornando-se necessário uma discussão efetiva sobre as diversas formas de pensar a questão de gênero.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preconceito constitui uma forma de violência presente em diversas relações sociais. Esta violência pode ser inclusive simbólica, como é o caso indicado pelas entrevistadas em suas falas, nas quais identificam a estereotipação da participação da mulher na política.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Apesar da maioria das entrevistadas considerar o âmbito da política essencialmente machista, afirmaram que nunca sofreram preconceitos por serem mulheres. Entretanto uma entrevistada foi taxativa, identificando o preconceito:</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Teve uma sessão que eu pedi uma parte, e um vereador ficou de costas pra mim e me cortou se dirigindo ao presidente, que era um homem, então eu acho que ele não me deu importância devida, e quando um vereador pedia uma parte, todo mundo se concentrava no que o vereador ia falar, e quando a mulher pedia, geralmente eles se viravam, fingiam que estavam lendo um jornal, um projeto, então isso realmente era demais. Eles realmente não te escutavam, eles não te olhavam, e só faltava eles dizerem: Vai lavar louça, mas eles não faziam isso porque tinham que respeitar (Entrevistada 6).</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preconceito tem como prática a discriminação e a exclusão como relatou a entrevistada. É preciso mencionar, entretanto, que o preconceito explícito pode estar desaparecendo, até porque é moralmente condenado e está sujeito à punição jurídica, o que o torna cada vez mais sutil e disfarçado.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preconceito está presente na linguagem, na imagem, nos atributos corporais e psicológicos, nos espaços, enfim em diversas situações, nas quais muitas vezes a violência simbólica apresenta-se implícita, de forma evasiva, tornando difícil o seu diagnóstico. Vejamos a seguinte afirmação:</w:t>
      </w: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É no cotidiano, isso não é muito explícito, o homem não diz assim: Eu não confio em ti, mas isso permeia o cotidiano, sabemos que tem, eu não tenho nada que marcou pelo fato de eu ser mulher, porque quando você vê acontecendo, quando é explícito, você contesta, mas quando é implícito, você não pode fazer nada (Entrevistada 7).</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Este relato expressa explicitamente que as mulheres continuam sofrendo preconceitos em muitas situações do dia-a-dia, mas, por outro lado, elas também continuam reconhecendo o poder masculino, tornando-se difícil modificar o presente. Ou seja, há ainda um reconhecimento social historicamente perpetuado de que a vida extramuros deva ser ocupada pelos homens. </w:t>
      </w:r>
    </w:p>
    <w:p>
      <w:pPr>
        <w:spacing w:before="0" w:after="20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igualdade não pode ser decretada, apenas construída através de um árduo trabalho, porém, o primeiro passo é assumir que o preconceito existe, e que essa visão está ultrapassada, fazendo-se necessário novas formas de relação, não apenas no papel, mas através das práticas que permeiam nosso  cotidiano.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Ao serem questionadas sobre o fato de que por serem mulheres, se isso facilitou ou dificultou o destaque no meio político, a maioria respondeu que o sexo não fez a diferença, e sim a trajetória que cada uma percorreu. Constata-se que a inserção em atividades comunitárias é relevante para quem deseja se inserir nas atividades de caráter político partidário ou em cargos eletivos.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 número de mulheres que exercem cargos políticos é bastante reduzido, havendo necessidade de se considerar um conjunto de fatores que se impõem para que as mesmas ingressem na vida pública. Entre estes fatores estão a disponibilidade de tempo, energia física e dinheiro, lembrando ainda que, grande parte das mulheres acumulam atividades como os cuidados da casa e da família. Nestes casos, necessitam do apoio da família para se dedicar à vida pública. Enquanto a mulher não se desvencilhar da dupla jornada de trabalho e das atribuições de educar os filhos, por vezes, sem apoio de seu companheiro, reduzem-se as possibilidades de atuar politicamente. É esta uma das razões pelas quais a política é masculinizada, uma vez que historicamente os homens foram liberados de educar e cuidar de seus filhos, cabendo a ele apenas as atividades públicas e pouco ou nenhum envolvimento com as atividades domesticas e familiares.</w:t>
      </w: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p>
    <w:p>
      <w:pPr>
        <w:numPr>
          <w:ilvl w:val="0"/>
          <w:numId w:val="4944"/>
        </w:numPr>
        <w:spacing w:before="0" w:after="0" w:line="240"/>
        <w:ind w:right="0" w:left="720" w:hanging="36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Atuando na política: diferenças e semelhanças</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Semelhante ao que constatou Pinto (1998) em sua pesquisa realizada em Porto Alegre (RS), também no caso em estudo verificou-se que as mulheres, ao atuarem no poder público, mais especificamente na câmara municipal, se restringiram a tratar de assuntos e temas “femininos”. </w:t>
      </w: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Atributos como sensibilidade, organização, delicadeza, seriedade, paciência, maior preocupação com o social, com a qualidade de vida das pessoas, são claramente identificados em todas as respostas das entrevistadas, como sendo prioritariamente do mundo das mulheres. Ainda que algumas entrevistadas acreditam existir diferenças entre pessoas e não entre gênero, complementam seus comentários ressaltando as características especialmente femininas na forma de governar ou em aprovar os projetos.</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mulher é mais trabalhadora, pensa mais, pensa bastante, e já começa pela casa da gente, a mulher sabe o que o Brasil precisa, o que a cidade precisa, é mais organizada. A mulher é mais humana, mais delicada (Entrevistada 1).</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mulher quando vota ou trabalha, ela põe o coração mais a razão junto e o homem é só a prática, ele não analisa o que que pode vir a sofrer depois, e a mulher quando aprova um projeto já pensa assim: Será que o povo vai comer? Então a mulher pensa no bem estar das pessoas (Entrevistada 6).</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709"/>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Um tema recorrente nas falas das entrevistadas é a característica feminina preventiva. Ou seja, em sua opinião, a mulher pensa mais antes de tomar uma decisão, assim, a torna mais ponderada, com probabilidades maiores de acerto. Ou, como registrou Pinto (1998, p. 146) “há uma forma feminina de fazer política”. Os homens, a seu ver, são mais imediatistas. Outro aspecto que chama a atenção é o discurso mais “humano” da mulher, diferença esta valorizada, que repercute na sua forma de legislar, cuja preocupação primeira está relacionada com o social, reconhecendo como um valor positivo para ser incorporado pela política.</w:t>
      </w:r>
    </w:p>
    <w:p>
      <w:pPr>
        <w:spacing w:before="0" w:after="0" w:line="360"/>
        <w:ind w:right="0" w:left="0" w:firstLine="709"/>
        <w:jc w:val="both"/>
        <w:rPr>
          <w:rFonts w:ascii="Arial" w:hAnsi="Arial" w:cs="Arial" w:eastAsia="Arial"/>
          <w:color w:val="auto"/>
          <w:spacing w:val="0"/>
          <w:position w:val="0"/>
          <w:sz w:val="24"/>
          <w:shd w:fill="auto" w:val="clear"/>
        </w:rPr>
      </w:pPr>
    </w:p>
    <w:p>
      <w:pPr>
        <w:numPr>
          <w:ilvl w:val="0"/>
          <w:numId w:val="4949"/>
        </w:numPr>
        <w:spacing w:before="0" w:after="0" w:line="276"/>
        <w:ind w:right="0" w:left="720" w:hanging="36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Construindo a igualdade</w:t>
      </w:r>
    </w:p>
    <w:p>
      <w:pPr>
        <w:spacing w:before="0" w:after="0" w:line="276"/>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Em relação às contribuições para que o processo político eleitoral seja mais democrático, no sentido de acolher os diversos segmentos da sociedade, entre estes as diversas minorias, objetivando a representação efetiva de todos. Conferiu-se, assim, que a maioria das entrevistadas opinou favoravelmente à participação das mulheres na política. </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Considerando que a participação é um processo histórico de conquista da autopromoção, ou seja, expressa a capacidade de auto-sustentação, cujo pressuposto indica que o sujeito será objeto de manipulação e não ator de sua própria história, como ressalta Demo (1987). Neste sentido, a participação das entrevistadas na vida política também foi ressaltado como uma contribuição para o processo democrático. </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Primeiro se inserindo no meio da política, se inserir porque temos poucas mulheres na política hoje, se inserindo porque temos grandes mulheres nesse meio hoje, então enquanto a gente não fazer isso, a política vai ser sempre dos homens (Entrevistada 4).</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A participação tem como requisito primeiro a busca por resultados que beneficiem ao maior número de pessoas possíveis. É o que Benevides (1994) chamou de cidadania ativa, que além de envolver maior número de cidadãos, impede que uma pequena elite tome as decisões por todos. Assim quanto mais democráticas e participativas forem as decisões, terão maior legitimidade.</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Entretanto, algumas pessoas parecem que só se sentem cidadãs, ou seja, agentes transformadores da política atual, no momento do sufrágio. Não dão a devida importância ao quesito participação, razão pela qual o exercício da cidadania termina no dia da eleição, e tanto o candidato quanto o eleitor, que se transforma em mero expectador, esquecem-se de seus direitos e deveres de cidadãos.</w:t>
      </w:r>
    </w:p>
    <w:p>
      <w:pPr>
        <w:spacing w:before="0" w:after="0" w:line="240"/>
        <w:ind w:right="0" w:left="2268"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Votar certo, só isso. Aí você pode me perguntar: mas como uma mulher faz para votar certo? precisa ler jornal, se informar sabe, porque muitas mulheres só abrem o jornal pra ler sobre cinema, sobre horóscopo, moda, e não lêem sobre a política (Entrevistada 5).</w:t>
      </w:r>
    </w:p>
    <w:p>
      <w:pPr>
        <w:spacing w:before="0" w:after="0" w:line="240"/>
        <w:ind w:right="0" w:left="2268" w:firstLine="0"/>
        <w:jc w:val="both"/>
        <w:rPr>
          <w:rFonts w:ascii="Arial" w:hAnsi="Arial" w:cs="Arial" w:eastAsia="Arial"/>
          <w:color w:val="auto"/>
          <w:spacing w:val="0"/>
          <w:position w:val="0"/>
          <w:sz w:val="22"/>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entrevistada ressalta a presença da alienação política da mulher que, como outros cidadãos, não se insere nas questões políticas, desconhece seus direitos e obrigações relativos à escolha de nossos representantes.</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Para Zimmermann (1996) a política não pode ser resumida ao ato de votar, mas deve ser compreendida segundo a participação nas decisões do Estado e da Nação, a fim de desempenhar funções relevantes para o bom andamento da política local e nacional.</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 xml:space="preserve">O processo político em sua complexidade inclui as eleições como parte da educação política, em que o ato de votar só se aprende votando. É necessário ressaltar neste processo a importância do quesito participação, para que surjam mais candidatas preparadas, e para que o próprio eleitorado, ao invés da apatia que tomou conta do povo brasileiro quando se fala de política, </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 transforme em cenário de discussão e ação cidadã. Mas para que tudo isso seja possível, é necessário garantir ao povo informação sobre as propostas e que estas sejam discutidas através de canais institucionais, abrindo espaços para que os cidadãos saibam como ocorre a apresentação e aprovação (referendo e plebiscitos) de projetos de iniciativa popular (BENEVIDES, 1994).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mulheres precisam compreender que exercem um significativo poder, mesmo que este se restrinja ao âmbito doméstico, ainda assim, estão ligadas à política, por meio das relações de poder presentes em seus lares. No entanto, muitas argumentam não gostarem de política, que estão descrentes e por isso não almejam se inserir no processo político decisório.</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É preciso ressaltar, entretanto, que essa participação não precisa estar atrelada à política formal, mas ela pode ocorrer em trabalhos voluntários, trabalhos sociais, em atividades locais, cuja participação da mulher na política formal, ainda é pouco relevante. Entretanto, é preciso que se reconheça que na política informal, sua participação é significativa, até porque não exige muito tempo fora de casa (AVELAR, 2001).</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Sinteticamente pode-se afirmar, semelhante ao que registrou Barreira: “a participação das mulheres na política é assim condicionada pela construção de um espaço de reconhecimento que demanda provas de competência e reversão de estigmas culturalmente sedimentados” (1998, p. 184). </w:t>
      </w: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CONSIDERAÇÕES FINAIS</w:t>
      </w:r>
    </w:p>
    <w:p>
      <w:pPr>
        <w:spacing w:before="0" w:after="0" w:line="360"/>
        <w:ind w:right="0" w:left="0" w:firstLine="0"/>
        <w:jc w:val="center"/>
        <w:rPr>
          <w:rFonts w:ascii="Arial" w:hAnsi="Arial" w:cs="Arial" w:eastAsia="Arial"/>
          <w:b/>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presente trabalho procurou-se identificar os motivos para a reduzida participação da mulher na política, partindo de entrevistas realizadas com mulheres que conseguiram adentrar ao poder público, ainda que tenham encontrado barreiras, uma vez que este mundo é predominantemente ocupado pelos homens.</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Ao que tudo indica, as mulheres necessitam estarem mais preparadas intelectualmente do que os homens, o que acarreta em um número significativo de mulheres com curso superior, tornando-as mais confiantes para discutir as propostas e analisar os projetos, mas revela, por outro lado, que essa mesma qualificação não é exigida dos homens. </w:t>
      </w: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Constatou-se, no decorrer das entrevistas, que as propostas e projetos políticos apresentados por homens e mulheres são diferentes, através dos quais a mulher dá maior importância aos programas sociais, apresentando-se “mais humana”, “mais sensível”. Estes interesses temáticos são valorizados e marcam diferenças entre mulheres e homens públicos. Enquanto os homens públicos priorizam tratar de questões relativas aos aspectos econômicos, relações internacionais etc, as mulheres procuram centrar nas demandas sociais que dizem respeito às áreas da saúde, educação, etc. Isso pode ser decorrente da própria demanda da sociedade, que continua entendendo, por um lado, que estas áreas são de âmbito feminino, e, por outro, pode ressaltar a carência da sociedade no que diz respeito a setores fundamentais para que se tenha uma vida digna.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Constatou-se ainda que apesar de a maioria das mulheres não reconhecer o preconceito como prática introjetada na sociedade quanto à inserção da mulher na política, continuam as práticas discriminatórias, muitas vezes ocorrendo de forma subterfugia. Este escamoteamento torna difícil a sua identificação, expressa por olhares significativos, risos sarcásticos ou piadas, ou como afirmou uma entrevistada, “deixando uma mulher falando sozinha no meio de uma Sessão na Câmara Legislativa”.</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mulheres precisam se perceber enquanto gênero, enquanto cidadãs com capacidade para assumir qualquer cargo político, reagindo ao machismo e aos valores tradicionais impostos. Da mesma forma, não podem continuar acreditando que as mulheres não têm oportunidades para fazerem parte das atividades políticas, mas não se interessam pela política - discurso este muito utilizado como justificativa por parte dos partidos políticos para a reduzida participação feminina. As mulheres necessitam marcar seus espaços nos diversos setores públicos, independente destes terem sido ocupados historicamente por homens, mas com propósitos reivindicativos de direitos de cidadãs, cujo respeito deve se estender a todos os membros da sociedade, tal qual apregoa a Constituição brasileira.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É imprescindível enfatizar a relevância da participação das mulheres na vida política, seja ela institucional ou não, pois em uma associação de moradores, clube de mães, ou outra instituição, estarão fazendo a sua contribuição para que a sociedade se torne mais justa e igualitária, ou tornando a sociedade mais politizada. </w:t>
      </w:r>
    </w:p>
    <w:p>
      <w:pPr>
        <w:spacing w:before="0" w:after="0" w:line="36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Por fim, acredita-se que a valorização da participação da mulher na política poderá estimular o desafio de repensar os valores e modificar as práticas socialmente impostas para tornarmos o processo político eleitoral mais democrático.</w:t>
      </w:r>
    </w:p>
    <w:p>
      <w:pPr>
        <w:spacing w:before="0" w:after="0" w:line="360"/>
        <w:ind w:right="0" w:left="0" w:firstLine="708"/>
        <w:jc w:val="both"/>
        <w:rPr>
          <w:rFonts w:ascii="Arial" w:hAnsi="Arial" w:cs="Arial" w:eastAsia="Arial"/>
          <w:color w:val="auto"/>
          <w:spacing w:val="0"/>
          <w:position w:val="0"/>
          <w:sz w:val="24"/>
          <w:shd w:fill="auto" w:val="clear"/>
        </w:rPr>
      </w:pPr>
    </w:p>
    <w:p>
      <w:pPr>
        <w:spacing w:before="0" w:after="0" w:line="360"/>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REFERÊNCIAS</w:t>
      </w:r>
    </w:p>
    <w:p>
      <w:pPr>
        <w:spacing w:before="0" w:after="0" w:line="360"/>
        <w:ind w:right="0" w:left="0" w:firstLine="0"/>
        <w:jc w:val="center"/>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AVELAR, Lúcia. </w:t>
      </w:r>
      <w:r>
        <w:rPr>
          <w:rFonts w:ascii="Arial" w:hAnsi="Arial" w:cs="Arial" w:eastAsia="Arial"/>
          <w:b/>
          <w:color w:val="auto"/>
          <w:spacing w:val="0"/>
          <w:position w:val="0"/>
          <w:sz w:val="24"/>
          <w:shd w:fill="auto" w:val="clear"/>
        </w:rPr>
        <w:t xml:space="preserve">Mulheres na elite política brasileira</w:t>
      </w:r>
      <w:r>
        <w:rPr>
          <w:rFonts w:ascii="Arial" w:hAnsi="Arial" w:cs="Arial" w:eastAsia="Arial"/>
          <w:color w:val="auto"/>
          <w:spacing w:val="0"/>
          <w:position w:val="0"/>
          <w:sz w:val="24"/>
          <w:shd w:fill="auto" w:val="clear"/>
        </w:rPr>
        <w:t xml:space="preserve">. São Paulo: Editora UNESP, 2001.</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BARREIRA, Irlys Alencar Firmo. Entre mulheres: jogo de identificações e diferenças em campanhas eleitorais. In: BARREIRA, Irlys e PALMEIRA, Moacir. </w:t>
      </w:r>
      <w:r>
        <w:rPr>
          <w:rFonts w:ascii="Arial" w:hAnsi="Arial" w:cs="Arial" w:eastAsia="Arial"/>
          <w:b/>
          <w:color w:val="auto"/>
          <w:spacing w:val="0"/>
          <w:position w:val="0"/>
          <w:sz w:val="24"/>
          <w:shd w:fill="auto" w:val="clear"/>
        </w:rPr>
        <w:t xml:space="preserve">Candidatos e candidaturas: </w:t>
      </w:r>
      <w:r>
        <w:rPr>
          <w:rFonts w:ascii="Arial" w:hAnsi="Arial" w:cs="Arial" w:eastAsia="Arial"/>
          <w:color w:val="auto"/>
          <w:spacing w:val="0"/>
          <w:position w:val="0"/>
          <w:sz w:val="24"/>
          <w:shd w:fill="auto" w:val="clear"/>
        </w:rPr>
        <w:t xml:space="preserve">enredos de campanha eleitoral no Brasil. São Paulo: Annablume, 1998.</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BENEVIDES, Vitória Maria. Democracia e Cidadania: A luta pela Cidadania: Desafios e perspectivas. São Paulo: </w:t>
      </w:r>
      <w:r>
        <w:rPr>
          <w:rFonts w:ascii="Arial" w:hAnsi="Arial" w:cs="Arial" w:eastAsia="Arial"/>
          <w:b/>
          <w:color w:val="auto"/>
          <w:spacing w:val="0"/>
          <w:position w:val="0"/>
          <w:sz w:val="24"/>
          <w:shd w:fill="auto" w:val="clear"/>
        </w:rPr>
        <w:t xml:space="preserve">Revista Pólis</w:t>
      </w:r>
      <w:r>
        <w:rPr>
          <w:rFonts w:ascii="Arial" w:hAnsi="Arial" w:cs="Arial" w:eastAsia="Arial"/>
          <w:color w:val="auto"/>
          <w:spacing w:val="0"/>
          <w:position w:val="0"/>
          <w:sz w:val="24"/>
          <w:shd w:fill="auto" w:val="clear"/>
        </w:rPr>
        <w:t xml:space="preserve">, 1994, n</w:t>
      </w:r>
      <w:r>
        <w:rPr>
          <w:rFonts w:ascii="Arial" w:hAnsi="Arial" w:cs="Arial" w:eastAsia="Arial"/>
          <w:color w:val="auto"/>
          <w:spacing w:val="0"/>
          <w:position w:val="0"/>
          <w:sz w:val="24"/>
          <w:shd w:fill="auto" w:val="clear"/>
          <w:vertAlign w:val="superscript"/>
        </w:rPr>
        <w:t xml:space="preserve">º </w:t>
      </w:r>
      <w:r>
        <w:rPr>
          <w:rFonts w:ascii="Arial" w:hAnsi="Arial" w:cs="Arial" w:eastAsia="Arial"/>
          <w:color w:val="auto"/>
          <w:spacing w:val="0"/>
          <w:position w:val="0"/>
          <w:sz w:val="24"/>
          <w:shd w:fill="auto" w:val="clear"/>
        </w:rPr>
        <w:t xml:space="preserve">14, p. 11-19.</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BOURDIEU, Pierre. </w:t>
      </w:r>
      <w:r>
        <w:rPr>
          <w:rFonts w:ascii="Arial" w:hAnsi="Arial" w:cs="Arial" w:eastAsia="Arial"/>
          <w:b/>
          <w:color w:val="auto"/>
          <w:spacing w:val="0"/>
          <w:position w:val="0"/>
          <w:sz w:val="24"/>
          <w:shd w:fill="auto" w:val="clear"/>
        </w:rPr>
        <w:t xml:space="preserve">A Dominação Masculina</w:t>
      </w:r>
      <w:r>
        <w:rPr>
          <w:rFonts w:ascii="Arial" w:hAnsi="Arial" w:cs="Arial" w:eastAsia="Arial"/>
          <w:color w:val="auto"/>
          <w:spacing w:val="0"/>
          <w:position w:val="0"/>
          <w:sz w:val="24"/>
          <w:shd w:fill="auto" w:val="clear"/>
        </w:rPr>
        <w:t xml:space="preserve">. Rio de Janeiro: Editora Bertrand Brasil LTDA, 2005.</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BOURDIEU, Pierre. </w:t>
      </w:r>
      <w:r>
        <w:rPr>
          <w:rFonts w:ascii="Arial" w:hAnsi="Arial" w:cs="Arial" w:eastAsia="Arial"/>
          <w:b/>
          <w:color w:val="auto"/>
          <w:spacing w:val="0"/>
          <w:position w:val="0"/>
          <w:sz w:val="24"/>
          <w:shd w:fill="auto" w:val="clear"/>
        </w:rPr>
        <w:t xml:space="preserve">Meditações Pascalianas</w:t>
      </w:r>
      <w:r>
        <w:rPr>
          <w:rFonts w:ascii="Arial" w:hAnsi="Arial" w:cs="Arial" w:eastAsia="Arial"/>
          <w:color w:val="auto"/>
          <w:spacing w:val="0"/>
          <w:position w:val="0"/>
          <w:sz w:val="24"/>
          <w:shd w:fill="auto" w:val="clear"/>
        </w:rPr>
        <w:t xml:space="preserve">. Rio de Janeiro: Editora Bertrand Brasil, 2001. </w:t>
      </w:r>
    </w:p>
    <w:p>
      <w:pPr>
        <w:spacing w:before="0" w:after="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DAMATTA, Roberto. </w:t>
      </w:r>
      <w:r>
        <w:rPr>
          <w:rFonts w:ascii="Arial" w:hAnsi="Arial" w:cs="Arial" w:eastAsia="Arial"/>
          <w:b/>
          <w:color w:val="auto"/>
          <w:spacing w:val="0"/>
          <w:position w:val="0"/>
          <w:sz w:val="24"/>
          <w:shd w:fill="auto" w:val="clear"/>
        </w:rPr>
        <w:t xml:space="preserve">A casa e a rua:</w:t>
      </w:r>
      <w:r>
        <w:rPr>
          <w:rFonts w:ascii="Arial" w:hAnsi="Arial" w:cs="Arial" w:eastAsia="Arial"/>
          <w:color w:val="auto"/>
          <w:spacing w:val="0"/>
          <w:position w:val="0"/>
          <w:sz w:val="24"/>
          <w:shd w:fill="auto" w:val="clear"/>
        </w:rPr>
        <w:t xml:space="preserve"> espaço, cidadania, mulher e morte no Brasil. São Paulo: Brasiliense, 1985.</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DEMO, Pedro. Riscos e Desafios de Processos Participativos. Recife: </w:t>
      </w:r>
      <w:r>
        <w:rPr>
          <w:rFonts w:ascii="Arial" w:hAnsi="Arial" w:cs="Arial" w:eastAsia="Arial"/>
          <w:b/>
          <w:color w:val="auto"/>
          <w:spacing w:val="0"/>
          <w:position w:val="0"/>
          <w:sz w:val="24"/>
          <w:shd w:fill="auto" w:val="clear"/>
        </w:rPr>
        <w:t xml:space="preserve">Cadernos de Estudos Sociais</w:t>
      </w:r>
      <w:r>
        <w:rPr>
          <w:rFonts w:ascii="Arial" w:hAnsi="Arial" w:cs="Arial" w:eastAsia="Arial"/>
          <w:color w:val="auto"/>
          <w:spacing w:val="0"/>
          <w:position w:val="0"/>
          <w:sz w:val="24"/>
          <w:shd w:fill="auto" w:val="clear"/>
        </w:rPr>
        <w:t xml:space="preserve">, 1987, vol. 3, nº1, p. 75 – 92.</w:t>
      </w:r>
    </w:p>
    <w:p>
      <w:pPr>
        <w:spacing w:before="0" w:after="0" w:line="360"/>
        <w:ind w:right="0" w:left="0" w:firstLine="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GOLDMAN, Marcio e SANT’ANNA, Ronaldo dos Santos. </w:t>
      </w:r>
      <w:r>
        <w:rPr>
          <w:rFonts w:ascii="Arial" w:hAnsi="Arial" w:cs="Arial" w:eastAsia="Arial"/>
          <w:b/>
          <w:color w:val="000000"/>
          <w:spacing w:val="0"/>
          <w:position w:val="0"/>
          <w:sz w:val="24"/>
          <w:shd w:fill="auto" w:val="clear"/>
        </w:rPr>
        <w:t xml:space="preserve">Teorias, representações e práticas</w:t>
      </w:r>
      <w:r>
        <w:rPr>
          <w:rFonts w:ascii="Arial" w:hAnsi="Arial" w:cs="Arial" w:eastAsia="Arial"/>
          <w:color w:val="000000"/>
          <w:spacing w:val="0"/>
          <w:position w:val="0"/>
          <w:sz w:val="24"/>
          <w:shd w:fill="auto" w:val="clear"/>
        </w:rPr>
        <w:t xml:space="preserve">. In: GOLDMAN, Márcio. Alguma antropologia. Rio de Janeiro: Relume Dumará, 1999.</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HAHNER, June E. </w:t>
      </w:r>
      <w:r>
        <w:rPr>
          <w:rFonts w:ascii="Arial" w:hAnsi="Arial" w:cs="Arial" w:eastAsia="Arial"/>
          <w:b/>
          <w:color w:val="auto"/>
          <w:spacing w:val="0"/>
          <w:position w:val="0"/>
          <w:sz w:val="24"/>
          <w:shd w:fill="auto" w:val="clear"/>
        </w:rPr>
        <w:t xml:space="preserve">A Mulher no Brasil</w:t>
      </w:r>
      <w:r>
        <w:rPr>
          <w:rFonts w:ascii="Arial" w:hAnsi="Arial" w:cs="Arial" w:eastAsia="Arial"/>
          <w:color w:val="auto"/>
          <w:spacing w:val="0"/>
          <w:position w:val="0"/>
          <w:sz w:val="24"/>
          <w:shd w:fill="auto" w:val="clear"/>
        </w:rPr>
        <w:t xml:space="preserve">. Rio de Janeiro, RJ: Editora Civilização Brasileira S.A, 1978.</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JODELET, Denise. </w:t>
      </w:r>
      <w:r>
        <w:rPr>
          <w:rFonts w:ascii="Arial" w:hAnsi="Arial" w:cs="Arial" w:eastAsia="Arial"/>
          <w:b/>
          <w:color w:val="auto"/>
          <w:spacing w:val="0"/>
          <w:position w:val="0"/>
          <w:sz w:val="24"/>
          <w:shd w:fill="auto" w:val="clear"/>
        </w:rPr>
        <w:t xml:space="preserve">As representações sociais.</w:t>
      </w:r>
      <w:r>
        <w:rPr>
          <w:rFonts w:ascii="Arial" w:hAnsi="Arial" w:cs="Arial" w:eastAsia="Arial"/>
          <w:color w:val="auto"/>
          <w:spacing w:val="0"/>
          <w:position w:val="0"/>
          <w:sz w:val="24"/>
          <w:shd w:fill="auto" w:val="clear"/>
        </w:rPr>
        <w:t xml:space="preserve"> Rio de Janeiro: Ed. UERJ, 2001.</w:t>
      </w:r>
    </w:p>
    <w:p>
      <w:pPr>
        <w:spacing w:before="0" w:after="20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KOLONTAI, Alexandra. </w:t>
      </w:r>
      <w:r>
        <w:rPr>
          <w:rFonts w:ascii="Arial" w:hAnsi="Arial" w:cs="Arial" w:eastAsia="Arial"/>
          <w:b/>
          <w:color w:val="auto"/>
          <w:spacing w:val="0"/>
          <w:position w:val="0"/>
          <w:sz w:val="24"/>
          <w:shd w:fill="auto" w:val="clear"/>
        </w:rPr>
        <w:t xml:space="preserve">A Nova Mulher e a Moral Sexual</w:t>
      </w:r>
      <w:r>
        <w:rPr>
          <w:rFonts w:ascii="Arial" w:hAnsi="Arial" w:cs="Arial" w:eastAsia="Arial"/>
          <w:color w:val="auto"/>
          <w:spacing w:val="0"/>
          <w:position w:val="0"/>
          <w:sz w:val="24"/>
          <w:shd w:fill="auto" w:val="clear"/>
        </w:rPr>
        <w:t xml:space="preserve">. São Paulo: Editora Expressão Popular LTDA, 2008.</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MINAYO, Maria Cecília de Souza. </w:t>
      </w:r>
      <w:r>
        <w:rPr>
          <w:rFonts w:ascii="Arial" w:hAnsi="Arial" w:cs="Arial" w:eastAsia="Arial"/>
          <w:b/>
          <w:color w:val="auto"/>
          <w:spacing w:val="0"/>
          <w:position w:val="0"/>
          <w:sz w:val="24"/>
          <w:shd w:fill="auto" w:val="clear"/>
        </w:rPr>
        <w:t xml:space="preserve">O desafio do conhecimento: </w:t>
      </w:r>
      <w:r>
        <w:rPr>
          <w:rFonts w:ascii="Arial" w:hAnsi="Arial" w:cs="Arial" w:eastAsia="Arial"/>
          <w:color w:val="auto"/>
          <w:spacing w:val="0"/>
          <w:position w:val="0"/>
          <w:sz w:val="24"/>
          <w:shd w:fill="auto" w:val="clear"/>
        </w:rPr>
        <w:t xml:space="preserve">pesquisa qualitativa em saúde. 7 ed. São Paulo: Hucitec; 2000.</w:t>
      </w:r>
    </w:p>
    <w:p>
      <w:pPr>
        <w:spacing w:before="0" w:after="20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MOSCOVICI, Serge. </w:t>
      </w:r>
      <w:r>
        <w:rPr>
          <w:rFonts w:ascii="Arial" w:hAnsi="Arial" w:cs="Arial" w:eastAsia="Arial"/>
          <w:b/>
          <w:color w:val="auto"/>
          <w:spacing w:val="0"/>
          <w:position w:val="0"/>
          <w:sz w:val="24"/>
          <w:shd w:fill="auto" w:val="clear"/>
        </w:rPr>
        <w:t xml:space="preserve">Representações Sociais: </w:t>
      </w:r>
      <w:r>
        <w:rPr>
          <w:rFonts w:ascii="Arial" w:hAnsi="Arial" w:cs="Arial" w:eastAsia="Arial"/>
          <w:color w:val="auto"/>
          <w:spacing w:val="0"/>
          <w:position w:val="0"/>
          <w:sz w:val="24"/>
          <w:shd w:fill="auto" w:val="clear"/>
        </w:rPr>
        <w:t xml:space="preserve">investigações em psicologia social. Editado em inglês por Gerard Duveen; traduzido do inglês por Pedrinho A. Guareschi. Petrópolis, (RJ): Vozes, 2003. </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OLIVEIRA, Rosiska Darcy de. </w:t>
      </w:r>
      <w:r>
        <w:rPr>
          <w:rFonts w:ascii="Arial" w:hAnsi="Arial" w:cs="Arial" w:eastAsia="Arial"/>
          <w:b/>
          <w:color w:val="auto"/>
          <w:spacing w:val="0"/>
          <w:position w:val="0"/>
          <w:sz w:val="24"/>
          <w:shd w:fill="auto" w:val="clear"/>
        </w:rPr>
        <w:t xml:space="preserve">Elogio da diferença: </w:t>
      </w:r>
      <w:r>
        <w:rPr>
          <w:rFonts w:ascii="Arial" w:hAnsi="Arial" w:cs="Arial" w:eastAsia="Arial"/>
          <w:color w:val="auto"/>
          <w:spacing w:val="0"/>
          <w:position w:val="0"/>
          <w:sz w:val="24"/>
          <w:shd w:fill="auto" w:val="clear"/>
        </w:rPr>
        <w:t xml:space="preserve">O feminino emergente. São Paulo/SP: Editora Brasiliense, 1991.</w: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PAIVA, Raquel. </w:t>
      </w:r>
      <w:r>
        <w:rPr>
          <w:rFonts w:ascii="Arial" w:hAnsi="Arial" w:cs="Arial" w:eastAsia="Arial"/>
          <w:b/>
          <w:color w:val="auto"/>
          <w:spacing w:val="0"/>
          <w:position w:val="0"/>
          <w:sz w:val="24"/>
          <w:shd w:fill="auto" w:val="clear"/>
        </w:rPr>
        <w:t xml:space="preserve">Política: </w:t>
      </w:r>
      <w:r>
        <w:rPr>
          <w:rFonts w:ascii="Arial" w:hAnsi="Arial" w:cs="Arial" w:eastAsia="Arial"/>
          <w:color w:val="auto"/>
          <w:spacing w:val="0"/>
          <w:position w:val="0"/>
          <w:sz w:val="24"/>
          <w:shd w:fill="auto" w:val="clear"/>
        </w:rPr>
        <w:t xml:space="preserve">palavra feminina. Rio de Janeiro: Editora Mauad X, 2008.</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PERROT, Michelle. </w:t>
      </w:r>
      <w:r>
        <w:rPr>
          <w:rFonts w:ascii="Arial" w:hAnsi="Arial" w:cs="Arial" w:eastAsia="Arial"/>
          <w:b/>
          <w:color w:val="auto"/>
          <w:spacing w:val="0"/>
          <w:position w:val="0"/>
          <w:sz w:val="24"/>
          <w:shd w:fill="auto" w:val="clear"/>
        </w:rPr>
        <w:t xml:space="preserve">Minha história das mulheres</w:t>
      </w:r>
      <w:r>
        <w:rPr>
          <w:rFonts w:ascii="Arial" w:hAnsi="Arial" w:cs="Arial" w:eastAsia="Arial"/>
          <w:color w:val="auto"/>
          <w:spacing w:val="0"/>
          <w:position w:val="0"/>
          <w:sz w:val="24"/>
          <w:shd w:fill="auto" w:val="clear"/>
        </w:rPr>
        <w:t xml:space="preserve">. São Paulo: Editora Contexto, 2007. </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PINTO, Celi Regina Jardim. Afinal, o que querem as mulheres na política? In: BARREIRA, Irlys e PALMEIRA, Moacir. </w:t>
      </w:r>
      <w:r>
        <w:rPr>
          <w:rFonts w:ascii="Arial" w:hAnsi="Arial" w:cs="Arial" w:eastAsia="Arial"/>
          <w:b/>
          <w:color w:val="auto"/>
          <w:spacing w:val="0"/>
          <w:position w:val="0"/>
          <w:sz w:val="24"/>
          <w:shd w:fill="auto" w:val="clear"/>
        </w:rPr>
        <w:t xml:space="preserve">Candidatos e candidaturas: </w:t>
      </w:r>
      <w:r>
        <w:rPr>
          <w:rFonts w:ascii="Arial" w:hAnsi="Arial" w:cs="Arial" w:eastAsia="Arial"/>
          <w:color w:val="auto"/>
          <w:spacing w:val="0"/>
          <w:position w:val="0"/>
          <w:sz w:val="24"/>
          <w:shd w:fill="auto" w:val="clear"/>
        </w:rPr>
        <w:t xml:space="preserve">enredos de campanha eleitoral no Brasil. São Paulo: Annablume, 1998.</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STREY, Marlene Neves. </w:t>
      </w:r>
      <w:r>
        <w:rPr>
          <w:rFonts w:ascii="Arial" w:hAnsi="Arial" w:cs="Arial" w:eastAsia="Arial"/>
          <w:b/>
          <w:color w:val="auto"/>
          <w:spacing w:val="0"/>
          <w:position w:val="0"/>
          <w:sz w:val="24"/>
          <w:shd w:fill="auto" w:val="clear"/>
        </w:rPr>
        <w:t xml:space="preserve">Mulher, estudos de gênero.</w:t>
      </w:r>
      <w:r>
        <w:rPr>
          <w:rFonts w:ascii="Arial" w:hAnsi="Arial" w:cs="Arial" w:eastAsia="Arial"/>
          <w:color w:val="auto"/>
          <w:spacing w:val="0"/>
          <w:position w:val="0"/>
          <w:sz w:val="24"/>
          <w:shd w:fill="auto" w:val="clear"/>
        </w:rPr>
        <w:t xml:space="preserve"> São Leopoldo: UNISINOS, 1997.</w:t>
      </w:r>
    </w:p>
    <w:p>
      <w:pPr>
        <w:spacing w:before="0" w:after="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TOURAINE, Alain</w:t>
      </w:r>
      <w:r>
        <w:rPr>
          <w:rFonts w:ascii="Arial" w:hAnsi="Arial" w:cs="Arial" w:eastAsia="Arial"/>
          <w:b/>
          <w:color w:val="auto"/>
          <w:spacing w:val="0"/>
          <w:position w:val="0"/>
          <w:sz w:val="24"/>
          <w:shd w:fill="auto" w:val="clear"/>
        </w:rPr>
        <w:t xml:space="preserve">. O mundo das mulheres</w:t>
      </w:r>
      <w:r>
        <w:rPr>
          <w:rFonts w:ascii="Arial" w:hAnsi="Arial" w:cs="Arial" w:eastAsia="Arial"/>
          <w:color w:val="auto"/>
          <w:spacing w:val="0"/>
          <w:position w:val="0"/>
          <w:sz w:val="24"/>
          <w:shd w:fill="auto" w:val="clear"/>
        </w:rPr>
        <w:t xml:space="preserve">. Petrópolis, RJ: Editora Vozes, 2007.</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TRIBUNAL REGIONAL ELEITORAL. Disponível em &lt;</w:t>
      </w:r>
      <w:hyperlink xmlns:r="http://schemas.openxmlformats.org/officeDocument/2006/relationships" r:id="docRId196">
        <w:r>
          <w:rPr>
            <w:rFonts w:ascii="Arial" w:hAnsi="Arial" w:cs="Arial" w:eastAsia="Arial"/>
            <w:color w:val="0000FF"/>
            <w:spacing w:val="0"/>
            <w:position w:val="0"/>
            <w:sz w:val="24"/>
            <w:u w:val="single"/>
            <w:shd w:fill="auto" w:val="clear"/>
          </w:rPr>
          <w:t xml:space="preserve">http://www.tre-sc.sc.gov.br</w:t>
        </w:r>
      </w:hyperlink>
      <w:r>
        <w:rPr>
          <w:rFonts w:ascii="Arial" w:hAnsi="Arial" w:cs="Arial" w:eastAsia="Arial"/>
          <w:color w:val="auto"/>
          <w:spacing w:val="0"/>
          <w:position w:val="0"/>
          <w:sz w:val="24"/>
          <w:shd w:fill="auto" w:val="clear"/>
        </w:rPr>
        <w:t xml:space="preserve">&gt;. Acesso em: 15/10/09.</w:t>
      </w:r>
    </w:p>
    <w:p>
      <w:pPr>
        <w:spacing w:before="0" w:after="0" w:line="36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ZIMMERMANN, Rosana Duarte Carvalho. </w:t>
      </w:r>
      <w:r>
        <w:rPr>
          <w:rFonts w:ascii="Arial" w:hAnsi="Arial" w:cs="Arial" w:eastAsia="Arial"/>
          <w:b/>
          <w:color w:val="auto"/>
          <w:spacing w:val="0"/>
          <w:position w:val="0"/>
          <w:sz w:val="24"/>
          <w:shd w:fill="auto" w:val="clear"/>
        </w:rPr>
        <w:t xml:space="preserve">Participação Político – Partidária da mulher no estado de Santa Catarina.</w:t>
      </w:r>
      <w:r>
        <w:rPr>
          <w:rFonts w:ascii="Arial" w:hAnsi="Arial" w:cs="Arial" w:eastAsia="Arial"/>
          <w:color w:val="auto"/>
          <w:spacing w:val="0"/>
          <w:position w:val="0"/>
          <w:sz w:val="24"/>
          <w:shd w:fill="auto" w:val="clear"/>
        </w:rPr>
        <w:t xml:space="preserve"> Florianópolis: UFSC, 1996.</w:t>
      </w:r>
    </w:p>
    <w:p>
      <w:pPr>
        <w:spacing w:before="0" w:after="0" w:line="360"/>
        <w:ind w:right="0" w:left="0" w:firstLine="0"/>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Arial" w:hAnsi="Arial" w:cs="Arial" w:eastAsia="Arial"/>
          <w:b/>
          <w:caps w:val="true"/>
          <w:color w:val="auto"/>
          <w:spacing w:val="0"/>
          <w:position w:val="0"/>
          <w:sz w:val="30"/>
          <w:shd w:fill="auto" w:val="clear"/>
        </w:rPr>
      </w:pPr>
      <w:r>
        <w:rPr>
          <w:rFonts w:ascii="Arial" w:hAnsi="Arial" w:cs="Arial" w:eastAsia="Arial"/>
          <w:b/>
          <w:caps w:val="true"/>
          <w:color w:val="auto"/>
          <w:spacing w:val="0"/>
          <w:position w:val="0"/>
          <w:sz w:val="30"/>
          <w:shd w:fill="auto" w:val="clear"/>
        </w:rPr>
        <w:t xml:space="preserve">Entre o OBScuro e o “invisível”: </w:t>
      </w:r>
      <w:r>
        <w:rPr>
          <w:rFonts w:ascii="Arial" w:hAnsi="Arial" w:cs="Arial" w:eastAsia="Arial"/>
          <w:b/>
          <w:i/>
          <w:caps w:val="true"/>
          <w:color w:val="auto"/>
          <w:spacing w:val="0"/>
          <w:position w:val="0"/>
          <w:sz w:val="30"/>
          <w:shd w:fill="auto" w:val="clear"/>
        </w:rPr>
        <w:t xml:space="preserve">I will survive</w:t>
      </w:r>
    </w:p>
    <w:p>
      <w:pPr>
        <w:spacing w:before="0" w:after="0" w:line="240"/>
        <w:ind w:right="0" w:left="0" w:firstLine="0"/>
        <w:jc w:val="center"/>
        <w:rPr>
          <w:rFonts w:ascii="Arial" w:hAnsi="Arial" w:cs="Arial" w:eastAsia="Arial"/>
          <w:color w:val="auto"/>
          <w:spacing w:val="0"/>
          <w:position w:val="0"/>
          <w:sz w:val="24"/>
          <w:shd w:fill="auto" w:val="clear"/>
        </w:rPr>
      </w:pPr>
    </w:p>
    <w:p>
      <w:pPr>
        <w:spacing w:before="0" w:after="0" w:line="240"/>
        <w:ind w:right="0" w:left="0" w:firstLine="0"/>
        <w:jc w:val="center"/>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Artigo elaborado por Dayvison Leandro dos Santos e  Lívia Claizoni dos Santos Silva, na Universidade Federal de Pernambuco sob orientação da Profª. Dra. Roberta Salazar Uchôa.</w:t>
      </w:r>
    </w:p>
    <w:p>
      <w:pPr>
        <w:spacing w:before="0" w:after="0" w:line="36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center"/>
        <w:rPr>
          <w:rFonts w:ascii="Arial" w:hAnsi="Arial" w:cs="Arial" w:eastAsia="Arial"/>
          <w:b/>
          <w:caps w:val="true"/>
          <w:color w:val="auto"/>
          <w:spacing w:val="0"/>
          <w:position w:val="0"/>
          <w:sz w:val="28"/>
          <w:shd w:fill="auto" w:val="clear"/>
        </w:rPr>
      </w:pPr>
    </w:p>
    <w:p>
      <w:pPr>
        <w:spacing w:before="0" w:after="0" w:line="240"/>
        <w:ind w:right="0" w:left="0" w:firstLine="0"/>
        <w:jc w:val="center"/>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Introdução</w:t>
      </w:r>
    </w:p>
    <w:p>
      <w:pPr>
        <w:spacing w:before="0" w:after="0" w:line="360"/>
        <w:ind w:right="0" w:left="0" w:firstLine="1080"/>
        <w:jc w:val="left"/>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amor fala todas as línguas: assistente social na luta contra o preconceito”. Este é o tema de uma da campanha nacional pela livre orientação e expressão sexual desenvolvida pelo conjunto Conselho Federal de Serviço Social (CFESS) / Conselhos Regionais de Serviço Social (CRESS), em parceria com o Instituto em Defesa da Diversidade Afetivo-Sexual (DIVAS), Liga Brasileira de Lésbicas (LBL), Articulação Brasileira de Lésbicas (ABL) e Associação Brasileira de Gays, Lésbicas, Bissexuais, Travestis e Transexuais (ABGLT).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resultado desta campanha em favor da livre orientação sexual foi aprovada a resolução do CFESS nº 489/2006, que “estabeleceu normas vedando condutas discriminatórias ou preconceituosas, por orientação e expressão sexual por pessoas do mesmo sexo no exercício profissional do/a assistente social, regulamentando princípios inscritos no Código de Ética Profissional”.</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entanto, a formação profissional em Serviço Social ainda carece de acúmulo sobre tal discussão, sendo esta elementar na construção de uma prática em defesa da autonomia sexual de homens e mulheres, desconstruindo assim a imposição da heterossexualidade como norma. Durante a graduação, a discussão sobre o movimento de lésbicas, </w:t>
      </w:r>
      <w:r>
        <w:rPr>
          <w:rFonts w:ascii="Arial" w:hAnsi="Arial" w:cs="Arial" w:eastAsia="Arial"/>
          <w:i/>
          <w:color w:val="auto"/>
          <w:spacing w:val="0"/>
          <w:position w:val="0"/>
          <w:sz w:val="22"/>
          <w:shd w:fill="auto" w:val="clear"/>
        </w:rPr>
        <w:t xml:space="preserve">gays</w:t>
      </w:r>
      <w:r>
        <w:rPr>
          <w:rFonts w:ascii="Arial" w:hAnsi="Arial" w:cs="Arial" w:eastAsia="Arial"/>
          <w:color w:val="auto"/>
          <w:spacing w:val="0"/>
          <w:position w:val="0"/>
          <w:sz w:val="22"/>
          <w:shd w:fill="auto" w:val="clear"/>
        </w:rPr>
        <w:t xml:space="preserve">, bissexuais, travestis, transexuais e trangêneros (LGBT) foi realizada de forma limitada. Embora a questão dos direitos dos homossexuais estivesse na pauta, outros segmentos como travestis e transexuais sequer foram mencionados.</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intuito de compreendermos as diferenciações destes que exercem sua sexualidade contrária ao dito “padrão”, o primeiro capítulo faz uma breve discussão conceitual sobre as diversas formas de expressão da sexualidade existentes no movimento LGBT e suas especificidades.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Tratando dos sujeitos históricos, o capítulo dois aborda a militância em Pernambuco. Para resgatar um tanto da pernambucanidade LGBT, foram realizadas duas entrevistas com militantes da Articulação e Movimento para Travestis e Transexuais de Pernambuco (AMOTRANS).</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Os depoimentos obtidos são apresentados a partir da discussão dos seguintes temas: diferenças entre diversas formas da sexualidade, transformações no corpo, prazer e ato sexual e relação das travestis e transexuais com a família e com a sociedade. </w:t>
      </w:r>
    </w:p>
    <w:p>
      <w:pPr>
        <w:spacing w:before="0" w:after="0" w:line="360"/>
        <w:ind w:right="0" w:left="0" w:firstLine="0"/>
        <w:jc w:val="center"/>
        <w:rPr>
          <w:rFonts w:ascii="Arial" w:hAnsi="Arial" w:cs="Arial" w:eastAsia="Arial"/>
          <w:b/>
          <w:caps w:val="true"/>
          <w:color w:val="auto"/>
          <w:spacing w:val="0"/>
          <w:position w:val="0"/>
          <w:sz w:val="28"/>
          <w:shd w:fill="auto" w:val="clear"/>
        </w:rPr>
      </w:pPr>
    </w:p>
    <w:p>
      <w:pPr>
        <w:spacing w:before="0" w:after="0" w:line="360"/>
        <w:ind w:right="0" w:left="0" w:firstLine="0"/>
        <w:jc w:val="center"/>
        <w:rPr>
          <w:rFonts w:ascii="Arial" w:hAnsi="Arial" w:cs="Arial" w:eastAsia="Arial"/>
          <w:b/>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Capítulo 1</w:t>
      </w:r>
      <w:r>
        <w:rPr>
          <w:rFonts w:ascii="Arial" w:hAnsi="Arial" w:cs="Arial" w:eastAsia="Arial"/>
          <w:b/>
          <w:color w:val="auto"/>
          <w:spacing w:val="0"/>
          <w:position w:val="0"/>
          <w:sz w:val="28"/>
          <w:shd w:fill="auto" w:val="clear"/>
        </w:rPr>
        <w:t xml:space="preserve"> – </w:t>
      </w:r>
      <w:r>
        <w:rPr>
          <w:rFonts w:ascii="Arial" w:hAnsi="Arial" w:cs="Arial" w:eastAsia="Arial"/>
          <w:b/>
          <w:caps w:val="true"/>
          <w:color w:val="auto"/>
          <w:spacing w:val="0"/>
          <w:position w:val="0"/>
          <w:sz w:val="28"/>
          <w:shd w:fill="auto" w:val="clear"/>
        </w:rPr>
        <w:t xml:space="preserve">quem é quem no movimento LGBT?</w:t>
      </w:r>
    </w:p>
    <w:p>
      <w:pPr>
        <w:spacing w:before="0" w:after="0" w:line="360"/>
        <w:ind w:right="0" w:left="0" w:firstLine="0"/>
        <w:jc w:val="both"/>
        <w:rPr>
          <w:rFonts w:ascii="Arial" w:hAnsi="Arial" w:cs="Arial" w:eastAsia="Arial"/>
          <w:b/>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1.1 – Considerações a cerca do conceito de homossexualidade</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homossexualidade, assim como o debate acerca da mesma, não é algo novo na sociedade, porém nos últimos anos essa discussão “vem ganhando cada vez mais espaço (...) despertando novas inquietações, dilemas e mitos” (PRADO &amp; MACHADO, 2008). Uma dessas inquietações trata-se do significado da homossexualidade, embora não haja um conceito único para este termo.</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 tentativa de conceituar a homossexualidade podemos dizer que esta é uma orientação sexual onde a pessoa sente atração física e/ou sexual por pessoas do mesmo sexo, mas para Viana (s/d) “a homossexualidade é muito mais do que a orientação sexual por pessoas do mesmo sexo, ela é uma expressão natural da sexualidade humana e, por isso, envolve também afetividade e relacionamentos. Não apenas sexo com o mesmo sexo</w:t>
      </w:r>
      <w:r>
        <w:rPr>
          <w:rFonts w:ascii="Arial" w:hAnsi="Arial" w:cs="Arial" w:eastAsia="Arial"/>
          <w:i/>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Um mito muito comum a respeito da homossexualidade e do processo de afirmação desta é o de pensar que algumas pessoas se “tornam” ou “viram” homossexuais no decorrer da vida, o que não é verdade já que a homossexualidade é algo natural e ninguém pode levar outra pessoa a ser homossexual (ou heterossexual). Normalmente o que acontece é que, antes de assumir sua orientação sexual, os homossexuais se vêem forçados a ter relações com pessoas do sexo oposto chegando até a se casar e ter filhos com essa pessoa do sexo oposto e “na grande maioria das vezes acabam levando uma vida dupla” (Picazio, 1999). Porém, com o passar do tempo, algumas pessoas desistem desse relacionamento, pois não é confortável e acabam assumindo a homossexualidade.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Picazio (1999, p. 32) diz, ainda, que “muitas pessoas aconselham ou até forçam, que mulheres e homens homossexuais experimentem relacionar-se com uma pessoa de sexo diferente do seu”, porém “ninguém pede a um heterossexual que tenha relações com alguém do mesmo sexo para saber do que mais gosta. Desejo e atração sexual são elementos imutáveis desde que estabelecidos em suas matrizes na personalidade”.</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Também é comum que se afirme que a homossexualidade é uma opção sexual, mas é importante que se entenda que a homossexualidade, assim como a heterossexualidade, não é uma opção, já que independe da escolha do individuo, ou seja, uma pessoa não escolhe se vai sentir desejos por pessoas do mesmo sexo ou do sexo oposto.</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Outro argumento bastante comum entre as pessoas que são contra a homossexualidade é que esta não é algo normal, pois o homem homossexual seria a única espécie que tem relações afetivas ou sexuais com pessoas do mesmo sexo.  Porém, é preciso pensar também que o homem é uma das poucas (ou talvez a única) espécie dentre os seres vivos que tem relações afetivas e sexuais em busca do prazer, enquanto que os outros animais têm relações sexuais apenas por instinto e para a procriação.</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Durante muito tempo a homossexualidade foi vista como pecado ou, segundo Fry e MacRae (1983), como ato de “sem-vergonhice”. É a partir da inserção dos estudos da homossexualidade no espaço médico que esta passa a ser entendida como uma doença. Inicialmente o debate médico interessava-se em descobrir as causas da homossexualidade.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Prado &amp; Machado (2008) dizem que ainda no século XIX, com a idéia de natureza e imperfeição interligadas “os indivíduos que desviassem seus comportamentos daquilo que se entendia como ‘natural’, daquilo que a natureza cobra de cada sexo, seriam vistos como imperfeitos, patológicos”. Dessa forma a partir do caráter cientifico dessa idéia, a homossexualidade passa do campo do crime ou pecado para a doença.</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Porém, para Fry e MacRae (1983) a partir da “mudança do status da ‘homossexualidade’ de pecado para ‘doença’, abre-se a possibilidade de cura” e aceitar essa possibilidade pode ser, segundo os autores, acarretar “consequências terríveis para os homossexuais”, pois com isso há a possibilidade de fazer terapias, internamentos, tratamentos hormonais, cirurgias, etc. intencionando a cura da homossexualidade.</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isso, Fry e MacRae, (1983, p. 77) dizem que </w:t>
      </w: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240"/>
        <w:ind w:right="0" w:left="234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0"/>
          <w:shd w:fill="auto" w:val="clear"/>
        </w:rPr>
        <w:t xml:space="preserve">A medicina atuava e continua a agir politicamente no que diz respeito à homossexualidade. A partir do século XIX, ao tachar os homossexuais de doentes, ela justificou sua ‘cura’, sua ‘conversão’ em heterossexuais. Dessa maneira, a medicina exerceu um forte controle social contra a homossexualidade e em favor da heterossexualidade. Mais tarde, perante as críticas oriundas do movimento homossexual, ela soube se preservar e, utilizando das mesmas noções de saúde e doença, introduziu a noção do ‘homossexual sadio’.</w:t>
      </w:r>
      <w:r>
        <w:rPr>
          <w:rFonts w:ascii="Arial" w:hAnsi="Arial" w:cs="Arial" w:eastAsia="Arial"/>
          <w:color w:val="auto"/>
          <w:spacing w:val="0"/>
          <w:position w:val="0"/>
          <w:sz w:val="22"/>
          <w:shd w:fill="auto" w:val="clear"/>
        </w:rPr>
        <w:t xml:space="preserve"> </w:t>
      </w: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360"/>
        <w:ind w:right="0" w:left="342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Mesmo com a mudança do termo para “homossexual sadio” ainda é muito presente a idéia de que a homossexualidade é uma doença.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Segundo a Associação Americana de Psicologia (s/d), os “psicólogos, psiquiatras e outros profissionais da saúde mental concordam que a homossexualidade não é uma doença, desordem mental ou problema emocional. […] A homossexualidade foi considerada como doença mental porque os profissionais da saúde mental e a sociedade tinham informações tendenciosas”.</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Dessa forma, em 1973, a Associação Americana de Psiquiatria desconsiderou a homossexualidade como doença mental e em 1975, a Associação Americana de Psicologia apoiou essa atitude. Apenas em 1993, a Organização Mundial da Saúde (OMS) retirou a homossexualidade da lista de doenças mentais. Porém, ainda hoje a homossexualidade “continua sendo tratada, na prática, como uma indigesta mistura de pecado, sem-vergonhice e doença” (Fry &amp; MacRae, 1983, 117-118).</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1.2 Diversas expressões da homossexualidade</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b/>
          <w:color w:val="auto"/>
          <w:spacing w:val="0"/>
          <w:position w:val="0"/>
          <w:sz w:val="22"/>
          <w:shd w:fill="auto" w:val="clear"/>
        </w:rPr>
      </w:pPr>
      <w:r>
        <w:rPr>
          <w:rFonts w:ascii="Arial" w:hAnsi="Arial" w:cs="Arial" w:eastAsia="Arial"/>
          <w:color w:val="auto"/>
          <w:spacing w:val="0"/>
          <w:position w:val="0"/>
          <w:sz w:val="22"/>
          <w:shd w:fill="auto" w:val="clear"/>
        </w:rPr>
        <w:t xml:space="preserve">Apesar de não querer rotular ou dividir os homossexuais em categorias, nessa seção encontram-se algumas das diversas formas de homossexualidade: </w:t>
      </w:r>
      <w:r>
        <w:rPr>
          <w:rFonts w:ascii="Arial" w:hAnsi="Arial" w:cs="Arial" w:eastAsia="Arial"/>
          <w:i/>
          <w:color w:val="auto"/>
          <w:spacing w:val="0"/>
          <w:position w:val="0"/>
          <w:sz w:val="22"/>
          <w:shd w:fill="auto" w:val="clear"/>
        </w:rPr>
        <w:t xml:space="preserve">gays</w:t>
      </w:r>
      <w:r>
        <w:rPr>
          <w:rFonts w:ascii="Arial" w:hAnsi="Arial" w:cs="Arial" w:eastAsia="Arial"/>
          <w:color w:val="auto"/>
          <w:spacing w:val="0"/>
          <w:position w:val="0"/>
          <w:sz w:val="22"/>
          <w:shd w:fill="auto" w:val="clear"/>
        </w:rPr>
        <w:t xml:space="preserve">, lésbicas, bissexuais, transgêneros, transexuais e travestis, dando mais ênfase às duas últimas, pois se tratam do grupo central de estudo do trabalho de conclusão de curso.</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termo “</w:t>
      </w:r>
      <w:r>
        <w:rPr>
          <w:rFonts w:ascii="Arial" w:hAnsi="Arial" w:cs="Arial" w:eastAsia="Arial"/>
          <w:i/>
          <w:color w:val="auto"/>
          <w:spacing w:val="0"/>
          <w:position w:val="0"/>
          <w:sz w:val="22"/>
          <w:shd w:fill="auto" w:val="clear"/>
        </w:rPr>
        <w:t xml:space="preserve">gay</w:t>
      </w:r>
      <w:r>
        <w:rPr>
          <w:rFonts w:ascii="Arial" w:hAnsi="Arial" w:cs="Arial" w:eastAsia="Arial"/>
          <w:color w:val="auto"/>
          <w:spacing w:val="0"/>
          <w:position w:val="0"/>
          <w:sz w:val="22"/>
          <w:shd w:fill="auto" w:val="clear"/>
        </w:rPr>
        <w:t xml:space="preserve">”</w:t>
      </w:r>
      <w:r>
        <w:rPr>
          <w:rFonts w:ascii="Arial" w:hAnsi="Arial" w:cs="Arial" w:eastAsia="Arial"/>
          <w: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deriva do inglês e significa alegre, feliz e é utilizado para se referir as pessoas homossexuais do sexo masculino, mas também é muito comum que se use a palavra </w:t>
      </w:r>
      <w:r>
        <w:rPr>
          <w:rFonts w:ascii="Arial" w:hAnsi="Arial" w:cs="Arial" w:eastAsia="Arial"/>
          <w:i/>
          <w:color w:val="auto"/>
          <w:spacing w:val="0"/>
          <w:position w:val="0"/>
          <w:sz w:val="22"/>
          <w:shd w:fill="auto" w:val="clear"/>
        </w:rPr>
        <w:t xml:space="preserve">gay</w:t>
      </w:r>
      <w:r>
        <w:rPr>
          <w:rFonts w:ascii="Arial" w:hAnsi="Arial" w:cs="Arial" w:eastAsia="Arial"/>
          <w:color w:val="auto"/>
          <w:spacing w:val="0"/>
          <w:position w:val="0"/>
          <w:sz w:val="22"/>
          <w:shd w:fill="auto" w:val="clear"/>
        </w:rPr>
        <w:t xml:space="preserve"> para referir-se a homens e mulheres homossexuais ou </w:t>
      </w:r>
      <w:hyperlink xmlns:r="http://schemas.openxmlformats.org/officeDocument/2006/relationships" r:id="docRId197">
        <w:r>
          <w:rPr>
            <w:rFonts w:ascii="Arial" w:hAnsi="Arial" w:cs="Arial" w:eastAsia="Arial"/>
            <w:color w:val="0000FF"/>
            <w:spacing w:val="0"/>
            <w:position w:val="0"/>
            <w:sz w:val="22"/>
            <w:u w:val="single"/>
            <w:shd w:fill="auto" w:val="clear"/>
          </w:rPr>
          <w:t xml:space="preserve">bissexuais</w:t>
        </w:r>
      </w:hyperlink>
      <w:r>
        <w:rPr>
          <w:rFonts w:ascii="Arial" w:hAnsi="Arial" w:cs="Arial" w:eastAsia="Arial"/>
          <w:color w:val="auto"/>
          <w:spacing w:val="0"/>
          <w:position w:val="0"/>
          <w:sz w:val="22"/>
          <w:shd w:fill="auto" w:val="clear"/>
        </w:rPr>
        <w:t xml:space="preserve"> (porém essa utilização não é muito aceita, pois indicaria uma possível invisibilidade das lésbicas e bissexuais). Por ser o termo mais utilizado para se referir as pessoas homossexuais, o termo </w:t>
      </w:r>
      <w:r>
        <w:rPr>
          <w:rFonts w:ascii="Arial" w:hAnsi="Arial" w:cs="Arial" w:eastAsia="Arial"/>
          <w:i/>
          <w:color w:val="auto"/>
          <w:spacing w:val="0"/>
          <w:position w:val="0"/>
          <w:sz w:val="22"/>
          <w:shd w:fill="auto" w:val="clear"/>
        </w:rPr>
        <w:t xml:space="preserve">gay</w:t>
      </w:r>
      <w:r>
        <w:rPr>
          <w:rFonts w:ascii="Arial" w:hAnsi="Arial" w:cs="Arial" w:eastAsia="Arial"/>
          <w:color w:val="auto"/>
          <w:spacing w:val="0"/>
          <w:position w:val="0"/>
          <w:sz w:val="22"/>
          <w:shd w:fill="auto" w:val="clear"/>
        </w:rPr>
        <w:t xml:space="preserve"> é o termo que possui mais sinônimos pejorativos e preconceituosos.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Já o termo “lésbica” é utilizado para designar mulheres que se relacionam afetivamente ou sexualmente com outras mulheres. Inicialmente esse termo era utilizado para referir-se às habitantes da ilha de Lesbos, na Grécia. </w:t>
      </w:r>
    </w:p>
    <w:p>
      <w:pPr>
        <w:spacing w:before="0" w:after="0" w:line="360"/>
        <w:ind w:right="0" w:left="0" w:firstLine="12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2"/>
          <w:shd w:fill="auto" w:val="clear"/>
        </w:rPr>
        <w:t xml:space="preserve">As pessoas bissexuais são aquelas que sentem atração física pelo sexo masculino e feminino ao mesmo tempo. Nas palavras de Augusto (2008) “assim, como a homossexualidade e a heterossexualidade, a bissexualidade é uma orientação afetivo-sexual passível de ser agregada às identidades das pessoas, baseando-se no processo multidentitário que se caracteriza pelas maneiras de identificação”.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termo transgênero começou a ser utilizado há pouco tempo, o que o torna desconhecido por muitas pessoas. O transgênero é uma pessoa que não aceita o sexo com o qual nasceu. Dessa forma, essas pessoas se colocam para a sociedade como pertencentes a um gênero diferente do seu biológico.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associação Rede Ex Aequo (s/d) diz que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‘Transgenerismo’ é a ruptura com os papéis de gênero tradicionais. Na nossa sociedade existem dois papéis sociais ‘clássicos’: o de homem e o de mulher. Estes dois papéis sociais estão intimamente ligados à noção de sexo biológico. Simplificando: espera-se que uma pessoa se comporte de determinada maneira em função dos órgãos genitais com que nasceu. As pessoas que não são homens ou mulheres ‘tradicionais’, ou seja, as pessoas cujo comportamento é diferente daquilo que se espera são transgêneros.</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Assim, as duas categorias que trataremos a seguir, o transexual e a travesti, são algumas dentre as diversas formas de ser transgênero.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transexual é uma pessoa que não se identifica com o seu sexo biológico, ou seja, um homem que nasce com o aparelho reprodutor masculino, mas que não se sente ou se reconhece como homem e sim como uma mulher. Como se costuma dizer o transexual é uma ‘alma de mulher presa em um corpo de homem’.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Existem dois tipos de transexual: a transexual mulher (aquele que nasce homem e se identifica como mulher) e o transexual homem (aquele que nasce mulher e se reconhece como homem), sendo mais frequente a ocorrência de transexuais mulheres.  Geralmente o transexual não se reconhece como pertencente ao seu sexo biológico desde a infância, mas nem sempre essa pessoa entende o que é a transexualidade e acaba entrando em um “choque de identidade” no período da adolescência. Para Cunha (2007, p. 4)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 transexualidade é caracterizada basicamente pelo desconforto persistente e crônico em relação ao próprio sexo anatômico, chegando a repulsa. Esta sensação deve ser percebida por um período mínimo de dois anos consecutiva e constantemente para que o “diagnóstico” seja correto. Além deste desconforto, segue uma sensação inabalável de ser do sexo oposto, sensação esta que determina que o indivíduo exerça o papel de gênero característico do sexo percebido. Esta convicção de ser do sexo oposto leva o transexual a agir conforme o considerado adequado a este sexo, vestindo-se, ingerindo hormônios sexuais para amenizar as características secundárias do sexo biológico e desenvolver características sexuais secundárias do sexo “desejado” [...].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causa desse desconforto com seu sexo de origem é que o transexual possui o desejo de realizar a cirurgia para mudança de sexo e conseguir um “sexo que corresponda a sua mentalidade” (MORMONT, 2003). É esse desejo de mudar de sexo que diferencia o transexual do travesti, já que ao contrário do transexual, o travesti convive com seu órgão sexual sem problemas.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Ao contrário do que muitas pessoas pensam o transexual não necessariamente é uma pessoa homossexual, pois a transexualidade não está vinculada a orientação sexual. É comum questionar se a relação com um transexual é homossexual, já que são duas pessoas do mesmo sexo.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Embora a maioria da população considere que a relação é homossexual, os transexuais não consideram dessa forma, já que eles não se identificam com o sexo biológico e sim como sendo do sexo oposto.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Já a travesti é uma pessoa do sexo masculino, mas que exerce e interage com a sociedade através de características físicas ou psico-sociais construídas historicamente para o sexo oposto. Por esse motivo é que se utiliza o artigo feminino “a” para referir-se às travestis e transexuais mulheres. Se elas se reconhecem como mulheres não condiz com sua identidade tratá-las como sendo do gênero masculino.</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opção pelo travestismo não se restringe a adoção de um nome de mulher, na utilização de roupas, maquiagem e adereços femininos, já que “não basta se vestir de mulher para ser travesti” (Pelúcio, 2004). Ser travesti também implica na feminilização do próprio corpo, sobretudo através do uso de hormônios e aplicação de silicone. Segundo Porcino (s/d), “a trajetória de modificação do corpo da travesti tem início na homossexualidade, se aproximando da feminização”.  </w:t>
      </w:r>
    </w:p>
    <w:p>
      <w:pPr>
        <w:spacing w:before="0" w:after="0" w:line="240"/>
        <w:ind w:right="0" w:left="0" w:firstLine="1080"/>
        <w:jc w:val="both"/>
        <w:rPr>
          <w:rFonts w:ascii="Arial" w:hAnsi="Arial" w:cs="Arial" w:eastAsia="Arial"/>
          <w:color w:val="auto"/>
          <w:spacing w:val="0"/>
          <w:position w:val="0"/>
          <w:sz w:val="22"/>
          <w:shd w:fill="auto" w:val="clear"/>
        </w:rPr>
      </w:pPr>
    </w:p>
    <w:p>
      <w:pPr>
        <w:spacing w:before="0" w:after="0" w:line="240"/>
        <w:ind w:right="0" w:left="0" w:firstLine="108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As travestis costumam dividir o processo de transformação em algumas etapas: (1) quando ainda se é “</w:t>
      </w:r>
      <w:r>
        <w:rPr>
          <w:rFonts w:ascii="Arial" w:hAnsi="Arial" w:cs="Arial" w:eastAsia="Arial"/>
          <w:i/>
          <w:color w:val="auto"/>
          <w:spacing w:val="0"/>
          <w:position w:val="0"/>
          <w:sz w:val="20"/>
          <w:shd w:fill="auto" w:val="clear"/>
        </w:rPr>
        <w:t xml:space="preserve">gayzinho</w:t>
      </w:r>
      <w:r>
        <w:rPr>
          <w:rFonts w:ascii="Arial" w:hAnsi="Arial" w:cs="Arial" w:eastAsia="Arial"/>
          <w:color w:val="auto"/>
          <w:spacing w:val="0"/>
          <w:position w:val="0"/>
          <w:sz w:val="20"/>
          <w:shd w:fill="auto" w:val="clear"/>
        </w:rPr>
        <w:t xml:space="preserve">” (classificação do grupo), ou seja, já se assumiu para familiares e para “a sociedade” (como elas dizem, ou seja, um conjunto mais abrangente de pessoas) sua orientação sexual, mas ainda não se vestem com roupas femininas ou ingerem hormônios. Segue-se, então, (2) a fase do “montar-se”, o que significa, no vocabulário próprio do universo homossexual masculino, vestir-se com roupas femininas, maquiar-se de forma a esconder a marca da barba, ressaltar maçãs do rosto, evidenciar cílios e as pálpebras dos olhos, além da boca. Vestir-se com roupas femininas ainda é, nessa etapa, algo ocasional, restritos a momentos de lazer ou noturnos, de tom furtivo. O terceiro momento é o da (3) “transformação”. Esta é uma fase mais nuançada, pois tanto pode envolver apenas depilação dos pêlos do corpo e vestir-se cada vez mais freqüentemente como mulher, como pode indicar o momento inicial de ingestão de hormônios, quando estes ainda não mostraram efeitos perceptíveis; e finalmente, a quarta etapa, quando já se é (4) travesti. Pois além do consumo de hormônios, vestem-se todo o tempo com roupas femininas (sobretudo roupas íntimas, pois se pode estar de shorts, sem camisa, mas de calcinha) e, no mínimo, já se planeja injetar silicone nos quadris (Pelúcio, 2007, p.06). </w:t>
      </w:r>
    </w:p>
    <w:p>
      <w:pPr>
        <w:spacing w:before="0" w:after="0" w:line="360"/>
        <w:ind w:right="0" w:left="2340" w:firstLine="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decisão de utilizar os hormônios é uma das mais importantes na vida das travestis já que “submeter-se a tratamento hormonal parece identificar-se com a própria decisão de incorporar a identidade travesti” (Benedetti, 2005, p. 73). Muitas vezes o uso de hormônios se inicia ainda na adolescência, pois acreditam que com as mudanças da puberdade, os hormônios femininos impeçam mais facilmente a ação da testosterona, estabelecendo uma transformação mais eficaz.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É nessa época também em que as travestis se iniciam na prostituição, pois durante a adolescência, quando os meninos se assumem homossexuais para a família, é freqüente que os pais os coloquem para fora de casa não havendo outro meio de sobrevivência. Dessa forma, é a partir dessa atividade que as travestis conseguem o dinheiro para sobreviver e para comprar os materiais necessários para a construção do feminino.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utilização do silicone também é bastante comum entre as travestis, mas é mais utilizado pelas usuárias que querem aprimorar as formas adquiridas através dos hormônios. Sendo assim, o silicone é muito valorizado por seus resultados, pois aparecem imediatamente após a aplicação, diferentemente dos hormônios cujo processo é mais lento (seus efeitos são perceptíveis após um mês de uso, em média).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tabs>
          <w:tab w:val="left" w:pos="234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As travestis investem na construção dos seus corpos através de roupas, cabelos, adereços, cosméticos e medicamentos, adquirindo certo status de gênero “performático”.  Neste sentido, seus corpos adquirem elementos típicos do feminino, sendo tal intervenção designada por elas como “montagem”.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Ao alterar o próprio corpo e assumir um “nome de guerra”, reconstroem os gêneros ao proporcionar uma desestabilização nos códigos heteronormativos permeados por uma inflexibilidade e rigidez na forma de se enxergar o masculino e o feminino. Benedetti (2005) diferencia o feminino das travestis do feminino das mulheres, pois as travestis não abdicam totalmente de características masculinas. Transitam por esses dois pólos, masculino e feminino, e optam por um ou por outro de acordo com cada contexto ou situação. Apesar do desejo de modificar o corpo, como já explicitado anteriormente, as travestis, diferentemente dos transexuais, não apresentam desejo pela cirurgia para a mudança de sexo, já que geralmente convivem com sua genitália, sem maiores conflitos (PELÚCIO, 2006).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 suas relações afetivas, as travestis preferem se relacionar com homens. Nas relações sexuais as travestis exercem tanto o papel passivo como o ativo, embora tenham preferência em exercer o papel passivo. Desta forma, transgredir as fronteiras impostas ao gênero ou sexualidade na medida em que se questiona e altera os códigos pré-estabelecidos pela sociedade como padrões de conduta é assumir uma identidade considerada “desviante” e “anormal”, sofrendo diversos tipos de retaliações e julgamentos enquanto minoria.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Capítulo 2 – Bonecas falando para o mundo: o cotidiano das travestis e transexuais</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2.1 Metodologia da pesquisa</w:t>
      </w:r>
    </w:p>
    <w:p>
      <w:pPr>
        <w:spacing w:before="0" w:after="0" w:line="360"/>
        <w:ind w:right="0" w:left="0" w:firstLine="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Utilizamos a entrevista enquanto instrumento investigativo, permitindo assim compreender como os sujeitos (Barbie e Suzi) analisam a realidade em que estão inseridos, abordando os limites e possibilidades desta sociabilidade em diversas esferas (saúde, educação, segurança). Tanto a descrição quanto a análise foi realizada de forma bastante cuidadosa, no intuito de evitar distorção das falas ou tentar extrair das entrevistadas confirmações sobre as hipóteses por nós levantadas.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entrevista foi realizada em seu formato qualitativo semi-estruturado, caracterizada por uma maior liberdade no diálogo com as entrevistas, direcionando os questionamentos mediante o surgimento de elementos presentes nos discursos das entrevistadas. Por isso, uma das preocupações durante o processo foi a definição de quem seriam as entrevistadas, sendo necessário que as mesmas tivessem representatividade em seu grupo social, estando suas falas em concordância com o discurso hegemônico do movimento.</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Inicialmente o nosso objeto de estudo era entrevistar apenas travestis. Assim nossa busca teve inicio através de pesquisas na internet, em busca de organizações e entidades pernambucanas compostas em sua maioria por travestis.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Encontramos a organização não-governamental (ONG) Articulação e Movimento para Travestis e Transexuais de Pernambuco (AMOTRANS), mas como a ONG não tem sede não foi possível conseguir o telefone da mesma. Assim, ligamos para a ONG Movimento </w:t>
      </w:r>
      <w:r>
        <w:rPr>
          <w:rFonts w:ascii="Arial" w:hAnsi="Arial" w:cs="Arial" w:eastAsia="Arial"/>
          <w:i/>
          <w:color w:val="auto"/>
          <w:spacing w:val="0"/>
          <w:position w:val="0"/>
          <w:sz w:val="22"/>
          <w:shd w:fill="auto" w:val="clear"/>
        </w:rPr>
        <w:t xml:space="preserve">Gay</w:t>
      </w:r>
      <w:r>
        <w:rPr>
          <w:rFonts w:ascii="Arial" w:hAnsi="Arial" w:cs="Arial" w:eastAsia="Arial"/>
          <w:color w:val="auto"/>
          <w:spacing w:val="0"/>
          <w:position w:val="0"/>
          <w:sz w:val="22"/>
          <w:shd w:fill="auto" w:val="clear"/>
        </w:rPr>
        <w:t xml:space="preserve"> Leões do Norte e pedimos o telefone de algum integrante da AMOTRANS ou que nos indicassem alguma travesti que pudesse nos dar entrevista e que também fosse militante do movimento de travestis.</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Indicaram-nos para entrevistar a integrante da AMOTRANS Barbie. Marcamos a entrevista com Barbie para a manhã do dia 06 de outubro de 2009 na sede do Movimento Leões do Norte. No entanto, Barbie não era uma travesti e sim uma transexual. Resolvemos então manter nossa entrevista e ampliar o foco da nossa pesquisa para que fossem incluídas também as transexuais.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mesmo dia da entrevista com Barbie, uma pessoa da ONG indicou uma travesti também integrante da AMOTRANS que poderia nos dar uma entrevista sem cobrar por ela. Então, entramos em contrato com a travesti Suzi e marcamos a entrevista para o dia 18 de novembro de 2009.</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Antes de dar continuidade ao trabalho, convém explicarmos o porquê da escolha do nome fantasia para as entrevistadas. Símbolos de delicadeza e feminilidade, Barbie e Suzi são as duas bonecas mais famosas do mundo. Desde os seus lançamentos, no final da década de 50 e na década de 60, respectivamente, essas bonecas continuam sendo fabricadas até os dias de hoje afirmando um padrão de beleza ao universo feminino que continua influenciando meninas e mulheres em todo o mundo.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2.2 Caracterização das entrevistadas</w:t>
      </w:r>
    </w:p>
    <w:p>
      <w:pPr>
        <w:spacing w:before="0" w:after="0" w:line="360"/>
        <w:ind w:right="0" w:left="0" w:firstLine="0"/>
        <w:jc w:val="both"/>
        <w:rPr>
          <w:rFonts w:ascii="Arial" w:hAnsi="Arial" w:cs="Arial" w:eastAsia="Arial"/>
          <w:b/>
          <w:color w:val="auto"/>
          <w:spacing w:val="0"/>
          <w:position w:val="0"/>
          <w:sz w:val="22"/>
          <w:shd w:fill="auto" w:val="clear"/>
        </w:rPr>
      </w:pPr>
    </w:p>
    <w:p>
      <w:pPr>
        <w:spacing w:before="0" w:after="0" w:line="360"/>
        <w:ind w:right="0" w:left="0" w:firstLine="36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2.2.1 Barbie </w:t>
      </w:r>
    </w:p>
    <w:p>
      <w:pPr>
        <w:spacing w:before="0" w:after="0" w:line="360"/>
        <w:ind w:right="0" w:left="0" w:firstLine="0"/>
        <w:jc w:val="both"/>
        <w:rPr>
          <w:rFonts w:ascii="Arial" w:hAnsi="Arial" w:cs="Arial" w:eastAsia="Arial"/>
          <w:b/>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transexual Barbie tem 27 anos, é a filha mais nova de uma família que é composta pelos pais e por mais duas irmãs. Barbie é solteira e integrante da ONG AMOTRANS. Aos 20 anos de idade, Barbie foi para a cidade do Rio de Janeiro trabalhar como prostituta, mas voltou para Pernambuco poucos dias depois, pois ela desejava se casar e ser mãe. No início do segundo semestre do ano de 2009, Barbie assumiu um emprego público como técnica em enfermagem num hospital da cidade de Camaragibe.</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36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2.2.2 Suzi</w:t>
      </w:r>
    </w:p>
    <w:p>
      <w:pPr>
        <w:spacing w:before="0" w:after="0" w:line="360"/>
        <w:ind w:right="0" w:left="0" w:firstLine="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travesti Suzi tem 31 anos e nasceu em Recife, Pernambuco.  Aos 18 anos de idade, Suzi deixou a casa dos seus pais em busca da sua independência. Após sair de casa, ela iniciou sua transformação como travesti, pois até então era apenas </w:t>
      </w:r>
      <w:r>
        <w:rPr>
          <w:rFonts w:ascii="Arial" w:hAnsi="Arial" w:cs="Arial" w:eastAsia="Arial"/>
          <w:i/>
          <w:color w:val="auto"/>
          <w:spacing w:val="0"/>
          <w:position w:val="0"/>
          <w:sz w:val="22"/>
          <w:shd w:fill="auto" w:val="clear"/>
        </w:rPr>
        <w:t xml:space="preserve">gay</w:t>
      </w:r>
      <w:r>
        <w:rPr>
          <w:rFonts w:ascii="Arial" w:hAnsi="Arial" w:cs="Arial" w:eastAsia="Arial"/>
          <w:color w:val="auto"/>
          <w:spacing w:val="0"/>
          <w:position w:val="0"/>
          <w:sz w:val="22"/>
          <w:shd w:fill="auto" w:val="clear"/>
        </w:rPr>
        <w:t xml:space="preserve">. Suzi completou o nível médio aos 17 anos e há alguns anos ela fez um curso de extensão em administração financeira. Atualmente, ela trabalha como secretária administrativa e financeira em uma ONG do Recife, além de ser integrante da ONG AMOTRANS. Suzi é solteira, mas já foi “casada”  durante quatro anos.</w:t>
      </w:r>
    </w:p>
    <w:p>
      <w:pPr>
        <w:spacing w:before="0" w:after="0" w:line="360"/>
        <w:ind w:right="0" w:left="0" w:firstLine="1080"/>
        <w:jc w:val="both"/>
        <w:rPr>
          <w:rFonts w:ascii="Arial" w:hAnsi="Arial" w:cs="Arial" w:eastAsia="Arial"/>
          <w:color w:val="auto"/>
          <w:spacing w:val="0"/>
          <w:position w:val="0"/>
          <w:sz w:val="22"/>
          <w:shd w:fill="auto" w:val="clear"/>
        </w:rPr>
      </w:pPr>
    </w:p>
    <w:p>
      <w:pPr>
        <w:numPr>
          <w:ilvl w:val="0"/>
          <w:numId w:val="5015"/>
        </w:numPr>
        <w:tabs>
          <w:tab w:val="left" w:pos="360" w:leader="none"/>
        </w:tabs>
        <w:spacing w:before="0" w:after="0" w:line="360"/>
        <w:ind w:right="0" w:left="360" w:hanging="36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Descrição dos dados</w:t>
      </w:r>
    </w:p>
    <w:p>
      <w:pPr>
        <w:spacing w:before="0" w:after="0" w:line="360"/>
        <w:ind w:right="0" w:left="0" w:firstLine="0"/>
        <w:jc w:val="both"/>
        <w:rPr>
          <w:rFonts w:ascii="Arial" w:hAnsi="Arial" w:cs="Arial" w:eastAsia="Arial"/>
          <w:b/>
          <w:color w:val="auto"/>
          <w:spacing w:val="0"/>
          <w:position w:val="0"/>
          <w:sz w:val="22"/>
          <w:shd w:fill="auto" w:val="clear"/>
        </w:rPr>
      </w:pPr>
    </w:p>
    <w:p>
      <w:pPr>
        <w:spacing w:before="0" w:after="0" w:line="360"/>
        <w:ind w:right="0" w:left="36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2.3.1 Diferenças entre as diversas formas da sexualidade </w:t>
      </w:r>
    </w:p>
    <w:p>
      <w:pPr>
        <w:spacing w:before="0" w:after="0" w:line="360"/>
        <w:ind w:right="0" w:left="0" w:firstLine="0"/>
        <w:jc w:val="both"/>
        <w:rPr>
          <w:rFonts w:ascii="Arial" w:hAnsi="Arial" w:cs="Arial" w:eastAsia="Arial"/>
          <w:b/>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Quanto às diferenças entre as várias formas de expressar a sexualidade, Suzi diz que </w:t>
      </w:r>
      <w:r>
        <w:rPr>
          <w:rFonts w:ascii="Arial" w:hAnsi="Arial" w:cs="Arial" w:eastAsia="Arial"/>
          <w:i/>
          <w:color w:val="auto"/>
          <w:spacing w:val="0"/>
          <w:position w:val="0"/>
          <w:sz w:val="22"/>
          <w:shd w:fill="auto" w:val="clear"/>
        </w:rPr>
        <w:t xml:space="preserve">gay </w:t>
      </w:r>
      <w:r>
        <w:rPr>
          <w:rFonts w:ascii="Arial" w:hAnsi="Arial" w:cs="Arial" w:eastAsia="Arial"/>
          <w:color w:val="auto"/>
          <w:spacing w:val="0"/>
          <w:position w:val="0"/>
          <w:sz w:val="22"/>
          <w:shd w:fill="auto" w:val="clear"/>
        </w:rPr>
        <w:t xml:space="preserve">é o homem que se relaciona afetivo/sexualmente com outro homem, mas que não sente a necessidade de adotar características do sexo oposto, ou seja, ele sente atração afetivo/sexual por uma pessoa do mesmo sexo, mas que aceita a sua identidade de gênero. Ele não sente necessidade de mudar suas características físicas nem sua identidade de gênero.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mesma coisa ocorre com a mulher lésbica, que é a mulher que se relaciona afetivo/sexualmente com outra mulher, mas que não apresenta a vontade/necessidade de adotar as características do sexo oposto ao seu biológico.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Suzi diz ainda que para ser </w:t>
      </w:r>
      <w:r>
        <w:rPr>
          <w:rFonts w:ascii="Arial" w:hAnsi="Arial" w:cs="Arial" w:eastAsia="Arial"/>
          <w:i/>
          <w:color w:val="auto"/>
          <w:spacing w:val="0"/>
          <w:position w:val="0"/>
          <w:sz w:val="22"/>
          <w:shd w:fill="auto" w:val="clear"/>
        </w:rPr>
        <w:t xml:space="preserve">gay </w:t>
      </w:r>
      <w:r>
        <w:rPr>
          <w:rFonts w:ascii="Arial" w:hAnsi="Arial" w:cs="Arial" w:eastAsia="Arial"/>
          <w:color w:val="auto"/>
          <w:spacing w:val="0"/>
          <w:position w:val="0"/>
          <w:sz w:val="22"/>
          <w:shd w:fill="auto" w:val="clear"/>
        </w:rPr>
        <w:t xml:space="preserve">ou lésbica é preciso que haja a relação afetiva também e não só a relação sexual. Ou seja, se um homem se relaciona sexualmente com outro homem, mas não há uma relação afetiva entre eles, então os mesmos não são homossexuais, são denominados de homens que fazem sexo com outros homens (HSH).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Transgêneros são aqueles que transitam entre os dois gêneros, no caso são as </w:t>
      </w:r>
      <w:r>
        <w:rPr>
          <w:rFonts w:ascii="Arial" w:hAnsi="Arial" w:cs="Arial" w:eastAsia="Arial"/>
          <w:i/>
          <w:color w:val="auto"/>
          <w:spacing w:val="0"/>
          <w:position w:val="0"/>
          <w:sz w:val="22"/>
          <w:shd w:fill="auto" w:val="clear"/>
        </w:rPr>
        <w:t xml:space="preserve">drag-queens</w:t>
      </w:r>
      <w:r>
        <w:rPr>
          <w:rFonts w:ascii="Arial" w:hAnsi="Arial" w:cs="Arial" w:eastAsia="Arial"/>
          <w:color w:val="auto"/>
          <w:spacing w:val="0"/>
          <w:position w:val="0"/>
          <w:sz w:val="22"/>
          <w:shd w:fill="auto" w:val="clear"/>
        </w:rPr>
        <w:t xml:space="preserve"> e os transformistas que trabalham fazendo qualquer tipo de atividade por fins profissionais ou de diversão. Essas pessoas se travestem apenas para fazer o show, mas não se reconhecem como pertencente ao sexo oposto. Então, segundo Suzi, é errado enquadrar as travestis e as transexuais na categoria de transgêneros. </w:t>
      </w: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travesti é a pessoa que não aceita a identidade de gênero biológica, não se reconhece naquele corpo e então começa a fazer transformações para obter as características físicas do sexo oposto, ou seja, as características de uma mulher. É a mesma coisa com a transexual. Só que a diferença básica é que a travesti mesmo se vendo como mulher, se sentindo feminina e adotando as características femininas ela não tem necessidade de anular o seu órgão genital. </w:t>
      </w: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Suzi diz que a travestis mesmo </w:t>
      </w:r>
    </w:p>
    <w:p>
      <w:pPr>
        <w:tabs>
          <w:tab w:val="left" w:pos="6560" w:leader="none"/>
        </w:tabs>
        <w:spacing w:before="0" w:after="0" w:line="360"/>
        <w:ind w:right="0" w:left="0" w:firstLine="1080"/>
        <w:jc w:val="both"/>
        <w:rPr>
          <w:rFonts w:ascii="Arial" w:hAnsi="Arial" w:cs="Arial" w:eastAsia="Arial"/>
          <w:color w:val="auto"/>
          <w:spacing w:val="0"/>
          <w:position w:val="0"/>
          <w:sz w:val="22"/>
          <w:shd w:fill="auto" w:val="clear"/>
        </w:rPr>
      </w:pPr>
    </w:p>
    <w:p>
      <w:pPr>
        <w:tabs>
          <w:tab w:val="left" w:pos="6560" w:leader="none"/>
        </w:tabs>
        <w:spacing w:before="0" w:after="0" w:line="360"/>
        <w:ind w:right="0" w:left="0" w:firstLine="1080"/>
        <w:jc w:val="both"/>
        <w:rPr>
          <w:rFonts w:ascii="Arial" w:hAnsi="Arial" w:cs="Arial" w:eastAsia="Arial"/>
          <w:color w:val="auto"/>
          <w:spacing w:val="0"/>
          <w:position w:val="0"/>
          <w:sz w:val="22"/>
          <w:shd w:fill="auto" w:val="clear"/>
        </w:rPr>
      </w:pPr>
    </w:p>
    <w:p>
      <w:pPr>
        <w:tabs>
          <w:tab w:val="left" w:pos="656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 vendo como mulher e adotando as características femininas, mas com o órgão genital masculino lá ela se sente feliz, se sente bem psicologicamente e fisiologicamente, porque para ela isso não incomoda em nada. Já para a transexual o órgão genital biológico incomoda, para ela é uma anomalia que só se resolve realmente (ela só vai se sentir plenamente realizada física e psicologicamente) depois que fizer a cirurgia de mudança de sexo.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Assim, a maior diferença em relação à aceitação da transexual e da travesti com sua genitália seria a de que a travesti não tem grandes problemas com sua genitália biológica, enquanto que a transexual não gosta da sua.  Segundo Barbie, a travesti </w:t>
      </w: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 permite ter uma ereção, mas ela quer ter a aparência feminina. A travesti não quer ser mulher ou ser reconhecida como mulher. A travesti quer ser reconhecida como travesti, pois essa é a identidade sexual dela.</w:t>
      </w: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Porém, Suzi não é totalmente de acordo com essa colocação feita por Barbie (e também pela maioria dos estudiosos) sobre a identidade sexual da travesti, pois colocam que a travesti não quer ser homem nem mulher e sim travesti. Dessa forma ela transitaria entre os dois gêneros de acordo com a conveniência e necessidade.  Suzi diz que não concorda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tabs>
          <w:tab w:val="left" w:pos="656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que a travesti transita entre o masculino e o feminino, porque acima de tudo a sexualidade é algo individual. Cada ser humano tem sua sexualidade. A gente coloca aqui as características gerais que permeiam aquele grupo, mas a sexualidade de cada pessoa é muito individual. Então não existe sexualidade correta nem errada, existe a sua sexualidade e a minha sexualidade. Cada um tem a sua. Tem travesti que diz que não se sente nem mulher nem homem, se sente travesti. Eu também digo que sou travesti, mas eu me sinto mulher. Já algumas travestis não se sentem e há aquelas que dizem que transitam entre o homem e a mulher. (...) Eu sou travesti, mas me caracterizo como mulher e quero ser tratada como mulher. Acredito que a maioria seja assim.</w:t>
      </w:r>
    </w:p>
    <w:p>
      <w:pPr>
        <w:tabs>
          <w:tab w:val="left" w:pos="6560" w:leader="none"/>
        </w:tabs>
        <w:spacing w:before="0" w:after="0" w:line="360"/>
        <w:ind w:right="0" w:left="0" w:firstLine="0"/>
        <w:jc w:val="both"/>
        <w:rPr>
          <w:rFonts w:ascii="Arial" w:hAnsi="Arial" w:cs="Arial" w:eastAsia="Arial"/>
          <w:color w:val="auto"/>
          <w:spacing w:val="0"/>
          <w:position w:val="0"/>
          <w:sz w:val="22"/>
          <w:shd w:fill="auto" w:val="clear"/>
        </w:rPr>
      </w:pPr>
    </w:p>
    <w:p>
      <w:pPr>
        <w:tabs>
          <w:tab w:val="left" w:pos="6560" w:leader="none"/>
        </w:tabs>
        <w:spacing w:before="0" w:after="0" w:line="360"/>
        <w:ind w:right="0" w:left="0" w:firstLine="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Suzi continua defendendo essa idéia dizendo que as travestis se vestem de mulher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porque a gente se sente pertencente ao sexo oposto, se não a gente não se transformava. Então vêm as perguntas: “se você se sente mulher porque não se opera?”. Ai já é outra história. Eu me sinto mulher, mas o meu órgão genital não tem nada a ver com isso. A minha sexualidade não está ligada ao órgão genital não. Ela está bem mais além do que isso está na minha cabeça e o meu órgão sexual não atrapalha em nada.</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transexual também se reconhece como pertencente ao sexo oposto, mas ela tem uma verdadeira repulsa ao seu órgão genital biológico. Isso se confirma quando Barbie afirma que “a transexual é uma mulher que nasceu com um defeito congênito ou, como muitas dizem, com um câncer”. Essa repulsa vai fazer com que as transexuais recorram a métodos e cirurgias para conseguir a anulação da sua genitália biológica, pois “se ela se sente como mulher ela não vai querer ter ereção ou ejaculação na mesma proporção do homem”. Um desses métodos é feito pelas transexuais quando elas “usam um adesivo ou um esparadrapo para cobrir o pênis que vai estar bem menor e assim conseguir a forma de uma vagina”.</w:t>
      </w:r>
    </w:p>
    <w:p>
      <w:pPr>
        <w:spacing w:before="0" w:after="0" w:line="360"/>
        <w:ind w:right="0" w:left="0" w:firstLine="0"/>
        <w:jc w:val="both"/>
        <w:rPr>
          <w:rFonts w:ascii="Arial" w:hAnsi="Arial" w:cs="Arial" w:eastAsia="Arial"/>
          <w:b/>
          <w:color w:val="auto"/>
          <w:spacing w:val="0"/>
          <w:position w:val="0"/>
          <w:sz w:val="22"/>
          <w:shd w:fill="auto" w:val="clear"/>
        </w:rPr>
      </w:pPr>
    </w:p>
    <w:p>
      <w:pPr>
        <w:spacing w:before="0" w:after="0" w:line="360"/>
        <w:ind w:right="0" w:left="0" w:firstLine="0"/>
        <w:jc w:val="both"/>
        <w:rPr>
          <w:rFonts w:ascii="Arial" w:hAnsi="Arial" w:cs="Arial" w:eastAsia="Arial"/>
          <w:b/>
          <w:color w:val="auto"/>
          <w:spacing w:val="0"/>
          <w:position w:val="0"/>
          <w:sz w:val="22"/>
          <w:shd w:fill="auto" w:val="clear"/>
        </w:rPr>
      </w:pPr>
    </w:p>
    <w:p>
      <w:pPr>
        <w:tabs>
          <w:tab w:val="left" w:pos="1440" w:leader="none"/>
          <w:tab w:val="left" w:pos="1620" w:leader="none"/>
        </w:tabs>
        <w:spacing w:before="0" w:after="0" w:line="360"/>
        <w:ind w:right="0" w:left="36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2.3.2 Transformações no corpo </w:t>
      </w:r>
    </w:p>
    <w:p>
      <w:pPr>
        <w:spacing w:before="0" w:after="0" w:line="360"/>
        <w:ind w:right="0" w:left="360" w:firstLine="0"/>
        <w:jc w:val="both"/>
        <w:rPr>
          <w:rFonts w:ascii="Arial" w:hAnsi="Arial" w:cs="Arial" w:eastAsia="Arial"/>
          <w:b/>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 constante busca de adquirir e aperfeiçoar as formas femininas, as travestis e transexuais se submetem a diversos tipos de procedimentos para modelar seus corpos e garantir as curvas. Assim, as transformações feitas no corpo são imprescindíveis para que elas consigam a aparência feminina e afirmem sua identidade como mulher. Suzi diz que essas mudanças e transformações nos corpos acontecem por que a travesti e a transexual </w:t>
      </w:r>
    </w:p>
    <w:p>
      <w:pPr>
        <w:tabs>
          <w:tab w:val="left" w:pos="108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108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108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sente a necessidade de mudar, porque ela se olha no espelho e não se reconhece naquele corpo, naquela imagem refletida. Ela tem a essência feminina, a alma feminina que pede que adéqüe o psicológico ao corpo físico. Então como ela não se vê naquele corpo, começa a transformá-lo para se adaptar ao seu psicológico e o psicológico é feminino.</w:t>
      </w:r>
    </w:p>
    <w:p>
      <w:pPr>
        <w:tabs>
          <w:tab w:val="left" w:pos="1080" w:leader="none"/>
        </w:tabs>
        <w:spacing w:before="0" w:after="0" w:line="360"/>
        <w:ind w:right="0" w:left="3420" w:firstLine="0"/>
        <w:jc w:val="both"/>
        <w:rPr>
          <w:rFonts w:ascii="Arial" w:hAnsi="Arial" w:cs="Arial" w:eastAsia="Arial"/>
          <w:color w:val="auto"/>
          <w:spacing w:val="0"/>
          <w:position w:val="0"/>
          <w:sz w:val="20"/>
          <w:shd w:fill="auto" w:val="clear"/>
        </w:rPr>
      </w:pPr>
    </w:p>
    <w:p>
      <w:pPr>
        <w:tabs>
          <w:tab w:val="left" w:pos="1080" w:leader="none"/>
        </w:tabs>
        <w:spacing w:before="0" w:after="0" w:line="360"/>
        <w:ind w:right="0" w:left="3420" w:firstLine="0"/>
        <w:jc w:val="both"/>
        <w:rPr>
          <w:rFonts w:ascii="Arial" w:hAnsi="Arial" w:cs="Arial" w:eastAsia="Arial"/>
          <w:color w:val="auto"/>
          <w:spacing w:val="0"/>
          <w:position w:val="0"/>
          <w:sz w:val="20"/>
          <w:shd w:fill="auto" w:val="clear"/>
        </w:rPr>
      </w:pPr>
    </w:p>
    <w:p>
      <w:pPr>
        <w:tabs>
          <w:tab w:val="left" w:pos="108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Durante a adolescência tem início as primeiras mudanças a serem feitas e mesmo antes de assumir-se para a sociedade a travesti e a transexual começam a afinar a sobrancelha, fazer as unhas, usar o cabelo comprido, etc. Após essa fase, mas ainda na adolescência, a utilização de hormônios é iniciada. </w:t>
      </w:r>
    </w:p>
    <w:p>
      <w:pPr>
        <w:spacing w:before="0" w:after="0" w:line="360"/>
        <w:ind w:right="0" w:left="360" w:firstLine="720"/>
        <w:jc w:val="both"/>
        <w:rPr>
          <w:rFonts w:ascii="Arial" w:hAnsi="Arial" w:cs="Arial" w:eastAsia="Arial"/>
          <w:color w:val="auto"/>
          <w:spacing w:val="0"/>
          <w:position w:val="0"/>
          <w:sz w:val="22"/>
          <w:shd w:fill="auto" w:val="clear"/>
        </w:rPr>
      </w:pPr>
    </w:p>
    <w:p>
      <w:pPr>
        <w:tabs>
          <w:tab w:val="left" w:pos="2340" w:leader="none"/>
          <w:tab w:val="left" w:pos="2520" w:leader="none"/>
          <w:tab w:val="left" w:pos="2700" w:leader="none"/>
        </w:tabs>
        <w:spacing w:before="0" w:after="0" w:line="360"/>
        <w:ind w:right="0" w:left="1440" w:hanging="36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2.3.2.1 Hormônios </w:t>
      </w:r>
    </w:p>
    <w:p>
      <w:pPr>
        <w:spacing w:before="0" w:after="0" w:line="360"/>
        <w:ind w:right="0" w:left="360" w:firstLine="0"/>
        <w:jc w:val="both"/>
        <w:rPr>
          <w:rFonts w:ascii="Arial" w:hAnsi="Arial" w:cs="Arial" w:eastAsia="Arial"/>
          <w:b/>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Os hormônios constituem, por diversos motivos, o meio mais utilizado pelas travestis e transexuais para realizar as transformações no corpo. Um desses motivos é a facilidade em adquirir o produto, pois na hora da compra nenhuma farmácia exige a prescrição médica para vender os hormônios.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Assim, as travestis e transexuais podem comprar o hormônio que quiser, pois tanto os anticoncepcionais em cápsulas como os injetáveis possuem preços bastante acessíveis. Suzi disse que também é muito comum que as travestis e transexuais comprem os hormônios de acordo com troca de indicações entre as que já fizeram uso de algum tipo e se deu bem ou obteve determinados resultados.</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Barbie disse que através da ingestão de alguns tipos de hormônios femininos, além de adquirir formas femininas, há a diminuição do pênis e o desaparecimento dos testículos ocorrendo uma atrofiação da genitália biológica.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Iniciar a utilização dos hormônios ainda na puberdade garante a aquisição das formas femininas com maior facilidade, pois impede que o hormônio masculino aja no corpo e que características como a voz grassa e desenvolvimento dos pêlos da barba e de outras áreas ocorra em menor quantidade.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2.3.2.2 Silicone </w:t>
      </w:r>
    </w:p>
    <w:p>
      <w:pPr>
        <w:spacing w:before="0" w:after="0" w:line="360"/>
        <w:ind w:right="0" w:left="0" w:firstLine="0"/>
        <w:jc w:val="both"/>
        <w:rPr>
          <w:rFonts w:ascii="Arial" w:hAnsi="Arial" w:cs="Arial" w:eastAsia="Arial"/>
          <w:b/>
          <w:color w:val="auto"/>
          <w:spacing w:val="0"/>
          <w:position w:val="0"/>
          <w:sz w:val="22"/>
          <w:shd w:fill="auto" w:val="clear"/>
        </w:rPr>
      </w:pP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silicone é utilizado quando se quer adquirir as formas desejadas mais rapidamente ou quando a ingestão de hormônio começa na fase adulta e já não faz muito efeito. Como as travestis e transexuais são, de acordo com Suzi, muito vaidosas, elas sempre querem aplicar prótese de silicone e fazer cirurgias plásticas, mas esses procedimentos custam muito dinheiro e são poucas as travestis e transexuais que podem pagar caro para colocar próteses de silicone nos seios, nádegas, pernas, queixo, etc.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consequência, elas recorrem ao uso do silicone industrial que é muito perigoso, pois pode causar infecção e levar até a morte.  Além disso, o processo é muito doloroso do início ao fim, pois o silicone industrial é um tipo de gel muito grosso que é aplicado através de várias injeções e sem nenhum tipo de anestesia prévia.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processo de aplicação do silicone industrial é caseiro, feito por pessoas que não possuem qualificação para realizar este procedimento, pois geralmente não são da área de saúde. Essas pessoas são chamadas de “bombadeiras” porque o ato de injetar o silicone industrial no corpo é conhecido como “bombar”.</w:t>
      </w: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Devido aos perigos e problemas que podem decorrer da utilização do silicone industrial, Suzi afirma que a AMOTRANS e o movimento nacional de travestis e transexuais não aconselham a utilização do produto, mas que por outro lado o movimento também reconhece </w:t>
      </w:r>
    </w:p>
    <w:p>
      <w:pPr>
        <w:tabs>
          <w:tab w:val="left" w:pos="6560" w:leader="none"/>
        </w:tabs>
        <w:spacing w:before="0" w:after="0" w:line="360"/>
        <w:ind w:right="0" w:left="3420" w:firstLine="0"/>
        <w:jc w:val="both"/>
        <w:rPr>
          <w:rFonts w:ascii="Arial" w:hAnsi="Arial" w:cs="Arial" w:eastAsia="Arial"/>
          <w:color w:val="auto"/>
          <w:spacing w:val="0"/>
          <w:position w:val="0"/>
          <w:sz w:val="20"/>
          <w:shd w:fill="auto" w:val="clear"/>
        </w:rPr>
      </w:pPr>
    </w:p>
    <w:p>
      <w:pPr>
        <w:tabs>
          <w:tab w:val="left" w:pos="6560" w:leader="none"/>
        </w:tabs>
        <w:spacing w:before="0" w:after="0" w:line="360"/>
        <w:ind w:right="0" w:left="3420" w:firstLine="0"/>
        <w:jc w:val="both"/>
        <w:rPr>
          <w:rFonts w:ascii="Arial" w:hAnsi="Arial" w:cs="Arial" w:eastAsia="Arial"/>
          <w:color w:val="auto"/>
          <w:spacing w:val="0"/>
          <w:position w:val="0"/>
          <w:sz w:val="20"/>
          <w:shd w:fill="auto" w:val="clear"/>
        </w:rPr>
      </w:pPr>
    </w:p>
    <w:p>
      <w:pPr>
        <w:tabs>
          <w:tab w:val="left" w:pos="656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que as meninas não têm dinheiro para recorrer às cirurgias plásticas numa clinica e ai elas usam o silicone industrial. É preciso entender também que ser feminina é um desejo intimo que vem da essência dela. Então se recomenda e mostra os riscos, fazer assepsia, procurar uma boa “bombadeira”, etc.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1440" w:hanging="360"/>
        <w:jc w:val="both"/>
        <w:rPr>
          <w:rFonts w:ascii="Arial" w:hAnsi="Arial" w:cs="Arial" w:eastAsia="Arial"/>
          <w:b/>
          <w:color w:val="auto"/>
          <w:spacing w:val="0"/>
          <w:position w:val="0"/>
          <w:sz w:val="22"/>
          <w:shd w:fill="auto" w:val="clear"/>
        </w:rPr>
      </w:pPr>
    </w:p>
    <w:p>
      <w:pPr>
        <w:spacing w:before="0" w:after="0" w:line="360"/>
        <w:ind w:right="0" w:left="1440" w:hanging="360"/>
        <w:jc w:val="both"/>
        <w:rPr>
          <w:rFonts w:ascii="Arial" w:hAnsi="Arial" w:cs="Arial" w:eastAsia="Arial"/>
          <w:b/>
          <w:color w:val="auto"/>
          <w:spacing w:val="0"/>
          <w:position w:val="0"/>
          <w:sz w:val="22"/>
          <w:shd w:fill="auto" w:val="clear"/>
        </w:rPr>
      </w:pPr>
    </w:p>
    <w:p>
      <w:pPr>
        <w:spacing w:before="0" w:after="0" w:line="360"/>
        <w:ind w:right="0" w:left="1440" w:hanging="360"/>
        <w:jc w:val="both"/>
        <w:rPr>
          <w:rFonts w:ascii="Arial" w:hAnsi="Arial" w:cs="Arial" w:eastAsia="Arial"/>
          <w:b/>
          <w:color w:val="auto"/>
          <w:spacing w:val="0"/>
          <w:position w:val="0"/>
          <w:sz w:val="22"/>
          <w:shd w:fill="auto" w:val="clear"/>
        </w:rPr>
      </w:pPr>
    </w:p>
    <w:p>
      <w:pPr>
        <w:spacing w:before="0" w:after="0" w:line="360"/>
        <w:ind w:right="0" w:left="1440" w:hanging="360"/>
        <w:jc w:val="both"/>
        <w:rPr>
          <w:rFonts w:ascii="Arial" w:hAnsi="Arial" w:cs="Arial" w:eastAsia="Arial"/>
          <w:b/>
          <w:color w:val="auto"/>
          <w:spacing w:val="0"/>
          <w:position w:val="0"/>
          <w:sz w:val="22"/>
          <w:shd w:fill="auto" w:val="clear"/>
        </w:rPr>
      </w:pPr>
    </w:p>
    <w:p>
      <w:pPr>
        <w:spacing w:before="0" w:after="0" w:line="360"/>
        <w:ind w:right="0" w:left="1440" w:hanging="360"/>
        <w:jc w:val="both"/>
        <w:rPr>
          <w:rFonts w:ascii="Arial" w:hAnsi="Arial" w:cs="Arial" w:eastAsia="Arial"/>
          <w:b/>
          <w:color w:val="auto"/>
          <w:spacing w:val="0"/>
          <w:position w:val="0"/>
          <w:sz w:val="22"/>
          <w:shd w:fill="auto" w:val="clear"/>
        </w:rPr>
      </w:pPr>
    </w:p>
    <w:p>
      <w:pPr>
        <w:spacing w:before="0" w:after="0" w:line="360"/>
        <w:ind w:right="0" w:left="1440" w:hanging="36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2.3.2.3 Cirurgia de transgenitalização</w:t>
      </w:r>
    </w:p>
    <w:p>
      <w:pPr>
        <w:spacing w:before="0" w:after="0" w:line="360"/>
        <w:ind w:right="0" w:left="360" w:firstLine="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Mesmo sendo desejo da maioria das transexuais, Barbie diz que “o que caracteriza a transexual não é a cirurgia ou a vagina. O que caracteriza a transexual é ela se reconhecer e se colocar para a sociedade como mulher”. Assim Barbie diz que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existem três passos para se chegar à cirurgia. O primeiro passo é ela se reconhecer como mulher. O segundo passo é a anulação da genitália. O terceiro passo é achar o ponto G, para que ela possa sentir prazer sem o sexo biológico dela, por que quando ela for fazer a cirurgia ela não vai ter o orgasmo feminino, já que ela não vai ter o aparelho reprodutor feminino. Ela vai ter apenas o canal vaginal. Assim, se antes da cirurgia ela já souber qual o seu ponto G ela vai poder sentir prazer após a cirurgia. </w:t>
      </w: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360"/>
        <w:ind w:right="0" w:left="3420" w:firstLine="0"/>
        <w:jc w:val="both"/>
        <w:rPr>
          <w:rFonts w:ascii="Arial" w:hAnsi="Arial" w:cs="Arial" w:eastAsia="Arial"/>
          <w:color w:val="auto"/>
          <w:spacing w:val="0"/>
          <w:position w:val="0"/>
          <w:sz w:val="20"/>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Atualmente a cirurgia para mudança de sexo pode ser feita pelo sistema único de saúde (SUS), mas não em todos os estados do país, além de haver uma longa uma fila de espera. Barbie disse também que fazer a cirurgia pelo SUS “é complicado de fazer porque passa pela pressão psicológica, pois os médicos ainda não estão bem preparados e algumas vezes a cirurgia não é bem sucedida por causa da falta de estrutura”.</w:t>
      </w:r>
    </w:p>
    <w:p>
      <w:pPr>
        <w:spacing w:before="0" w:after="0" w:line="360"/>
        <w:ind w:right="0" w:left="360" w:firstLine="720"/>
        <w:jc w:val="both"/>
        <w:rPr>
          <w:rFonts w:ascii="Arial" w:hAnsi="Arial" w:cs="Arial" w:eastAsia="Arial"/>
          <w:b/>
          <w:color w:val="auto"/>
          <w:spacing w:val="0"/>
          <w:position w:val="0"/>
          <w:sz w:val="22"/>
          <w:shd w:fill="auto" w:val="clear"/>
        </w:rPr>
      </w:pPr>
    </w:p>
    <w:p>
      <w:pPr>
        <w:spacing w:before="0" w:after="0" w:line="360"/>
        <w:ind w:right="0" w:left="36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2.3.3 O prazer e o ato sexual </w:t>
      </w:r>
    </w:p>
    <w:p>
      <w:pPr>
        <w:spacing w:before="0" w:after="0" w:line="360"/>
        <w:ind w:right="0" w:left="360" w:firstLine="0"/>
        <w:jc w:val="both"/>
        <w:rPr>
          <w:rFonts w:ascii="Arial" w:hAnsi="Arial" w:cs="Arial" w:eastAsia="Arial"/>
          <w:b/>
          <w:color w:val="auto"/>
          <w:spacing w:val="0"/>
          <w:position w:val="0"/>
          <w:sz w:val="22"/>
          <w:shd w:fill="auto" w:val="clear"/>
        </w:rPr>
      </w:pPr>
    </w:p>
    <w:p>
      <w:pPr>
        <w:spacing w:before="0" w:after="0" w:line="360"/>
        <w:ind w:right="0" w:left="360" w:firstLine="72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2.3.3.1 Para elas</w:t>
      </w:r>
    </w:p>
    <w:p>
      <w:pPr>
        <w:spacing w:before="0" w:after="0" w:line="360"/>
        <w:ind w:right="0" w:left="720" w:firstLine="0"/>
        <w:jc w:val="both"/>
        <w:rPr>
          <w:rFonts w:ascii="Arial" w:hAnsi="Arial" w:cs="Arial" w:eastAsia="Arial"/>
          <w:b/>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Barbie afirma que “o prazer da transexual está em saber que seu parceiro a percebe como mulher e não como transexual”. Assim quando a transexual não é “cirurgiada” ela não se entrega completamente na relação sexual. Isso acontece por que ela fica sempre preocupada com o adesivo, para que ele não caia ou saia do lugar e o parceiro dela não veja sua genitália biológica.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Já as travestis preferem não mostrar ou utilizar o seu pênis durante a relação sexual, mas quando é preciso que utilizem, elas fazem sem grandes traumas. Segundo Suzi, a preferência entre ser ativa e passiva durante a relação sexual depende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de cada uma, mas no programa ela tem que aprender a ser ativa ou ela não ganha dinheiro, porque uns 80% dos programas que elas fazem é para ser ativa (...) mas com os maridos delas (porque muitas fazem programa, mas tem o companheiro certo) elas fazem mais o papel de passiva porque ai formou um casal mesmo.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Tanto as transexuais como a travestis preferem se relacionar com homens heterossexuais, porém a maioria dos homens acredita que se ele tiver relações sexuais com uma transexual ou com a travesti ele será gay. Por causa disso, Barbie diz que “é preciso educar a cabeça do homem para que ele se permita a ter novas experiências”.</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2.3.3.2 Para o parceiro e/ou cliente </w:t>
      </w:r>
    </w:p>
    <w:p>
      <w:pPr>
        <w:spacing w:before="0" w:after="0" w:line="360"/>
        <w:ind w:right="0" w:left="720" w:firstLine="0"/>
        <w:jc w:val="both"/>
        <w:rPr>
          <w:rFonts w:ascii="Arial" w:hAnsi="Arial" w:cs="Arial" w:eastAsia="Arial"/>
          <w:b/>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Barbie diz que a relação entre transexual X cliente é mais complicada do que a relação travesti X cliente, pois a maioria dos homens está acostumada a sair com as travestis (porque elas são maioria) e como elas não tem grandes problemas em mostrar a genitália durante a relação (mesmo que ela faça o papel de passivo), o homem vai sentir a diferença na relação com a transexual por que ela não vai querer mostrar a genitália e muito menos exercer a função de ativa.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maioria dos homens que busca as travestis quer que elas sejam ativas. Eles procuram a aparência feminina com ereção, porque segundo Suzi “é um fetiche que eles têm de serem dominados por elas”. Suzi ainda disse que grande parte desses homens são casados.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sociedade vê os homens que saem com as travestis como homossexuais, pois eles são passivos, ou seja, eles são penetrados durante a relação sexual. Mas, para as travestis esses homens são heterossexuais. O argumento utilizado para defender esta idéia é de que eles são heterossexuais porque o que os atrai é a aparência feminina. Se eles fossem gays eles iriam querer estar com outro homem. Então, na visão das travestis, mesmo que esses homens durante a relação sexual com as travestis exerçam o papel de passivo, mesmo assim eles são heterossexuais.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2.3.4 Relação das transexuais e das travestis com a família </w:t>
      </w:r>
    </w:p>
    <w:p>
      <w:pPr>
        <w:spacing w:before="0" w:after="0" w:line="360"/>
        <w:ind w:right="0" w:left="360" w:firstLine="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Barbie diz que a relação da transexual com a família é mais fácil do que a relação da travesti com sua família. Segunda ela,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 relação entre a transexual e sua família é mais fácil porque os pais percebem que a feminilidade que a transexual passa é mais natural, então tudo vai acontecendo naturalmente. A readequação do corpo acontece naturalmente então a aceitação dos pais vai acontecendo aos poucos de forma natural.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tabs>
          <w:tab w:val="left" w:pos="6560" w:leader="none"/>
        </w:tabs>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Porém essa colocação de Barbie não contempla a realidade vivida pela maioria das pessoas que ultrapassam as barreiras da heteronormatividade, pois em meio à sociedade machista e homofóbica em que vivemos é constante que muitas travestis e transexuais sejam expulsas de casa por causa do preconceito dos pais. Esse fato pode ser comprovado quando Suzi diz que </w:t>
      </w:r>
    </w:p>
    <w:p>
      <w:pPr>
        <w:tabs>
          <w:tab w:val="left" w:pos="6560" w:leader="none"/>
        </w:tabs>
        <w:spacing w:before="0" w:after="0" w:line="360"/>
        <w:ind w:right="0" w:left="0" w:firstLine="1080"/>
        <w:jc w:val="both"/>
        <w:rPr>
          <w:rFonts w:ascii="Arial" w:hAnsi="Arial" w:cs="Arial" w:eastAsia="Arial"/>
          <w:color w:val="auto"/>
          <w:spacing w:val="0"/>
          <w:position w:val="0"/>
          <w:sz w:val="22"/>
          <w:shd w:fill="auto" w:val="clear"/>
        </w:rPr>
      </w:pPr>
    </w:p>
    <w:p>
      <w:pPr>
        <w:tabs>
          <w:tab w:val="left" w:pos="6560" w:leader="none"/>
        </w:tabs>
        <w:spacing w:before="0" w:after="0" w:line="360"/>
        <w:ind w:right="0" w:left="0" w:firstLine="1080"/>
        <w:jc w:val="both"/>
        <w:rPr>
          <w:rFonts w:ascii="Arial" w:hAnsi="Arial" w:cs="Arial" w:eastAsia="Arial"/>
          <w:color w:val="auto"/>
          <w:spacing w:val="0"/>
          <w:position w:val="0"/>
          <w:sz w:val="22"/>
          <w:shd w:fill="auto" w:val="clear"/>
        </w:rPr>
      </w:pPr>
    </w:p>
    <w:p>
      <w:pPr>
        <w:tabs>
          <w:tab w:val="left" w:pos="656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infelizmente a gente perde muito a família, porque a primeira instituição preconceituosa é a família. É o primeiro lugar onde a gente sofre preconceito. Às vezes o pai e a mãe até aceitam, mas tem um irmão que não gosta, tem um primo ou um tio que não gosta. </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 geral essa expulsão ocorre muito cedo, pois tanto no caso das travestis como das transexuais o desejo pelas mudanças no corpo surgem ainda na adolescência, fazendo com que desde cedo elas tenham que cair na prostituição para sobreviver. </w:t>
      </w:r>
    </w:p>
    <w:p>
      <w:pPr>
        <w:spacing w:before="0" w:after="0" w:line="360"/>
        <w:ind w:right="0" w:left="0" w:firstLine="1080"/>
        <w:jc w:val="both"/>
        <w:rPr>
          <w:rFonts w:ascii="Arial" w:hAnsi="Arial" w:cs="Arial" w:eastAsia="Arial"/>
          <w:color w:val="auto"/>
          <w:spacing w:val="0"/>
          <w:position w:val="0"/>
          <w:sz w:val="22"/>
          <w:shd w:fill="auto" w:val="clear"/>
        </w:rPr>
      </w:pPr>
    </w:p>
    <w:p>
      <w:pPr>
        <w:tabs>
          <w:tab w:val="left" w:pos="540" w:leader="none"/>
        </w:tabs>
        <w:spacing w:before="0" w:after="0" w:line="360"/>
        <w:ind w:right="0" w:left="36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2.3.5 Relação das transexuais e das travestis com a sociedade</w:t>
      </w:r>
    </w:p>
    <w:p>
      <w:pPr>
        <w:spacing w:before="0" w:after="0" w:line="360"/>
        <w:ind w:right="0" w:left="360" w:firstLine="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já foi visto anteriormente, uma das diferenças entre as travestis e as transexuais é a forma como elas se colocam para a sociedade. Segundo Barbie, “algumas transexuais se colocam para a sociedade para como mulher transexual para não chocar muito”. Mesmo assim, a vida das transexuais e das travestis é marcada pelo preconceito da sociedade que é constante e acaba afetando várias áreas de suas vidas. Segundo Suzi,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 falar em travesti as pessoas já ficam assustadas, porque vêem a imagem de um homem vestido de mulher - e esse vestido de mulher são dois pedaços de pano minúsculos - com uma arma na bolsa e um canivete pronto pra lhe assaltar.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Barbie diz que diz que não sofreu e nem sofre muito preconceito porque acha que expressa bem a sua feminilidade. Ela acredita que por isso e também pelo fato de que as pessoas quando estão em dúvida não arriscam falar algo e então se calam.</w:t>
      </w:r>
    </w:p>
    <w:p>
      <w:pPr>
        <w:spacing w:before="0" w:after="0" w:line="360"/>
        <w:ind w:right="0" w:left="720" w:firstLine="360"/>
        <w:jc w:val="both"/>
        <w:rPr>
          <w:rFonts w:ascii="Arial" w:hAnsi="Arial" w:cs="Arial" w:eastAsia="Arial"/>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2.3.5.1 Escola</w:t>
      </w:r>
    </w:p>
    <w:p>
      <w:pPr>
        <w:tabs>
          <w:tab w:val="left" w:pos="6840" w:leader="none"/>
        </w:tabs>
        <w:spacing w:before="0" w:after="0" w:line="360"/>
        <w:ind w:right="0" w:left="1440" w:firstLine="0"/>
        <w:jc w:val="both"/>
        <w:rPr>
          <w:rFonts w:ascii="Arial" w:hAnsi="Arial" w:cs="Arial" w:eastAsia="Arial"/>
          <w:b/>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Tanto Barbie quanto Suzi possuem o segundo grau completo, porém quando terminaram o ensino médio, ambas não se vestiam com roupas do sexo oposto ao seu biológico. Barbie completou o ensino médio no Colégio Contato na cidade do Recife e mesmo tendo um jeito efeminado e usando o cabelo e roupas masculinas (pois ainda não sabia nada a respeito do transexualismo), ela diz que não sofreu muito preconceito. </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Quando Suzi terminou o ensino médio, aos 17 anos, ela era gay, mas ainda não era travesti. Devido a esse motivo ela diz não ter sofrido tanto preconceito. Já quando fez o curso de extensão ela ficou receosa por causa do preconceito que poderia sofrer pelos professores, alunos e funcionários da escola, por ela ser uma travesti. Mesmo assim ela disse que não sofreu preconceito e, inclusive, ela era chamada pelos professores e alunos, pelo seu nome social, que também era o nome que constava na ata de freqüência dos alunos. </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Porém é importante destacar que esses casos são exceção e que as transexuais e as travestis sofrem bastante preconceito no ambiente escolar. Suzi confirma esse fato dizendo que quando vão à escola as travestis são motivo de chacota, além de serem, muitas vezes, agredidas fisicamente e verbalmente. Por causa desse preconceito sofrido, as escolas tornam-se um ambiente hostil e a maioria delas abandonam as salas de aula.</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2.3.5.2 Trabalho e prostituição</w:t>
      </w:r>
    </w:p>
    <w:p>
      <w:pPr>
        <w:tabs>
          <w:tab w:val="left" w:pos="6840" w:leader="none"/>
        </w:tabs>
        <w:spacing w:before="0" w:after="0" w:line="360"/>
        <w:ind w:right="0" w:left="360" w:firstLine="720"/>
        <w:jc w:val="both"/>
        <w:rPr>
          <w:rFonts w:ascii="Arial" w:hAnsi="Arial" w:cs="Arial" w:eastAsia="Arial"/>
          <w:b/>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mercado de trabalho está cada vez mais competitivo e conseguir uma vaga de emprego é uma missão difícil, a qual exige do candidato capacitação e inúmeras qualidades. Para as travestis e transexuais há, ainda, dois motivos que dificultam ainda mais o ingresso no mercado formal de trabalho, são eles o preconceito e o baixo nível de escolaridade, consequência do abandono à escola.</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Suzi disse que o preconceito nas empresas é muito velado e relatou a experiência que passou quando esteve desempregada durante um período de três anos:</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2340" w:leader="none"/>
          <w:tab w:val="left" w:pos="684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quando eu ia fazer entrevista de emprego e descobriam que eu era travesti davam a desculpa de que “a vaga já foi preenchida”. Se a vaga era destinada ao sexo feminino eu não podia ocupar por que não era do sexo feminino e se era destinada ao sexo masculino eu também não podia ocupar porque não me caracterizava como sendo do sexo masculino.</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É por causa dessa dificuldade em conseguir emprego que a maioria das travestis e transexuais recorre para a única opção que lhes resta: ir para a rua vender o corpo. Suzi confirma isso quando diz que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 vida da travesti e das transexuais é uma seqüência de perdas. Ela perde logo a família, porque muitas são expulsas de casa. Depois elas saem da escola, porque a escola passa a ser um ambiente hostil. Ai sai de casa e da escola e vai para a rua. Essa é a causa de a maioria das travestis serem prostitutas, profissionais do sexo. Por que depois que elas saem da escola perdem o direito a educação, saem do seio familiar, ai só resta a rua para elas.</w:t>
      </w:r>
    </w:p>
    <w:p>
      <w:pPr>
        <w:spacing w:before="0" w:after="0" w:line="360"/>
        <w:ind w:right="0" w:left="2340" w:firstLine="0"/>
        <w:jc w:val="both"/>
        <w:rPr>
          <w:rFonts w:ascii="Arial" w:hAnsi="Arial" w:cs="Arial" w:eastAsia="Arial"/>
          <w:color w:val="auto"/>
          <w:spacing w:val="0"/>
          <w:position w:val="0"/>
          <w:sz w:val="20"/>
          <w:shd w:fill="auto" w:val="clear"/>
        </w:rPr>
      </w:pPr>
    </w:p>
    <w:p>
      <w:pPr>
        <w:spacing w:before="0" w:after="0" w:line="360"/>
        <w:ind w:right="0" w:left="3420" w:firstLine="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já relatado por Barbie, a relação com o cliente é mais complicada para a transexual, mas devido à baixa condição financeira, algumas transexuais também trabalham como profissionais do sexo.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Suzi diz que é muito comum que as pessoas atrelem a prostituição à travesti, pois “a maioria das travestis faz programa, mais ou menos uns 90%, porque foi o que sobrou para elas, foi o que a sociedade impôs para elas”.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Após “caírem” na prostituição as travestis entram em contato com a cafetina, que também é uma travesti só que, geralmente, mais velha. A partir desse contato, a cafetina vai investir na travesti e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vai deixar o corpo dela perfeito a base de silicone e vai colocar ela num ponto para ela fazer programa e pagar o silicone que colocou. A partir daí ela vai morar na casa da cafetina então ela vai ter que pagar também a diária pela moradia e pela comida.  </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Desta forma, o dinheiro conseguido com os programas tem que ser suficiente para pagar as despesas de suas necessidades primárias e para fazer as transformações no corpo.  O valor do programa varia bastante e em alguns casos elas chegam a fazer o programa em troca de drogas.</w:t>
      </w: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Assim, durante a noite na rua, além de terem que se prostituir, as travestis e transexuais ficam ainda mais expostas ao preconceito da sociedade, o que muitas vezes resulta em algum tipo de violência. As agressões e os crimes cometidos contra elas são praticados às vezes pelos clientes e, na maioria dos casos, por pessoas que não conhecem ou não possuem relações sexuais com a vítima, como é o caso de homens que cometem esses crimes movidos pelo preconceito e pelo ódio. </w:t>
      </w: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Também são comuns as agressões contra as travestis e transexuais que se prostituem cometidas por policiais. Suzi confirma essa ocorrência dizendo que a relação da polícia com as travestis é uma relação de perseguição, pois a polícia não as respeita. Ela diz que os policiais batem nas travestis por qualquer motivo, assaltam e forçam a fazer sexo. </w:t>
      </w: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56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560" w:leader="none"/>
        </w:tabs>
        <w:spacing w:before="0" w:after="0" w:line="240"/>
        <w:ind w:right="0" w:left="23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 se ela for dar queixa ninguém vai acreditar; vai ser a palavra dela contra a do policial. Se ela for pra delegacia prestar queixa de um policial ela vai ser presa. Ela passa de vitima à culpada, porque os direitos humanos delas não são respeitados em lugar nenhum na sociedade. </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consequência, grande parte dessas agressões e crimes ficam sem solução, pois os assassinos não são encontrados (e na maioria das vezes não são nem mesmo procurados) além de voltarem a praticar os mesmos crimes.  Frequentemente fica sem punição, também, o tráfico de seres humanos com fins de exploração sexual que é uma prática criminosa e atinge as travestis e transexuais. O que acontece de diferente dos casos das outras mulheres é que estas são enganadas e só descobrem que foram para trabalhar como prostitutas após chegarem ao exterior. Já no caso das travestis e transexuais, estas sabem desde o início que vão para trabalhar como prostitutas. </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Também acontecem migrações voluntárias por parte das travestis, que vão pelo “glamour” da viagem e/ou prestígio que adquirem perante o grupo, mas o maior objetivo é juntar dinheiro e “vencer na vida”, já que o “programa” na Europa é mais valorizado. Geralmente essa viagem é intermediada pela cafetina ou por redes organizadas que facilitam a entrada das travestis nos países de destino. Após um tempo, algumas travestis conseguem juntar dinheiro e voltar com uma condição melhor, mas não são todas que têm a mesma sorte. </w:t>
      </w: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color w:val="auto"/>
          <w:spacing w:val="0"/>
          <w:position w:val="0"/>
          <w:sz w:val="22"/>
          <w:shd w:fill="auto" w:val="clear"/>
        </w:rPr>
      </w:pPr>
    </w:p>
    <w:p>
      <w:pPr>
        <w:tabs>
          <w:tab w:val="left" w:pos="6840" w:leader="none"/>
        </w:tabs>
        <w:spacing w:before="0" w:after="0" w:line="360"/>
        <w:ind w:right="0" w:left="360" w:firstLine="72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2.3.5.3 Nome social e mudança de nome</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Ser chamada pelo seu nome social é uma das maiores e mais antigas reivindicações do movimento das travestis e transexuais. O motivo é o constrangimento causado por ter a aparência feminina e ser chamada pelo seu nome de registro, que é masculino.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Barbie diz que esse direito já é garantido no caso da saúde, em que a portaria nº 675, de 30 de março de 2006, aprova a Carta de Direitos dos Usuários da Saúde e garante, no seu terceiro princípio, a todo cidadão, inclusive as travestis e transexuais, o direito ao atendimento acolhedor e livre de discriminação, além do direito de terem em seus prontuários de atendimento o nome pelo qual preferem ser chamados, ou seja, seu nome social. Assim a luta é para que esse seja um direito estendido a todos os espaços da sociedade.</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âmbito escolar, por exemplo, a evasão das travestis e transexuais ocorre, na maior parte dos casos, por conta do constrangimento sofrido por ser chamada pelo nome que não corresponde à sua imagem.  </w:t>
      </w:r>
    </w:p>
    <w:p>
      <w:pPr>
        <w:spacing w:before="0" w:after="0" w:line="360"/>
        <w:ind w:right="0" w:left="36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as transexuais, a mudança de nome é fundamental para que ela possa fortalecer sua identidade como mulher. Porém, só após a cirurgia de transgenitalização é que ela tem o direito de mudar seu nome, e em sua documentação ela ficará registrada como mulher transexual.</w:t>
      </w:r>
    </w:p>
    <w:p>
      <w:pPr>
        <w:spacing w:before="0" w:after="0" w:line="360"/>
        <w:ind w:right="0" w:left="360" w:firstLine="720"/>
        <w:jc w:val="both"/>
        <w:rPr>
          <w:rFonts w:ascii="Arial" w:hAnsi="Arial" w:cs="Arial" w:eastAsia="Arial"/>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CONSIDERAÇÕES FINAIS</w:t>
      </w:r>
    </w:p>
    <w:p>
      <w:pPr>
        <w:spacing w:before="0" w:after="0" w:line="360"/>
        <w:ind w:right="0" w:left="0" w:firstLine="1080"/>
        <w:jc w:val="both"/>
        <w:rPr>
          <w:rFonts w:ascii="Arial" w:hAnsi="Arial" w:cs="Arial" w:eastAsia="Arial"/>
          <w:color w:val="auto"/>
          <w:spacing w:val="0"/>
          <w:position w:val="0"/>
          <w:sz w:val="24"/>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Iniciando nossas considerações, faz-se necessário colocar algumas das conclusões quanto à conceituação das formas de homossexualidade, quanto ao corpo, à família e à sociedade que podem ser tiradas a partir deste trabalho.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que se refere à diferença na classificação dos homossexuais, percebemos que não houve concordância entre o depoimento das entrevistadas e a definição feita por alguns estudiosos consultados para a realização deste trabalho (Benedetti, 2005, Rede Ex Aequo, s/d). Assim, enquanto esses autores afirmam que as travestis e transexuais se enquadram na categoria dos transgêneros, a travesti entrevistada afirmou exatamente o contrário, justificando que elas não podem ser consideradas dessa forma por que elas não se travestem por fins de diversão ou trabalho e também por que os transgêneros aceitam sua identidade de gênero e sexo biológico, o que não ocorre no caso das travestis e transexuais.</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Houve discordância também em relação à conceituação sobre o que é a travesti. Para o autor consultado as travestis não se reconhecem como mulher e sim como travesti e por isso transitam entre o sexo masculino e o sexo feminino. A travesti entrevistada não é de acordo com essa definição, pois ela diz que as travestis se reconhecem como mulher e é por esse motivo que elas se transformam. Ela também não concorda com colocação de que a travesti transita entre os dois sexos, pois pode até ser que alguma travesti transite entre os sexos de acordo com a necessidade, mas a maioria se reconhece e se coloca como mulher em todas as situações do dia-a-dia.</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 relação ao corpo, percebe-se que houve concordância entre as colocações dos autores consultados e da travesti e transexual entrevistadas. Assim pode-se concluir que na busca pela construção do corpo feminino idealizado, as travestis e transexuais travam uma resistência ao sistema que impõe uma única forma de expressão afetiva e sexual, recorrendo ao tratamento hormonal, implantação de próteses de silicone, depilação e correções cirúrgicas para atingirem o seu modelo ideal de mulher.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 luta pela realização do sonho e com dificuldades financeiras para torná-lo real da forma mais segura, muitas travestis e transexuais recorrem à aplicação de silicone líquido industrial. Os prejuízos causados pela implantação deste silicone e pelo uso indiscriminado de hormônios que são adquiridos em farmácia sem qualquer prescrição médica resultam na morte de inúmeras travestis e transexuais, vítimas de infecções ou rejeição. Evidencia-se que, na busca pela transformação do corpo, este segmento se sujeita a uma roleta russa, na medida em que a “bombadeira” pode ser um sucesso ou deixar seqüelas, ocasionando por vezes a morte das clientes.</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Especificamente no trato das transexuais, destaca-se a necessidade da intervenção cirúrgica, pois se torna necessário minimizar a genitália de um sexo que não corresponde a sua identidade, sendo o corpo uma expressão da materialidade sexual. Se, no campo biológico, o corpo nos foi “dado”, existe a possibilidade do mesmo ser construído mediante a vontade do sujeito, expressando a transgressão de quem não se conforma com a matriz heterossexual.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que se refere à família, pudemos perceber que, embora as duas entrevistadas não tenham tido grandes problemas com a família por causa das formas como elas expressam a sexualidade, seus casos são exceções, pois a família nuclear burguesa constituída pela rigidez nas relações de gênero não aceita as travestis e transexuais por quebrarem a lógica do masculino e feminino como algo “acabado”, na medida em que estes segmentos se constroem como tal e consideram os seus corpos como um objeto sujeito a mudanças.</w:t>
      </w:r>
    </w:p>
    <w:p>
      <w:pPr>
        <w:spacing w:before="0" w:after="0" w:line="360"/>
        <w:ind w:right="0" w:left="0" w:firstLine="1080"/>
        <w:jc w:val="both"/>
        <w:rPr>
          <w:rFonts w:ascii="Arial" w:hAnsi="Arial" w:cs="Arial" w:eastAsia="Arial"/>
          <w:color w:val="auto"/>
          <w:spacing w:val="0"/>
          <w:position w:val="0"/>
          <w:sz w:val="22"/>
          <w:shd w:fill="auto" w:val="clear"/>
        </w:rPr>
      </w:pP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Desta forma, tal transgressão não é compreendida no seio familiar que se transforma numa arena de conflitos e de culpabilidade. Como entender uma menina que não brinca de boneca e nem sonha com o príncipe encantado que, por sua vez, cavalga em busca de outro príncipe? Prevalece a idéia errônea de que contrariar as normas sexuais impostas representa a imperfeição e um fator de desestrutura familiar.</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Os conflitos ocasionados pela homossexualidade de um ou mais membro da família agrava-se quando travado na adolescência, na medida em que a mesma é um estágio da vida caracterizada por mudanças comportamentais e corporais, potencializando a descoberta de novos desejos, por vezes incompreendidos pelo/a próprio/a adolescente.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Sem receber o tão esperado apoio dos familiares, que se culpam pela situação ou defendem que tal situação é fruto de uma “escolha”, os (as) homossexuais se afastam do convívio familiar para exercer a sua identidade sexual. Mesmo assim, salientamos que tal análise não pode ser generalizada, se considerarmos que a dinâmica familiar é passível de variações, desde uma suposta aceitação até atos de agressão física, verbal e expulsão de casa.</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Quanto ao ambiente escolar percebe-se que este é um espaço de socialização que se encontra permeado por uma ideologia de segregação, reproduzindo práticas discriminatórias no tocante a homofobia. Grande parte dos professores não sabe como lidar com este problema, diante da defasagem da grade curricular dos cursos de licenciatura que não preparam os futuros profissionais para tal enfrentamento.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Assim, o alto índice de evasão escolar deste segmento é resultante do despreparo do dito espaço educativo para o trato desta questão, na medida em que poucas são as ações desenvolvidas pelo mesmo para o combate de práticas discriminatórias. A escola passa a assumir uma postura de conivência e, por vezes, legitima tal prática ao considerar que a “forma de ser” da travesti e da transexual é o principal responsável pela forma com que as mesmas são tratadas no ambiente escolar.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conseqüência, o baixo índice de escolaridade atrelado ao preconceito dos que selecionam os (as) candidatos (as) aos postos de trabalho dificulta a inserção de travestis e transexuais no mercado formal. Uma das possibilidades de ingresso ocorre através dos concursos públicos, porém o nível de instrução da maioria deste segmento torna-se uma barreira para atingir tal conquista.</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Desta forma, resta à maioria das travestis e transexuais viver na chamada margem da sociedade, aderindo à prostituição e tornando-se vulnerável as mais diversas formas de violência, sobretudo proporcionada pelos policiais. Nos chamados pontos de batalha, as travestis vivenciam múltiplas expressões de humilhação, respaldadas pela ideologia de que as mesmas são cidadãs de segunda categoria, não merecendo assim qualquer consideração.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Outro espaço de empregabilidade é o setor informal, onde as mesmas atuam como maquiadoras, cabeleireiras e domésticas, funções atribuídas geralmente às mulheres.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Para finalizar gostaríamos de salientar o quanto esse trabalho foi enriquecedor para a nossa formação acadêmica e também para nossas vidas, pois tratar sobre o universo das travestis e transexuais é percorrer um universo marcado pela ignorância do senso comum, pensamento este que não se encontra restrito apenas no chamado "povo sem escolaridade", mas que também transita entre as mentes universitárias. </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obscuro, muitas vezes, assusta. E este, talvez, foi o nosso maior desafio: encarar um mundo que não é o nosso e que é permeado por questões desconhecidas por grande parte da população, que desrespeitam as identidades de travestis e transexuais, perpetuando uma prática de segregação.</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Suzi nos disse, a forma como cada um expressa sua sexualidade é algo muito pessoal e por isso não existe sexualidade correta nem errada. Dessa forma, ao entrar em contato com outras expressões afetivas-sexuais, percebemos o quanto estas "bonecas" não são frágeis. Pelo contrário, a força que cada uma carrega dentro de si é do tamanho dos tabus e preconceitos que as mesmas enfrentam. Frágil mesmo são nossas concepções sobre estas pessoas, considerando que basta uma aproximação, uma conversa franca, para que a concepção herdada do imaginário social seja estraçalhada pela plenitude e força daquelas palavras tão cheia de vida, que soam como um grito desesperado de quem tem sua voz e vez abafada por uma sociedade que vive ditando normas, padrões.</w:t>
      </w:r>
    </w:p>
    <w:p>
      <w:pPr>
        <w:spacing w:before="0" w:after="0" w:line="360"/>
        <w:ind w:right="0" w:left="0" w:firstLine="108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isso, este trabalho é uma forma de estimular um novo olhar sobre essas pessoas, que não são dignas de pena. Pois, penoso é reconhecer o quanto a sociedade desconhece tal realidade e a julga com tanta “propriedade”. É penoso observar o quanto estamos mergulhados na hipocrisia e na ignorância, mesmo nos reconhecendo como civilizados, modernos. Deixamos para os leitores este convite: saia do armário da ignorância e do senso comum que lhe impede de reconhecer nas transexuais e travestis, um sujeito histórico e detentoras de direito. Deixem-nas sobreviver, permitam-se.</w:t>
      </w:r>
    </w:p>
    <w:p>
      <w:pPr>
        <w:spacing w:before="0" w:after="0" w:line="240"/>
        <w:ind w:right="0" w:left="0" w:firstLine="0"/>
        <w:jc w:val="both"/>
        <w:rPr>
          <w:rFonts w:ascii="Arial" w:hAnsi="Arial" w:cs="Arial" w:eastAsia="Arial"/>
          <w:b/>
          <w:caps w:val="true"/>
          <w:color w:val="auto"/>
          <w:spacing w:val="0"/>
          <w:position w:val="0"/>
          <w:sz w:val="22"/>
          <w:shd w:fill="auto" w:val="clear"/>
        </w:rPr>
      </w:pPr>
    </w:p>
    <w:p>
      <w:pPr>
        <w:spacing w:before="0" w:after="0" w:line="240"/>
        <w:ind w:right="0" w:left="0" w:firstLine="0"/>
        <w:jc w:val="both"/>
        <w:rPr>
          <w:rFonts w:ascii="Arial" w:hAnsi="Arial" w:cs="Arial" w:eastAsia="Arial"/>
          <w:b/>
          <w:caps w:val="true"/>
          <w:color w:val="auto"/>
          <w:spacing w:val="0"/>
          <w:position w:val="0"/>
          <w:sz w:val="22"/>
          <w:shd w:fill="auto" w:val="clear"/>
        </w:rPr>
      </w:pPr>
    </w:p>
    <w:p>
      <w:pPr>
        <w:spacing w:before="0" w:after="0" w:line="240"/>
        <w:ind w:right="0" w:left="0" w:firstLine="0"/>
        <w:jc w:val="both"/>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Referências </w:t>
      </w:r>
    </w:p>
    <w:p>
      <w:pPr>
        <w:spacing w:before="0" w:after="0" w:line="36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b/>
          <w:color w:val="auto"/>
          <w:spacing w:val="0"/>
          <w:position w:val="0"/>
          <w:sz w:val="23"/>
          <w:shd w:fill="auto" w:val="clear"/>
        </w:rPr>
      </w:pPr>
      <w:r>
        <w:rPr>
          <w:rFonts w:ascii="Arial" w:hAnsi="Arial" w:cs="Arial" w:eastAsia="Arial"/>
          <w:color w:val="auto"/>
          <w:spacing w:val="0"/>
          <w:position w:val="0"/>
          <w:sz w:val="22"/>
          <w:shd w:fill="auto" w:val="clear"/>
        </w:rPr>
        <w:t xml:space="preserve">AUGUSTO, Antônio. </w:t>
      </w:r>
      <w:r>
        <w:rPr>
          <w:rFonts w:ascii="Arial" w:hAnsi="Arial" w:cs="Arial" w:eastAsia="Arial"/>
          <w:b/>
          <w:color w:val="auto"/>
          <w:spacing w:val="0"/>
          <w:position w:val="0"/>
          <w:sz w:val="22"/>
          <w:shd w:fill="auto" w:val="clear"/>
        </w:rPr>
        <w:t xml:space="preserve">Duas formas de amar - A afirmação de uma identidade política bissexual. </w:t>
      </w:r>
      <w:r>
        <w:rPr>
          <w:rFonts w:ascii="Arial" w:hAnsi="Arial" w:cs="Arial" w:eastAsia="Arial"/>
          <w:color w:val="auto"/>
          <w:spacing w:val="0"/>
          <w:position w:val="0"/>
          <w:sz w:val="22"/>
          <w:shd w:fill="auto" w:val="clear"/>
        </w:rPr>
        <w:t xml:space="preserve">Disponível em: &lt;</w:t>
      </w:r>
      <w:hyperlink xmlns:r="http://schemas.openxmlformats.org/officeDocument/2006/relationships" r:id="docRId198">
        <w:r>
          <w:rPr>
            <w:rFonts w:ascii="Arial" w:hAnsi="Arial" w:cs="Arial" w:eastAsia="Arial"/>
            <w:color w:val="0000FF"/>
            <w:spacing w:val="0"/>
            <w:position w:val="0"/>
            <w:sz w:val="22"/>
            <w:u w:val="single"/>
            <w:shd w:fill="auto" w:val="clear"/>
          </w:rPr>
          <w:t xml:space="preserve">http://www.todaformadeamor.com.br/v2/artigo.php?id=120</w:t>
        </w:r>
      </w:hyperlink>
      <w:r>
        <w:rPr>
          <w:rFonts w:ascii="Arial" w:hAnsi="Arial" w:cs="Arial" w:eastAsia="Arial"/>
          <w:color w:val="auto"/>
          <w:spacing w:val="0"/>
          <w:position w:val="0"/>
          <w:sz w:val="22"/>
          <w:shd w:fill="auto" w:val="clear"/>
        </w:rPr>
        <w:t xml:space="preserve">&gt;. Acessado em: 02/10/2009.</w:t>
      </w:r>
      <w:r>
        <w:rPr>
          <w:rFonts w:ascii="Arial" w:hAnsi="Arial" w:cs="Arial" w:eastAsia="Arial"/>
          <w:b/>
          <w:color w:val="auto"/>
          <w:spacing w:val="0"/>
          <w:position w:val="0"/>
          <w:sz w:val="22"/>
          <w:shd w:fill="auto" w:val="clear"/>
        </w:rPr>
        <w:t xml:space="preserve">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BENEDETTI, Marcos. </w:t>
      </w:r>
      <w:r>
        <w:rPr>
          <w:rFonts w:ascii="Arial" w:hAnsi="Arial" w:cs="Arial" w:eastAsia="Arial"/>
          <w:b/>
          <w:color w:val="auto"/>
          <w:spacing w:val="0"/>
          <w:position w:val="0"/>
          <w:sz w:val="22"/>
          <w:shd w:fill="auto" w:val="clear"/>
        </w:rPr>
        <w:t xml:space="preserve">Toda Feita: o corpo e o gênero das travestis</w:t>
      </w:r>
      <w:r>
        <w:rPr>
          <w:rFonts w:ascii="Arial" w:hAnsi="Arial" w:cs="Arial" w:eastAsia="Arial"/>
          <w:color w:val="auto"/>
          <w:spacing w:val="0"/>
          <w:position w:val="0"/>
          <w:sz w:val="22"/>
          <w:shd w:fill="auto" w:val="clear"/>
        </w:rPr>
        <w:t xml:space="preserve">. Rio de Janeiro: Garamond, 2005.</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_________. </w:t>
      </w:r>
      <w:r>
        <w:rPr>
          <w:rFonts w:ascii="Arial" w:hAnsi="Arial" w:cs="Arial" w:eastAsia="Arial"/>
          <w:b/>
          <w:color w:val="auto"/>
          <w:spacing w:val="0"/>
          <w:position w:val="0"/>
          <w:sz w:val="22"/>
          <w:shd w:fill="auto" w:val="clear"/>
        </w:rPr>
        <w:t xml:space="preserve">Breves reflexões sobre travestis e prostituição.</w:t>
      </w:r>
      <w:r>
        <w:rPr>
          <w:rFonts w:ascii="Arial" w:hAnsi="Arial" w:cs="Arial" w:eastAsia="Arial"/>
          <w:color w:val="auto"/>
          <w:spacing w:val="0"/>
          <w:position w:val="0"/>
          <w:sz w:val="22"/>
          <w:shd w:fill="auto" w:val="clear"/>
        </w:rPr>
        <w:t xml:space="preserve"> In: Boletín Eletrônico</w:t>
      </w:r>
      <w:r>
        <w:rPr>
          <w:rFonts w:ascii="Arial" w:hAnsi="Arial" w:cs="Arial" w:eastAsia="Arial"/>
          <w:i/>
          <w:color w:val="auto"/>
          <w:spacing w:val="0"/>
          <w:position w:val="0"/>
          <w:sz w:val="22"/>
          <w:shd w:fill="auto" w:val="clear"/>
        </w:rPr>
        <w:t xml:space="preserve"> Ciudadania Sexual</w:t>
      </w:r>
      <w:r>
        <w:rPr>
          <w:rFonts w:ascii="Arial" w:hAnsi="Arial" w:cs="Arial" w:eastAsia="Arial"/>
          <w:color w:val="auto"/>
          <w:spacing w:val="0"/>
          <w:position w:val="0"/>
          <w:sz w:val="22"/>
          <w:shd w:fill="auto" w:val="clear"/>
        </w:rPr>
        <w:t xml:space="preserve">, n° 11, 2004. Disponível em: &lt;</w:t>
      </w:r>
      <w:hyperlink xmlns:r="http://schemas.openxmlformats.org/officeDocument/2006/relationships" r:id="docRId199">
        <w:r>
          <w:rPr>
            <w:rFonts w:ascii="Arial" w:hAnsi="Arial" w:cs="Arial" w:eastAsia="Arial"/>
            <w:color w:val="0000FF"/>
            <w:spacing w:val="0"/>
            <w:position w:val="0"/>
            <w:sz w:val="22"/>
            <w:u w:val="single"/>
            <w:shd w:fill="auto" w:val="clear"/>
          </w:rPr>
          <w:t xml:space="preserve">http://www.ciudadaniasexual.org/boletin/b11/Breves_reflexoes_sobre_travestis_e_prostituicao.pdf</w:t>
        </w:r>
      </w:hyperlink>
      <w:r>
        <w:rPr>
          <w:rFonts w:ascii="Arial" w:hAnsi="Arial" w:cs="Arial" w:eastAsia="Arial"/>
          <w:color w:val="auto"/>
          <w:spacing w:val="0"/>
          <w:position w:val="0"/>
          <w:sz w:val="22"/>
          <w:shd w:fill="auto" w:val="clear"/>
        </w:rPr>
        <w:t xml:space="preserve">&gt;. Acessado em: 22/06/2009.</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CUNHA, Sheila Cunha da. </w:t>
      </w:r>
      <w:r>
        <w:rPr>
          <w:rFonts w:ascii="Arial" w:hAnsi="Arial" w:cs="Arial" w:eastAsia="Arial"/>
          <w:b/>
          <w:color w:val="auto"/>
          <w:spacing w:val="0"/>
          <w:position w:val="0"/>
          <w:sz w:val="22"/>
          <w:shd w:fill="auto" w:val="clear"/>
        </w:rPr>
        <w:t xml:space="preserve">O transexual em busca da cidadania</w:t>
      </w:r>
      <w:r>
        <w:rPr>
          <w:rFonts w:ascii="Arial" w:hAnsi="Arial" w:cs="Arial" w:eastAsia="Arial"/>
          <w:color w:val="auto"/>
          <w:spacing w:val="0"/>
          <w:position w:val="0"/>
          <w:sz w:val="22"/>
          <w:shd w:fill="auto" w:val="clear"/>
        </w:rPr>
        <w:t xml:space="preserve">. In: Âmbito Jurídico, Rio Grande, 44, 31/08/2007. Disponível em: &lt;</w:t>
      </w:r>
      <w:hyperlink xmlns:r="http://schemas.openxmlformats.org/officeDocument/2006/relationships" r:id="docRId200">
        <w:r>
          <w:rPr>
            <w:rFonts w:ascii="Arial" w:hAnsi="Arial" w:cs="Arial" w:eastAsia="Arial"/>
            <w:color w:val="0000FF"/>
            <w:spacing w:val="0"/>
            <w:position w:val="0"/>
            <w:sz w:val="22"/>
            <w:u w:val="single"/>
            <w:shd w:fill="auto" w:val="clear"/>
          </w:rPr>
          <w:t xml:space="preserve">http://www.ambito-juridico.com.br/site/index.php?n_link=revista_artigos_leitura&amp;artigo_id=4412</w:t>
        </w:r>
      </w:hyperlink>
      <w:r>
        <w:rPr>
          <w:rFonts w:ascii="Arial" w:hAnsi="Arial" w:cs="Arial" w:eastAsia="Arial"/>
          <w:color w:val="auto"/>
          <w:spacing w:val="0"/>
          <w:position w:val="0"/>
          <w:sz w:val="22"/>
          <w:shd w:fill="auto" w:val="clear"/>
        </w:rPr>
        <w:t xml:space="preserve">&gt;. Acessado em: 01/10/2009.</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FRY, Peter. &amp; MACRAE, Edward. </w:t>
      </w:r>
      <w:r>
        <w:rPr>
          <w:rFonts w:ascii="Arial" w:hAnsi="Arial" w:cs="Arial" w:eastAsia="Arial"/>
          <w:b/>
          <w:color w:val="auto"/>
          <w:spacing w:val="0"/>
          <w:position w:val="0"/>
          <w:sz w:val="22"/>
          <w:shd w:fill="auto" w:val="clear"/>
        </w:rPr>
        <w:t xml:space="preserve">O que é homossexualidade?</w:t>
      </w:r>
      <w:r>
        <w:rPr>
          <w:rFonts w:ascii="Arial" w:hAnsi="Arial" w:cs="Arial" w:eastAsia="Arial"/>
          <w:color w:val="auto"/>
          <w:spacing w:val="0"/>
          <w:position w:val="0"/>
          <w:sz w:val="22"/>
          <w:shd w:fill="auto" w:val="clear"/>
        </w:rPr>
        <w:t xml:space="preserve"> São Paulo: Brasiliense, 1983.</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MORMONT, Cristhian. </w:t>
      </w:r>
      <w:r>
        <w:rPr>
          <w:rFonts w:ascii="Arial" w:hAnsi="Arial" w:cs="Arial" w:eastAsia="Arial"/>
          <w:b/>
          <w:color w:val="auto"/>
          <w:spacing w:val="0"/>
          <w:position w:val="0"/>
          <w:sz w:val="22"/>
          <w:shd w:fill="auto" w:val="clear"/>
        </w:rPr>
        <w:t xml:space="preserve">Transexualismo</w:t>
      </w:r>
      <w:r>
        <w:rPr>
          <w:rFonts w:ascii="Arial" w:hAnsi="Arial" w:cs="Arial" w:eastAsia="Arial"/>
          <w:color w:val="auto"/>
          <w:spacing w:val="0"/>
          <w:position w:val="0"/>
          <w:sz w:val="22"/>
          <w:shd w:fill="auto" w:val="clear"/>
        </w:rPr>
        <w:t xml:space="preserve">. In: Psico UTP Online – Revista Eletrônica de Psicologia. n° 03, Curitiba, outubro de 2003. Disponível em: &lt;</w:t>
      </w:r>
      <w:hyperlink xmlns:r="http://schemas.openxmlformats.org/officeDocument/2006/relationships" r:id="docRId201">
        <w:r>
          <w:rPr>
            <w:rFonts w:ascii="Arial" w:hAnsi="Arial" w:cs="Arial" w:eastAsia="Arial"/>
            <w:color w:val="0000FF"/>
            <w:spacing w:val="0"/>
            <w:position w:val="0"/>
            <w:sz w:val="22"/>
            <w:u w:val="single"/>
            <w:shd w:fill="auto" w:val="clear"/>
          </w:rPr>
          <w:t xml:space="preserve">http://www.utp.br/psico.utp.online/site3/index.htm</w:t>
        </w:r>
      </w:hyperlink>
      <w:r>
        <w:rPr>
          <w:rFonts w:ascii="Arial" w:hAnsi="Arial" w:cs="Arial" w:eastAsia="Arial"/>
          <w:color w:val="auto"/>
          <w:spacing w:val="0"/>
          <w:position w:val="0"/>
          <w:sz w:val="22"/>
          <w:shd w:fill="auto" w:val="clear"/>
        </w:rPr>
        <w:t xml:space="preserve">&gt;. Acessado em: 01/10/2009.</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PELÚCIO, Larissa Maués. </w:t>
      </w:r>
      <w:r>
        <w:rPr>
          <w:rFonts w:ascii="Arial" w:hAnsi="Arial" w:cs="Arial" w:eastAsia="Arial"/>
          <w:b/>
          <w:color w:val="auto"/>
          <w:spacing w:val="0"/>
          <w:position w:val="0"/>
          <w:sz w:val="22"/>
          <w:shd w:fill="auto" w:val="clear"/>
        </w:rPr>
        <w:t xml:space="preserve">Travestis, a (re)construção do feminino: gênero, corpo e sexualidade em um espaço ambíguo. </w:t>
      </w:r>
      <w:r>
        <w:rPr>
          <w:rFonts w:ascii="Arial" w:hAnsi="Arial" w:cs="Arial" w:eastAsia="Arial"/>
          <w:color w:val="auto"/>
          <w:spacing w:val="0"/>
          <w:position w:val="0"/>
          <w:sz w:val="22"/>
          <w:shd w:fill="auto" w:val="clear"/>
        </w:rPr>
        <w:t xml:space="preserve">Revista anthopológicas, ano 8, volume 15(1): 123-154, 2004. Disponível em: &lt;</w:t>
      </w:r>
      <w:hyperlink xmlns:r="http://schemas.openxmlformats.org/officeDocument/2006/relationships" r:id="docRId202">
        <w:r>
          <w:rPr>
            <w:rFonts w:ascii="Arial" w:hAnsi="Arial" w:cs="Arial" w:eastAsia="Arial"/>
            <w:color w:val="0000FF"/>
            <w:spacing w:val="0"/>
            <w:position w:val="0"/>
            <w:sz w:val="22"/>
            <w:u w:val="single"/>
            <w:shd w:fill="auto" w:val="clear"/>
          </w:rPr>
          <w:t xml:space="preserve">http://www.ufpe.br/revistaanthropologicas/internas/volume15(1)/Artigo%205.pdf</w:t>
        </w:r>
      </w:hyperlink>
      <w:r>
        <w:rPr>
          <w:rFonts w:ascii="Arial" w:hAnsi="Arial" w:cs="Arial" w:eastAsia="Arial"/>
          <w:color w:val="auto"/>
          <w:spacing w:val="0"/>
          <w:position w:val="0"/>
          <w:sz w:val="22"/>
          <w:shd w:fill="auto" w:val="clear"/>
        </w:rPr>
        <w:t xml:space="preserve">&gt;. Acessado em: 22/06/2009.</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_________. </w:t>
      </w:r>
      <w:r>
        <w:rPr>
          <w:rFonts w:ascii="Arial" w:hAnsi="Arial" w:cs="Arial" w:eastAsia="Arial"/>
          <w:b/>
          <w:color w:val="auto"/>
          <w:spacing w:val="0"/>
          <w:position w:val="0"/>
          <w:sz w:val="22"/>
          <w:shd w:fill="auto" w:val="clear"/>
        </w:rPr>
        <w:t xml:space="preserve">Três casamentos e algumas reflexões: notas sobre conjugalidade envolvendo travestis que se prostituem.</w:t>
      </w:r>
      <w:r>
        <w:rPr>
          <w:rFonts w:ascii="Arial" w:hAnsi="Arial" w:cs="Arial" w:eastAsia="Arial"/>
          <w:color w:val="auto"/>
          <w:spacing w:val="0"/>
          <w:position w:val="0"/>
          <w:sz w:val="22"/>
          <w:shd w:fill="auto" w:val="clear"/>
        </w:rPr>
        <w:t xml:space="preserve"> Revista Estudos Feministas, Florianópolis, 14(2): 522-534 maio-agosto/2006. Disponível em: &lt;</w:t>
      </w:r>
      <w:hyperlink xmlns:r="http://schemas.openxmlformats.org/officeDocument/2006/relationships" r:id="docRId203">
        <w:r>
          <w:rPr>
            <w:rFonts w:ascii="Arial" w:hAnsi="Arial" w:cs="Arial" w:eastAsia="Arial"/>
            <w:color w:val="0000FF"/>
            <w:spacing w:val="0"/>
            <w:position w:val="0"/>
            <w:sz w:val="22"/>
            <w:u w:val="single"/>
            <w:shd w:fill="auto" w:val="clear"/>
          </w:rPr>
          <w:t xml:space="preserve">http://www.scielo.br/pdf/ref/v14n2/a12v14n2.pdf</w:t>
        </w:r>
      </w:hyperlink>
      <w:r>
        <w:rPr>
          <w:rFonts w:ascii="Arial" w:hAnsi="Arial" w:cs="Arial" w:eastAsia="Arial"/>
          <w:color w:val="auto"/>
          <w:spacing w:val="0"/>
          <w:position w:val="0"/>
          <w:sz w:val="22"/>
          <w:shd w:fill="auto" w:val="clear"/>
        </w:rPr>
        <w:t xml:space="preserve">&gt;. Acessado em: 21/08/2009.</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_________. </w:t>
      </w:r>
      <w:r>
        <w:rPr>
          <w:rFonts w:ascii="Arial" w:hAnsi="Arial" w:cs="Arial" w:eastAsia="Arial"/>
          <w:b/>
          <w:color w:val="auto"/>
          <w:spacing w:val="0"/>
          <w:position w:val="0"/>
          <w:sz w:val="22"/>
          <w:shd w:fill="auto" w:val="clear"/>
        </w:rPr>
        <w:t xml:space="preserve">“Eu me cuido, mona”: saúde, gênero e corporalidade entre travestis que se prostituem. </w:t>
      </w:r>
      <w:r>
        <w:rPr>
          <w:rFonts w:ascii="Arial" w:hAnsi="Arial" w:cs="Arial" w:eastAsia="Arial"/>
          <w:color w:val="auto"/>
          <w:spacing w:val="0"/>
          <w:position w:val="0"/>
          <w:sz w:val="22"/>
          <w:shd w:fill="auto" w:val="clear"/>
        </w:rPr>
        <w:t xml:space="preserve">Ano 2007. Disponível em:</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&lt;</w:t>
      </w:r>
      <w:hyperlink xmlns:r="http://schemas.openxmlformats.org/officeDocument/2006/relationships" r:id="docRId204">
        <w:r>
          <w:rPr>
            <w:rFonts w:ascii="Arial" w:hAnsi="Arial" w:cs="Arial" w:eastAsia="Arial"/>
            <w:color w:val="0000FF"/>
            <w:spacing w:val="0"/>
            <w:position w:val="0"/>
            <w:sz w:val="22"/>
            <w:u w:val="single"/>
            <w:shd w:fill="auto" w:val="clear"/>
          </w:rPr>
          <w:t xml:space="preserve">http://www.clam.org.br/pdf/travestis_clam.pdf</w:t>
        </w:r>
      </w:hyperlink>
      <w:r>
        <w:rPr>
          <w:rFonts w:ascii="Arial" w:hAnsi="Arial" w:cs="Arial" w:eastAsia="Arial"/>
          <w:color w:val="auto"/>
          <w:spacing w:val="0"/>
          <w:position w:val="0"/>
          <w:sz w:val="22"/>
          <w:shd w:fill="auto" w:val="clear"/>
        </w:rPr>
        <w:t xml:space="preserve">&gt;. Acessado em: 22/06/2009.</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2"/>
          <w:shd w:fill="auto" w:val="clear"/>
        </w:rPr>
        <w:t xml:space="preserve">PICAZIO, Cláudio. </w:t>
      </w:r>
      <w:r>
        <w:rPr>
          <w:rFonts w:ascii="Arial" w:hAnsi="Arial" w:cs="Arial" w:eastAsia="Arial"/>
          <w:b/>
          <w:color w:val="auto"/>
          <w:spacing w:val="0"/>
          <w:position w:val="0"/>
          <w:sz w:val="22"/>
          <w:shd w:fill="auto" w:val="clear"/>
        </w:rPr>
        <w:t xml:space="preserve">Sexo secreto: temas polêmicos da sexualidade.</w:t>
      </w:r>
      <w:r>
        <w:rPr>
          <w:rFonts w:ascii="Arial" w:hAnsi="Arial" w:cs="Arial" w:eastAsia="Arial"/>
          <w:color w:val="auto"/>
          <w:spacing w:val="0"/>
          <w:position w:val="0"/>
          <w:sz w:val="22"/>
          <w:shd w:fill="auto" w:val="clear"/>
        </w:rPr>
        <w:t xml:space="preserve"> São Paulo: GLS, 1999.</w:t>
      </w:r>
    </w:p>
    <w:p>
      <w:pPr>
        <w:spacing w:before="0" w:after="0" w:line="240"/>
        <w:ind w:right="0" w:left="0" w:firstLine="0"/>
        <w:jc w:val="both"/>
        <w:rPr>
          <w:rFonts w:ascii="Arial" w:hAnsi="Arial" w:cs="Arial" w:eastAsia="Arial"/>
          <w:color w:val="auto"/>
          <w:spacing w:val="0"/>
          <w:position w:val="0"/>
          <w:sz w:val="22"/>
          <w:shd w:fill="auto" w:val="clear"/>
        </w:rPr>
      </w:pPr>
    </w:p>
    <w:p>
      <w:pPr>
        <w:tabs>
          <w:tab w:val="left" w:pos="8280"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PORCINO, Carlos (s/d). </w:t>
      </w:r>
      <w:r>
        <w:rPr>
          <w:rFonts w:ascii="Arial" w:hAnsi="Arial" w:cs="Arial" w:eastAsia="Arial"/>
          <w:b/>
          <w:color w:val="auto"/>
          <w:spacing w:val="0"/>
          <w:position w:val="0"/>
          <w:sz w:val="22"/>
          <w:shd w:fill="auto" w:val="clear"/>
        </w:rPr>
        <w:t xml:space="preserve">A travesti fala de si: identidade, reinvenção corporal e silicone.</w:t>
      </w:r>
      <w:r>
        <w:rPr>
          <w:rFonts w:ascii="Arial" w:hAnsi="Arial" w:cs="Arial" w:eastAsia="Arial"/>
          <w:color w:val="auto"/>
          <w:spacing w:val="0"/>
          <w:position w:val="0"/>
          <w:sz w:val="22"/>
          <w:shd w:fill="auto" w:val="clear"/>
        </w:rPr>
        <w:t xml:space="preserve"> Disponível em: &lt;</w:t>
      </w:r>
      <w:hyperlink xmlns:r="http://schemas.openxmlformats.org/officeDocument/2006/relationships" r:id="docRId205">
        <w:r>
          <w:rPr>
            <w:rFonts w:ascii="Arial" w:hAnsi="Arial" w:cs="Arial" w:eastAsia="Arial"/>
            <w:color w:val="0000FF"/>
            <w:spacing w:val="0"/>
            <w:position w:val="0"/>
            <w:sz w:val="22"/>
            <w:u w:val="single"/>
            <w:shd w:fill="auto" w:val="clear"/>
          </w:rPr>
          <w:t xml:space="preserve">http://nucleounisex.org/colunas/a-travesti-fala-de-si-identidade-reinvencao-corporal-e-silicone.html</w:t>
        </w:r>
      </w:hyperlink>
      <w:r>
        <w:rPr>
          <w:rFonts w:ascii="Arial" w:hAnsi="Arial" w:cs="Arial" w:eastAsia="Arial"/>
          <w:color w:val="auto"/>
          <w:spacing w:val="0"/>
          <w:position w:val="0"/>
          <w:sz w:val="22"/>
          <w:shd w:fill="auto" w:val="clear"/>
        </w:rPr>
        <w:t xml:space="preserve">&gt;. Acessado em: 22/06/2009.</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PRADO, Marco Aurélio Máximo. &amp; MACHADO, Frederico Viana. </w:t>
      </w:r>
      <w:r>
        <w:rPr>
          <w:rFonts w:ascii="Arial" w:hAnsi="Arial" w:cs="Arial" w:eastAsia="Arial"/>
          <w:b/>
          <w:color w:val="auto"/>
          <w:spacing w:val="0"/>
          <w:position w:val="0"/>
          <w:sz w:val="22"/>
          <w:shd w:fill="auto" w:val="clear"/>
        </w:rPr>
        <w:t xml:space="preserve">Preconceitos contra homossexualidades: a hierarquia da invisibilidade.</w:t>
      </w:r>
      <w:r>
        <w:rPr>
          <w:rFonts w:ascii="Arial" w:hAnsi="Arial" w:cs="Arial" w:eastAsia="Arial"/>
          <w:color w:val="auto"/>
          <w:spacing w:val="0"/>
          <w:position w:val="0"/>
          <w:sz w:val="22"/>
          <w:shd w:fill="auto" w:val="clear"/>
        </w:rPr>
        <w:t xml:space="preserve"> São Paulo: Cortez, 2008.</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REDE EX AEQUO. </w:t>
      </w:r>
      <w:r>
        <w:rPr>
          <w:rFonts w:ascii="Arial" w:hAnsi="Arial" w:cs="Arial" w:eastAsia="Arial"/>
          <w:b/>
          <w:color w:val="auto"/>
          <w:spacing w:val="0"/>
          <w:position w:val="0"/>
          <w:sz w:val="22"/>
          <w:shd w:fill="auto" w:val="clear"/>
        </w:rPr>
        <w:t xml:space="preserve">O que é transgenerismo?</w:t>
      </w:r>
      <w:r>
        <w:rPr>
          <w:rFonts w:ascii="Arial" w:hAnsi="Arial" w:cs="Arial" w:eastAsia="Arial"/>
          <w:color w:val="auto"/>
          <w:spacing w:val="0"/>
          <w:position w:val="0"/>
          <w:sz w:val="22"/>
          <w:shd w:fill="auto" w:val="clear"/>
        </w:rPr>
        <w:t xml:space="preserve"> Disponível em: &lt;</w:t>
      </w:r>
      <w:hyperlink xmlns:r="http://schemas.openxmlformats.org/officeDocument/2006/relationships" r:id="docRId206">
        <w:r>
          <w:rPr>
            <w:rFonts w:ascii="Arial" w:hAnsi="Arial" w:cs="Arial" w:eastAsia="Arial"/>
            <w:color w:val="0000FF"/>
            <w:spacing w:val="0"/>
            <w:position w:val="0"/>
            <w:sz w:val="22"/>
            <w:u w:val="single"/>
            <w:shd w:fill="auto" w:val="clear"/>
          </w:rPr>
          <w:t xml:space="preserve">http://www.rea.pt/transgenderismo.html</w:t>
        </w:r>
      </w:hyperlink>
      <w:r>
        <w:rPr>
          <w:rFonts w:ascii="Arial" w:hAnsi="Arial" w:cs="Arial" w:eastAsia="Arial"/>
          <w:color w:val="auto"/>
          <w:spacing w:val="0"/>
          <w:position w:val="0"/>
          <w:sz w:val="22"/>
          <w:shd w:fill="auto" w:val="clear"/>
        </w:rPr>
        <w:t xml:space="preserve">&gt;. Acessado em: 28/10/2009.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VIANA, Fabrício. </w:t>
      </w:r>
      <w:r>
        <w:rPr>
          <w:rFonts w:ascii="Arial" w:hAnsi="Arial" w:cs="Arial" w:eastAsia="Arial"/>
          <w:b/>
          <w:color w:val="auto"/>
          <w:spacing w:val="0"/>
          <w:position w:val="0"/>
          <w:sz w:val="22"/>
          <w:shd w:fill="auto" w:val="clear"/>
        </w:rPr>
        <w:t xml:space="preserve">O que é a homossexualidade?</w:t>
      </w:r>
      <w:r>
        <w:rPr>
          <w:rFonts w:ascii="Arial" w:hAnsi="Arial" w:cs="Arial" w:eastAsia="Arial"/>
          <w:color w:val="auto"/>
          <w:spacing w:val="0"/>
          <w:position w:val="0"/>
          <w:sz w:val="22"/>
          <w:shd w:fill="auto" w:val="clear"/>
        </w:rPr>
        <w:t xml:space="preserve"> Disponível em: &lt;</w:t>
      </w:r>
      <w:hyperlink xmlns:r="http://schemas.openxmlformats.org/officeDocument/2006/relationships" r:id="docRId207">
        <w:r>
          <w:rPr>
            <w:rFonts w:ascii="Arial" w:hAnsi="Arial" w:cs="Arial" w:eastAsia="Arial"/>
            <w:color w:val="0000FF"/>
            <w:spacing w:val="0"/>
            <w:position w:val="0"/>
            <w:sz w:val="22"/>
            <w:u w:val="single"/>
            <w:shd w:fill="auto" w:val="clear"/>
          </w:rPr>
          <w:t xml:space="preserve">http://www.homossexualidade.net/o-que-e-a-homossexualidade/?wscr=1280x800</w:t>
        </w:r>
      </w:hyperlink>
      <w:r>
        <w:rPr>
          <w:rFonts w:ascii="Arial" w:hAnsi="Arial" w:cs="Arial" w:eastAsia="Arial"/>
          <w:color w:val="auto"/>
          <w:spacing w:val="0"/>
          <w:position w:val="0"/>
          <w:sz w:val="22"/>
          <w:shd w:fill="auto" w:val="clear"/>
        </w:rPr>
        <w:t xml:space="preserve">&gt;. Acessado em: 07 de setembro de 2009.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“SANTA DICA” A SANTA QUE AGITOU GOIÁS DURANTE A REPÚBLICA VELHA</w:t>
      </w:r>
    </w:p>
    <w:p>
      <w:pPr>
        <w:keepNext w:val="true"/>
        <w:spacing w:before="240" w:after="6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spacing w:before="240" w:after="6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Resumo</w:t>
      </w:r>
    </w:p>
    <w:p>
      <w:pPr>
        <w:spacing w:before="0" w:after="0" w:line="24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both"/>
        <w:rPr>
          <w:rFonts w:ascii="Arial" w:hAnsi="Arial" w:cs="Arial" w:eastAsia="Arial"/>
          <w:color w:val="000000"/>
          <w:spacing w:val="0"/>
          <w:position w:val="0"/>
          <w:sz w:val="24"/>
          <w:shd w:fill="auto" w:val="clear"/>
        </w:rPr>
      </w:pPr>
    </w:p>
    <w:p>
      <w:pPr>
        <w:spacing w:before="0" w:after="0" w:line="240"/>
        <w:ind w:right="0" w:left="0" w:firstLine="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Este trabalho busca analisar a história de Santa Dica, uma mulher que viveu a frente do seu tempo, liderando na década de vinte em Goiás um dos movimentos social religioso mais expressivo do estado, sua figura é classificada como uma liderança messiânica, sendo comparada com os líderes mais conhecidos do Brasil. Sendo assim, conhecer esta figura histórica e seus feitos, é importante para compreendermos sua relevância na história goiana. Trata-se de uma pesquisa bibliográfica que é parte do trabalho de conclusão de curso, que visa situar a influência religiosa e política de santa Dica no município de Pirenópolis, durante as três primeiras décadas do século XX, a fim de montar um quadro dos aspectos políticos e sociais de Goiás na primeira fase da República. Outro desdobramento do presente estudo está na investigação da peculiaridade do movimento em Goiás, considerando a força coronelística de uma mulher, na liderança de uma legião de sertanejos, com características de um movimento messiânico, que com atribuições religiosas diferentes dos demais movimentos no Brasil, Santa Dica como era chamada Benedita Cipriano, supostamente auxiliada por uma corte de anjos, realizava milagres e operava curas, ficando conhecida pela sua condição de curandeira. O desenvolvimento desta pesquisa aponta um caminho que possibilita desvendar a pouca relevância desse movimento na Historiografia goiana, e com entendimento para a história das mulheres, e a atuação de uma brava mulher, no estado de Goiás.</w:t>
      </w:r>
    </w:p>
    <w:p>
      <w:pPr>
        <w:spacing w:before="0" w:after="0" w:line="240"/>
        <w:ind w:right="0" w:left="0" w:firstLine="0"/>
        <w:jc w:val="both"/>
        <w:rPr>
          <w:rFonts w:ascii="Arial" w:hAnsi="Arial" w:cs="Arial" w:eastAsia="Arial"/>
          <w:b/>
          <w:color w:val="000000"/>
          <w:spacing w:val="0"/>
          <w:position w:val="0"/>
          <w:sz w:val="24"/>
          <w:shd w:fill="auto" w:val="clear"/>
        </w:rPr>
      </w:pPr>
    </w:p>
    <w:p>
      <w:pPr>
        <w:spacing w:before="0" w:after="0" w:line="240"/>
        <w:ind w:right="0" w:left="0" w:firstLine="0"/>
        <w:jc w:val="both"/>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4"/>
          <w:shd w:fill="auto" w:val="clear"/>
        </w:rPr>
        <w:t xml:space="preserve">Palavras Chave: </w:t>
      </w:r>
      <w:r>
        <w:rPr>
          <w:rFonts w:ascii="Arial" w:hAnsi="Arial" w:cs="Arial" w:eastAsia="Arial"/>
          <w:color w:val="000000"/>
          <w:spacing w:val="0"/>
          <w:position w:val="0"/>
          <w:sz w:val="24"/>
          <w:shd w:fill="auto" w:val="clear"/>
        </w:rPr>
        <w:t xml:space="preserve">Santa Dica, Movimento social-religioso e Poder.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“SANTA DICA” A SANTA QUE AGITOU GOIÁS DURANTE A REPÚBLICA VELHA</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Adriana Lopes da Silva</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Profa. Mestre Gracy Tadeu Ferreira Ribeiro</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INTRODUÇÂO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estudo dos movimentos messiânicos no Brasil revela um quadro de fé, ideologias, lutas e mortes. Isso pode ser conferido nos muitos movimentos que ocorreram no transcorrer da história, mas principalmente do fim do Império à Primeira República (1889-1930).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Correlação desses fatos históricos com a historiografia goiana revela uma situação diferenciada. A tônica desse tipo de movimento social em Goiás nem sempre esteve de acordo com outros ocorridos no cenário nacional. Em Goiás, ele se deu com particularidades bem aguçantes tendo como líder uma mulher, que da morte tornou-se santa, curandeira,  assumiu a condição de coronel, numa época em que a mulher era totalmente submissa ao homem.</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Esta situação é intrigante, pois uma simples mulher sem conhecimento letrado, numa época em que a mulher se restringia à condição de mãe e aos serviços domésticos, assume uma posição relevante em Goiás.</w:t>
      </w:r>
    </w:p>
    <w:p>
      <w:pPr>
        <w:tabs>
          <w:tab w:val="left" w:pos="1080" w:leader="none"/>
        </w:tabs>
        <w:spacing w:before="0" w:after="0" w:line="360"/>
        <w:ind w:right="0" w:left="0" w:firstLine="1134"/>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Porém, é instigante notar que a historiografia regional deu pouca relevância à história de Santa Dica; e ao mesmo tempo perceber como essa mulher se sobressaiu no seu tempo numa cultura machista, durante o período coronelístico. O quadro sócio - político de Goiás na Primeira República, situando a sua posição em relação à conjuntura política nacional, era tímida, mas não foi capaz de ofuscar a bravura dos fatos que sucederam em Pirenópolis, a peculiaridade do messianismo em Goiás, uma vez que, em outros movimentos sociais religiosos brasileiros, a tônica residia quase sempre no enfrentamento com o governo, no qual ocorriam muitas mortes, principalmente do líder, o que não aconteceu aqui. Portanto, um estudo dessa natureza pode desmistificar muitas questões históricas e contribuir para a valorização da história regional. Conhecer esse contexto histórico na República Velha, bem como suas particularidades, é à base de análise dessa pesquisa que tem como objetivo principal analisar o movimento messiânico de Santa Dica na República Velha no Estado de Goiás, buscando compreender a pouca repercussão deste tema na historiografia regional.</w:t>
      </w:r>
    </w:p>
    <w:p>
      <w:pPr>
        <w:tabs>
          <w:tab w:val="left" w:pos="1080" w:leader="none"/>
        </w:tabs>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tabs>
          <w:tab w:val="left" w:pos="1080" w:leader="none"/>
        </w:tabs>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DESENVOLVIMENTO</w:t>
      </w:r>
    </w:p>
    <w:p>
      <w:pPr>
        <w:tabs>
          <w:tab w:val="left" w:pos="1080" w:leader="none"/>
        </w:tabs>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Santa Dica como uma personagem histórica, para muitos, é desconhecida, porém, uma simples leitura, mesmo com as poucas publicações, a seu respeito sobre sua trajetória de simples moradora do interior de Pirenópolis, e sua projeção frente a um movimento de cunho político, revela um quadro peculiar do messianismo em Goiás. Talvez, contribuíram para isto os fatos de sua história - uma moça que ao ser dada como morta, ressuscita na hora do “banho de defunto”, vira “Santa” e torna-se líder de um movimento. Investigar sua trajetória, portanto, desperta motivação e ao mesmo tempo, desafio.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É necessário esclarecer que este texto busca, através da figura de Santa Dica e da repercussão do seu movimento, valorizar a história regional de Goiás, e resgatar fatos que contribuíram para o entendimento da formação econômica e política do Estado. Aponta, também evidências da inconformidade das classes marginalizadas (sertanejos e pobres), com o sistema atuante: o “coronelismo”.</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Espera-se que, a partir desse estudo, novas abordagens passem a ser feitas sobre o tema, através de outras óticas, uma vez que a temática reúne elementos como: fé, messianismo, coronelismo e liderança feminina. </w:t>
      </w:r>
    </w:p>
    <w:p>
      <w:pPr>
        <w:spacing w:before="0" w:after="0" w:line="48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Vê-se assim que </w:t>
      </w:r>
      <w:r>
        <w:rPr>
          <w:rFonts w:ascii="Times New Roman" w:hAnsi="Times New Roman" w:cs="Times New Roman" w:eastAsia="Times New Roman"/>
          <w:i/>
          <w:color w:val="auto"/>
          <w:spacing w:val="0"/>
          <w:position w:val="0"/>
          <w:sz w:val="20"/>
          <w:shd w:fill="auto" w:val="clear"/>
        </w:rPr>
        <w:t xml:space="preserve">santa</w:t>
      </w:r>
      <w:r>
        <w:rPr>
          <w:rFonts w:ascii="Times New Roman" w:hAnsi="Times New Roman" w:cs="Times New Roman" w:eastAsia="Times New Roman"/>
          <w:color w:val="auto"/>
          <w:spacing w:val="0"/>
          <w:position w:val="0"/>
          <w:sz w:val="20"/>
          <w:shd w:fill="auto" w:val="clear"/>
        </w:rPr>
        <w:t xml:space="preserve"> Dica seguiu as etapas previstas na prática social do sertão: para se tornar uma especialista no controle mágico das atividades humanas foi curandeira, milagreira, profetisa e santa. (Vasconcellos 1991)</w:t>
      </w:r>
    </w:p>
    <w:p>
      <w:pPr>
        <w:tabs>
          <w:tab w:val="left" w:pos="1080" w:leader="none"/>
        </w:tabs>
        <w:spacing w:before="0" w:after="0" w:line="360"/>
        <w:ind w:right="0" w:left="0" w:firstLine="1134"/>
        <w:jc w:val="right"/>
        <w:rPr>
          <w:rFonts w:ascii="Times New Roman" w:hAnsi="Times New Roman" w:cs="Times New Roman" w:eastAsia="Times New Roman"/>
          <w:color w:val="auto"/>
          <w:spacing w:val="0"/>
          <w:position w:val="0"/>
          <w:sz w:val="22"/>
          <w:shd w:fill="auto" w:val="clear"/>
        </w:rPr>
      </w:pP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força do messianismo de santa Dica na segunda fase da República Velha, obriga a uma revisão da história dessa mulher, e gera questionamentos que a história oficial durante anos desconsiderou.  A figura de uma mulher como expressão de poder político e social, num período totalmente dominado pelo coronel, revela a importância desse trabalho para história não apenas regional como também para própria história das mulheres no Brasil, que durante séculos foi renegada.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Scott, (1992) a história das mulheres sempre esteve ligada a história política. A política feminista é o ponto de partida. A partir da década de 1960 as ativistas feministas reivindicavam uma história que estabelecesse heroínas, que era uma prova da atuação das mulheres, ao mesmo tempo desse explicações sobre a opressão a que elas estavam sujeitas. No entanto foi preciso muitas transformações sociais para que a mulher conquistasse o seu espaço na história, bom mesmo é perceber o quanto essa corrente de estudo tem conquistado espaço nas universidades.</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maior parte dos historiadores comprometidos com a história das mulheres tem buscado de alguma forma transformá-las em objetos de estudo. Por isso, o estudo de santa Dica é relevante por se tratar de uma mulher que atuou num período extremamente importante República Velha, quando ainda a mulher neste contexto especifico se encontrava restrita apenas as obrigações domésticas. </w:t>
      </w:r>
    </w:p>
    <w:p>
      <w:pPr>
        <w:spacing w:before="0" w:after="0" w:line="240"/>
        <w:ind w:right="0" w:left="1134" w:hanging="1134"/>
        <w:jc w:val="both"/>
        <w:rPr>
          <w:rFonts w:ascii="Times New Roman" w:hAnsi="Times New Roman" w:cs="Times New Roman" w:eastAsia="Times New Roman"/>
          <w:b/>
          <w:color w:val="auto"/>
          <w:spacing w:val="0"/>
          <w:position w:val="0"/>
          <w:sz w:val="24"/>
          <w:shd w:fill="auto" w:val="clear"/>
        </w:rPr>
      </w:pPr>
    </w:p>
    <w:p>
      <w:pPr>
        <w:spacing w:before="0" w:after="0" w:line="240"/>
        <w:ind w:right="0" w:left="1134" w:hanging="113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Nasce um mito: Santa Dica</w:t>
      </w:r>
    </w:p>
    <w:p>
      <w:pPr>
        <w:spacing w:before="0" w:after="0" w:line="360"/>
        <w:ind w:right="0" w:left="1134" w:hanging="1134"/>
        <w:jc w:val="both"/>
        <w:rPr>
          <w:rFonts w:ascii="Times New Roman" w:hAnsi="Times New Roman" w:cs="Times New Roman" w:eastAsia="Times New Roman"/>
          <w:b/>
          <w:color w:val="auto"/>
          <w:spacing w:val="0"/>
          <w:position w:val="0"/>
          <w:sz w:val="24"/>
          <w:shd w:fill="auto" w:val="clear"/>
        </w:rPr>
      </w:pP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Seu nome de batismo era Benedita Cipriano Gomes, mas, ficou conhecida como santa Dica, nasceu no dia 13 de abril 1905, na fazenda Mozondó hoje Lagolândia, município de Pirenópolis, Goiás. Era a filha mais velha de um grupo de oito irmãos, segundo Vasconcellos (1991), seu pai era lavrador de profissão, tinha um pequeno engenho de cana e fabricava rapaduras. Para aumentar a receita familiar trabalhava ainda como trançador de laços e rédeas, sobre sua mãe não existe relato específico, mais provavelmente era uma dona casa, comum às mulheres camponesa da época. Ainda criança, Dica foi viver com sua avó paterna D. Isabel Borges e uma tia - madrinha Leocárdia.</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Foi no segundo decênio do século XX, que o movimento de Santa Dica teve início quando ela caiu enferma culminando com a perda total de seus sinais vitais, porém durante o banho de defunto, os familiares notaram que a menina suava frio. Com receio de enterrá-la, mantiveram o velório e após três dias, Dica ressurgiu viva da morte evidente.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Pompeu (2000), tal fato espalhou-se pela região como um milagre. Romarias de fervorosos e crédulos roceiros migravam para pedir-lhe a benção e conseguir graças. Em poucos anos, já mocinha, Dica comandava legiões de adoradores que seguiam suas ordens com fiel devoção. Muitos desses romeiros não retornavam aos seus lugares de origem e acabaram fundando um povoado em torno da curandeira.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Brito (2006), ressalta em seu artigo “O dia de fogo” que na primeira fase do movimento a maior oposição sofrida por dica, foi a realizada pelos padres redentoristas, responsáveis pela evangelização no sul de Goiás.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congregação publicou mais de treze artigos no jornal o SANTUÁRIO DA TRINDADE, denunciando e denegrindo os fatos que estavam acontecendo em Lagolãndia. Um fato interessante nessa questão é que ao ultrajar o fenômeno, com seus artigos, a congregação não percebeu que estava na verdade contribuindo para divulgá-lo. Os insultos concentravam-se na líder, que para os padres não passava de uma mulher histérica e desvairada. Brito (2006), argumenta que a desmoralização do movimento foi à estratégia utilizada para desqualificar sua líder, que de maneira intencional ou não intencional,  ousou e desafiou a igreja e o próprio Estado de Goiás.</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em outros movimentos sociais, inicialmente Dica ficou conhecida como curandeira ou benzedeira, posteriormente como profetisa (os sertanejos acreditavam que ela era capaz de adivinhar e prever coisas) e finalmente como milagreira com o poder derivado dos anjos por isso,  Dica se definiu como líder espiritual e estabeleceu sua liderança em Lagolãndia.</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história dessa mulher e envolvida por fenômenos sociais e sobrenaturais, próprios dos grandes lideres messiânicos, conhecidos no Brasil.</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primeiro faz se necessário um esclarecimento, “Santa Dica”, não é uma Santa oficialmente canonizada pela Igreja Católica Romana. Ela ganhou esse apelido da própria igreja, como forma pejorativa, era como os padres redentoristas referiam a ela no jornal.  Contudo, os sertanejos converteram o que era para ser torpe, em respeito absoluto e veneração, ou seja, Benedita foi santificada ainda viva pelo povo.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fama de Santa Dica foi construída através de sua atuação em orações e curas. Mas, a “santa” era mulher, e como tal viveu as mesmas emoções e as vicissitudes de uma mulher comum. A curandeira, possuía  beleza exótica, o autor José de Moura faz verdadeira exaltação de sua beleza, e suas fotos confirmam. </w:t>
      </w:r>
    </w:p>
    <w:p>
      <w:pPr>
        <w:tabs>
          <w:tab w:val="left" w:pos="1080" w:leader="none"/>
        </w:tabs>
        <w:spacing w:before="0" w:after="0" w:line="48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Conquanto de carnação prodígio e consistente, seu corpo é esguio e tão harmonioso de linhas que, não importa a maneira como esteja vestida, a roupa que veste só serve para realçar -lhe as formas, destacar –lhe a graça. A pele é um moreno claro tão limpo de imperfeições, tão isento de impurezas, que nem com o auxilio de lupas seria possível a alguém captar –lhe o menor indicio de mácula. O rosto é de deusa, perfeito tão perfeito e refletindo tal frescor e tão grande viveza que, reproduzindo por pincel de mestre, poderia ser exibido como expressão mais bela da mulher. De estatura meã e olhos acesos de escuro fulgor, a cabeleira ondulada – lhe cintura abaixo, negra macia, abundante, sempre sensível, se ela anda ao vai e vém das ancas. [...] a esbeltez de seu porte endoidara irremediavelmente os homens, para a quase totalidade dos quais é pecado deseja –lá como fêmea, por santa derrubá-la no caminho da fonte. Daí o suplício dos insofridos, ainda que só em pensamento acuados entre o abrasamento da carne e os interditos da fé. (MOURA, 1989, p.20).</w:t>
      </w:r>
    </w:p>
    <w:p>
      <w:pPr>
        <w:tabs>
          <w:tab w:val="left" w:pos="2685" w:leader="none"/>
        </w:tabs>
        <w:spacing w:before="0" w:after="0" w:line="48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Até os inimigos faziam menção a beleza de Dica. Brito (2006) afirma que segundo o que consta nos depoimentos da época, santa Dica teve muitos amores. O primeiro deles teria sido Caxeado – o mesmo que a salvara das balas, segundo algumas versões sobre o “Dia do Fogo”. Curiosamente, em seu depoimento ao processo-crime, santa Dica o acusou de tê-la estuprado, ou em suas palavras “desonestado”. Na época sua acusação foi ignorada. Vasconcellos (1998 p. 113) coloca algo curioso sobre Caxeado. A figura de Manoel José Torres - o caxeado desfruta de grande prestigio junto à líder. Ele Chegou no reduto no inicio dos milagres e se estabeleceu como comerciante, não era nem religioso nem instruído.</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Santa Dica casou-se no dia 2 de janeiro de 1928, com o jornalista Mário Mendes , o qual veio fazer a cobertura dos principais acontecimentos de Lagolãndia, e acabou se apaixonando pela curandeira,  com quem teve cinco filhos. Esta foi a maior de suas façanhas conciliar a santidade estabelecida pelo povo, com as obrigações de mulher, esposa e mãe.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aos filhos, existe pouca informação, apenas Quitéria Mendes Macedo, aparece com maior expressão, no documentário: Santa Dica de Guerra e Fé, e em fotos do livro do Lauro Vasconcellos, ela é a filha mais velha de Dica, e sempre acompanhou a mãe. No ano de 1950 assassinaram em Lagolãndia o filho de Manoel Mendonça (Neco).  Dica foi acusada de mandante do crime. Em resposta a família Mendonça mata o filho dela – este relato não é muito citado aparece apenas com nota de rodapé.  O ajuste violento foi uma característica marcante na história brasileira envolvendo a população do campo e da cidade.</w:t>
      </w:r>
    </w:p>
    <w:p>
      <w:pPr>
        <w:spacing w:before="0" w:after="0" w:line="240"/>
        <w:ind w:right="0" w:left="1134" w:hanging="1134"/>
        <w:jc w:val="both"/>
        <w:rPr>
          <w:rFonts w:ascii="Times New Roman" w:hAnsi="Times New Roman" w:cs="Times New Roman" w:eastAsia="Times New Roman"/>
          <w:b/>
          <w:color w:val="auto"/>
          <w:spacing w:val="0"/>
          <w:position w:val="0"/>
          <w:sz w:val="24"/>
          <w:shd w:fill="auto" w:val="clear"/>
        </w:rPr>
      </w:pPr>
    </w:p>
    <w:p>
      <w:pPr>
        <w:spacing w:before="0" w:after="0" w:line="240"/>
        <w:ind w:right="0" w:left="1134" w:hanging="113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Santa Dica: a Líder</w:t>
      </w:r>
    </w:p>
    <w:p>
      <w:pPr>
        <w:tabs>
          <w:tab w:val="left" w:pos="1080" w:leader="none"/>
        </w:tabs>
        <w:spacing w:before="0" w:after="0" w:line="360"/>
        <w:ind w:right="0" w:left="0" w:firstLine="1134"/>
        <w:jc w:val="both"/>
        <w:rPr>
          <w:rFonts w:ascii="Times New Roman" w:hAnsi="Times New Roman" w:cs="Times New Roman" w:eastAsia="Times New Roman"/>
          <w:b/>
          <w:color w:val="auto"/>
          <w:spacing w:val="0"/>
          <w:position w:val="0"/>
          <w:sz w:val="24"/>
          <w:shd w:fill="auto" w:val="clear"/>
        </w:rPr>
      </w:pP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poder de liderança que santa Dica adquiriu, emanava dos anjos que ela supostamente acreditava ter contato. Mesmo em meio à “Magia dos Anjos” o que sobressaiu foi à força de Benedita frente a uma sociedade fechada e arcaica.  Como argumenta Vasconcellos (1991 p. 80):</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Proclamada ou autoproclamada santa e estabelecido sua liderança sobre a aquele povo que ali se acha ou que é fiel a seus ensinamentos, pela aceitação que fazem de qualidades extracotidianas, acreditada pelos seus seguidores, passa santa Dica viver das dádivas ou presentes que lhe são oferecidos por aqueles que a procuram em busca de um favor, ou que se julgam beneficiários de seus milagres e de sua proteção.  Acreditando ser ela capaz de realizar a missão que lhe foi confiada, seus seguidores ou fanáticos como querem outros, passam a obedecê-la, reconhecendo nela o chefe e guia. A obediência aos seus ensinamentos, conselhos ou mesmo ordens é confirmado por testemunhas do processo-crime sofrido pela santa. </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Brito (2006) foi aos 18 anos, por volta de 1923 que santa Dica resolveu formar sua comunidade “A Corte dos anjos” ou “República dos Anjos” na antiga fazenda Mozondó que possuía os seguintes aspectos:</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condomínio de mais ou menos 12 lotes de tamanhos desiguais, ainda não demarcados aquela época. Grande parte do terreno era composta de área voltada ao cultivo suficiente apenas à subsistência daqueles que lá moravam – entre eles alguns parentes da líder.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Dica instituiu um sistema de uso comum de solo e aboliu o uso genérico de dinheiro, fazia curas milagrosas, rezava missas e dava conselhos. Pregava a igualdade, abolição de impostos e também a distribuição de terras. Para Dica a terra era propriedade do Criador e era para todos. Em sua fazenda não existiam cercas e todos os recursos, oferendas e colheitas eram revertidas para a comunidade. Vasconcellos (1991) afirma que nos movimentos sociais religiosos o sistema de poder religioso se confunde com o de poder político, em Lagolãndia isso não foi diferente, santa Dica era a autoridade máxima, ocupando o ápice da pirâmide social e religiosa da sociedade dos Anjos.</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Era ela quem controlava o poder local, pois através dela que as ordens e os esclarecimentos seriam transmitidos aos seus adeptos e seguidores ou seja, os moradores do local.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Dica foi apontada como líder desde o principio do movimento. Ocupou na hierarquia religiosa a posição mais elevada, ela intermediava o céu e a terra naquele lugar. Em torno dela e de seus preceitos é que se desenvolveu toda a religiosidade dos que ali se colocavam como crentes.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composição da sociedade fundada por Dica, em Goiás, possuía uma hierarquia, distribuída da seguinte forma: Primeiro vinha Dica que estava ligada diretamente ao “Conselho dos Anjos” entidade que acreditava representar na terra, fazendo a ponte entre o céu e a terra, depois seus auxiliares religiosos e propagandistas e na base da pirâmide os diqueiros, (apelido dado aos adeptos de santa Dica por Pompeu Christovam de Pina). Sobre os auxiliares religiosos de Dica, Alfredo dos Santos é a figura mais expressiva, Antônio José de Moura (1989), pois há, evidências dele como mentor de tudo que aconteceu em Lagolãndia.</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além de fundar uma comunidade, com poder de mando santa Dica foi convocada pelos coronéis goianos para participar da Coluna Caiado para combater a Coluna Prestes no Estado. Ela marchou rumo a capital onde participou de ações lá desenvolvidas. A historiadora Eleonora Z. Costa de Brito (2006) relata que este fato contribuiu para aumentar a fama de Dica em Goiás e fora do Estado. A imprensa da época, segundo Brito ficou estarrecida com a presença de uma mulher capaz de comandar e ser obedecida por centenas de homens.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outro lado, a participação de Dica na Coluna Caiado comprova sua característica de coronel, já que o senador Totó Caiando convocou todos os coronéis influentes da região para  arregimentar voluntários   para participarem e defenderem o estado  do movimento tenentista.</w:t>
      </w:r>
    </w:p>
    <w:p>
      <w:pPr>
        <w:tabs>
          <w:tab w:val="right" w:pos="900" w:leader="none"/>
          <w:tab w:val="left" w:pos="1080" w:leader="none"/>
          <w:tab w:val="left" w:pos="1134" w:leader="none"/>
          <w:tab w:val="right" w:pos="1260" w:leader="none"/>
          <w:tab w:val="right" w:pos="144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curiosa a posição que Dica ocupava, mesmo sendo líder de um movimento que contrariava o sistema vigente, ela serviu ao governo, esse é um fato contraditório, que sem dúvida merece atenção.  </w:t>
      </w:r>
    </w:p>
    <w:p>
      <w:pPr>
        <w:tabs>
          <w:tab w:val="right" w:pos="900" w:leader="none"/>
          <w:tab w:val="left" w:pos="1080" w:leader="none"/>
          <w:tab w:val="left" w:pos="1134" w:leader="none"/>
          <w:tab w:val="right" w:pos="1260" w:leader="none"/>
          <w:tab w:val="right" w:pos="144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presença de Santa Dica na capital, inverteu a situação do movimento, ela foi como colaboradora do governo, no retorno a Lagolândia, porém, passou a ser vista pelos fazendeiros coronéis como uma ameaça, estes se sentindo ameaçados exigiram uma posição do governo, alegando que Lagolândia poderia se transformar num Canudos.</w:t>
      </w:r>
    </w:p>
    <w:p>
      <w:pPr>
        <w:tabs>
          <w:tab w:val="right" w:pos="1080" w:leader="none"/>
          <w:tab w:val="left" w:pos="1134"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diversas tentativas de desfazer o povoado, o enfrentamento é de fato consumado, era “O Dia do Fogo” foi com este nome que ficou conhecido o episódio, do dia do enfretamento com as forças policiais de Goiás. Sabe-se que no enfretamento com a polícia alguns adeptos morreram a tiro e outros afogados ao atravessar o rio do peixe, “Rio Jordão”, para os fiéis.</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Encontrada a santa elemento chave naquele reduto, e tentada sua prisão, a esta resistiu José Cipriano Gomes, seu acompanhante que, sacando de uma arma, faz disparar tiros contra os policiais. Ouvidos os primeiros estampidos dos tiros, os policiais que se encontravam alojados nos morros abriram fogo contra o reduto que se encontrava, tomado de grande alarido e tentado resistir á investida policial [...] Essa guerra durou não mais que 30 minutos, segundo o relato do comandante da tropa apresentou um saldo de 16 baixas entre os mortos e feridos seguidores da santa, sendo que destas 6 pessoas morreram em conseqüências de tiros, 5 outras afogadas e 5 ficaram gravemente feridas. Os registros de óbitos confirmaram o número de mortos. (VASCONCELLOS, 1991.p 106).</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tabs>
          <w:tab w:val="right" w:pos="1080" w:leader="none"/>
          <w:tab w:val="left" w:pos="1134"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que foram contemporâneos do movimento de Santa Dica testemunharam que não houve feridos. Contudo, a citação acima, se refere ao processo aberto contra Dica. Porém, seus seguidores afirmam que não tiveram nenhuma baixa e que o combate foi travado durante uma hora e quarenta minutos.</w:t>
      </w:r>
    </w:p>
    <w:p>
      <w:pPr>
        <w:tabs>
          <w:tab w:val="right" w:pos="1080" w:leader="none"/>
          <w:tab w:val="left" w:pos="1134"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Dica sobreviveu ao conflito, foi presa acompanhada de alguns de seus seguidores. Todavia, a falta de provas inocentou-a, após ficar livre da cadeia foi banida do estado. Nesse período ela passou pelo o Rio de Janeiro e São Paulo, no período que esteve fora seu retrato foi pintado por Tarsila do Amaral, o que comprova sua fama fora do estado, e em todo o Brasil.</w:t>
      </w:r>
    </w:p>
    <w:p>
      <w:pPr>
        <w:tabs>
          <w:tab w:val="right" w:pos="1080" w:leader="none"/>
          <w:tab w:val="left" w:pos="1134"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tabs>
          <w:tab w:val="right" w:pos="1080" w:leader="none"/>
          <w:tab w:val="left" w:pos="1134"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240"/>
        <w:ind w:right="0" w:left="1134" w:firstLine="0"/>
        <w:jc w:val="right"/>
        <w:rPr>
          <w:rFonts w:ascii="Times New Roman" w:hAnsi="Times New Roman" w:cs="Times New Roman" w:eastAsia="Times New Roman"/>
          <w:color w:val="auto"/>
          <w:spacing w:val="0"/>
          <w:position w:val="0"/>
          <w:sz w:val="22"/>
          <w:shd w:fill="auto" w:val="clear"/>
        </w:rPr>
      </w:pPr>
    </w:p>
    <w:p>
      <w:pPr>
        <w:spacing w:before="0" w:after="0" w:line="240"/>
        <w:ind w:right="0" w:left="1134"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Santa Dica do Rio de janeiro,</w:t>
      </w:r>
    </w:p>
    <w:p>
      <w:pPr>
        <w:spacing w:before="0" w:after="0" w:line="240"/>
        <w:ind w:right="0" w:left="1134"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Santa Dica de São Paulo,</w:t>
      </w:r>
    </w:p>
    <w:p>
      <w:pPr>
        <w:spacing w:before="0" w:after="0" w:line="240"/>
        <w:ind w:right="0" w:left="1134"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Santa Dica do Brasil!</w:t>
      </w:r>
    </w:p>
    <w:p>
      <w:pPr>
        <w:spacing w:before="0" w:after="0" w:line="240"/>
        <w:ind w:right="0" w:left="1134"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(Jorge de Lima).</w:t>
      </w:r>
    </w:p>
    <w:p>
      <w:pPr>
        <w:spacing w:before="0" w:after="0" w:line="240"/>
        <w:ind w:right="0" w:left="1134" w:firstLine="0"/>
        <w:jc w:val="right"/>
        <w:rPr>
          <w:rFonts w:ascii="Times New Roman" w:hAnsi="Times New Roman" w:cs="Times New Roman" w:eastAsia="Times New Roman"/>
          <w:color w:val="auto"/>
          <w:spacing w:val="0"/>
          <w:position w:val="0"/>
          <w:sz w:val="20"/>
          <w:shd w:fill="auto" w:val="clear"/>
        </w:rPr>
      </w:pPr>
    </w:p>
    <w:p>
      <w:pPr>
        <w:spacing w:before="0" w:after="0" w:line="240"/>
        <w:ind w:right="0" w:left="1134" w:firstLine="0"/>
        <w:jc w:val="right"/>
        <w:rPr>
          <w:rFonts w:ascii="Times New Roman" w:hAnsi="Times New Roman" w:cs="Times New Roman" w:eastAsia="Times New Roman"/>
          <w:color w:val="auto"/>
          <w:spacing w:val="0"/>
          <w:position w:val="0"/>
          <w:sz w:val="20"/>
          <w:shd w:fill="auto" w:val="clear"/>
        </w:rPr>
      </w:pPr>
    </w:p>
    <w:p>
      <w:pPr>
        <w:tabs>
          <w:tab w:val="right" w:pos="1080" w:leader="none"/>
          <w:tab w:val="left" w:pos="1134" w:leader="none"/>
        </w:tabs>
        <w:spacing w:before="0" w:after="0" w:line="360"/>
        <w:ind w:right="0" w:left="0" w:firstLine="1134"/>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por volta de 1932, Benedita voltou à cena em Goiás, a pedido do então interventor Pedro Ludovico Teixeira, ela assumiu a frente de outra tropa, ao lado das forças legalistas, na Revolução Constitucionalista de São Paulo, para defender a integridade nacional, alguns relatos chegam a falar que ela teve patente de Capitão. Já Pompeu cita que, [...] Dica foi até aquela capital comandando quatrocentos homens para manter a integridade nacional. De lá voltou com a patente de cabo do Exército Nacional. Esse bando ficou conhecido como os famosos pés sem palhas (Pina, 2000, p) ”. </w:t>
      </w: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Por tanto, pelo que foi apresentado do neste texto fica comprovado a influência que esta mulher exerceu na região, é a demonstração da força dela junto às autoridades de alto escalão, o que contribuiu para que ela fosse vista como um coronel.</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O coronel é sempre alguém de reconhecida autoridade e prestigio que possui potencialmente, possibilidades de atender as demandas de sua clientela, sejam publicas ou privadas. [...] A maioria dos autores associa o crescimento do poder coronelístico a força eleitoral que os coronéis desempenharam na República [...] (JANOTTI, 1992, pág 07).</w:t>
      </w:r>
    </w:p>
    <w:p>
      <w:pPr>
        <w:tabs>
          <w:tab w:val="left" w:pos="1080" w:leader="none"/>
        </w:tabs>
        <w:spacing w:before="0" w:after="0" w:line="360"/>
        <w:ind w:right="0" w:left="0" w:firstLine="1134"/>
        <w:jc w:val="both"/>
        <w:rPr>
          <w:rFonts w:ascii="Times New Roman" w:hAnsi="Times New Roman" w:cs="Times New Roman" w:eastAsia="Times New Roman"/>
          <w:color w:val="FF0000"/>
          <w:spacing w:val="0"/>
          <w:position w:val="0"/>
          <w:sz w:val="24"/>
          <w:shd w:fill="auto" w:val="clear"/>
        </w:rPr>
      </w:pP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Outro fato que marcou sua liderança, e foi a influência política que a ela passou a exercer na cidade de Pirenópolis, após o apogeu do movimento, conhecido popularmente como “o dia do Fogo”. O fato de Benedita sobreviver ao episódio fortaleceu sua liderança perante a população local, seu marido foi eleito deputado e prefeito de Pirenópolis (1934-1937), em plena era coronelística, graças ao prestígio da santa junto ao povo de Lagolãndia e redondezas, como cita Brito (2006). Neste contexto histórico sua trajetória lembra a façanha do Padre Cícero Romão em juazeiro, assim como este, Dica ocupou uma posição intrigante, pois foi colocada como parceira política das autoridades locais</w:t>
      </w:r>
      <w:r>
        <w:rPr>
          <w:rFonts w:ascii="Times New Roman" w:hAnsi="Times New Roman" w:cs="Times New Roman" w:eastAsia="Times New Roman"/>
          <w:color w:val="auto"/>
          <w:spacing w:val="0"/>
          <w:position w:val="0"/>
          <w:sz w:val="22"/>
          <w:shd w:fill="auto" w:val="clear"/>
        </w:rPr>
        <w:t xml:space="preserve">.</w:t>
      </w:r>
    </w:p>
    <w:p>
      <w:pPr>
        <w:spacing w:before="0" w:after="0" w:line="240"/>
        <w:ind w:right="0" w:left="1134" w:hanging="1134"/>
        <w:jc w:val="both"/>
        <w:rPr>
          <w:rFonts w:ascii="Times New Roman" w:hAnsi="Times New Roman" w:cs="Times New Roman" w:eastAsia="Times New Roman"/>
          <w:b/>
          <w:color w:val="auto"/>
          <w:spacing w:val="0"/>
          <w:position w:val="0"/>
          <w:sz w:val="24"/>
          <w:shd w:fill="auto" w:val="clear"/>
        </w:rPr>
      </w:pPr>
    </w:p>
    <w:p>
      <w:pPr>
        <w:spacing w:before="0" w:after="0" w:line="240"/>
        <w:ind w:right="0" w:left="1134" w:hanging="113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Mística de Santa Dica</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Quando ela ficou moça</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Ficou santa,</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Fez milagres (...)</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curou mais que padre Cícero Romão.</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Metralhadoras,</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Carabinas do governo...</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Nenhuma bala acertou em Santa Dica.</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Santa dica era mais forte que o governo,</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Era mesmo que nem santa de verdade.</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Santa dica do rio do peixe,</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Santa Dica de Goiás,</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Santa Dica do sertão?</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Não</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Santa Dica do rio de janeiro,</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Santa Dica de São Paulo,</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Santa Dica do Brasil!</w:t>
      </w: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34"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(Jorge de Lima).</w:t>
      </w:r>
    </w:p>
    <w:p>
      <w:pPr>
        <w:spacing w:before="0" w:after="0" w:line="240"/>
        <w:ind w:right="0" w:left="1134" w:firstLine="0"/>
        <w:jc w:val="left"/>
        <w:rPr>
          <w:rFonts w:ascii="Times New Roman" w:hAnsi="Times New Roman" w:cs="Times New Roman" w:eastAsia="Times New Roman"/>
          <w:color w:val="FF0000"/>
          <w:spacing w:val="0"/>
          <w:position w:val="0"/>
          <w:sz w:val="20"/>
          <w:shd w:fill="auto" w:val="clear"/>
        </w:rPr>
      </w:pPr>
    </w:p>
    <w:p>
      <w:pPr>
        <w:tabs>
          <w:tab w:val="left" w:pos="108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Contado de diversas formas por seus contemporâneos, os fenômenos sobrenaturais que atestam o movimento de Santa Dica, são hoje parte do imaginário dos moradores de Pirenópolis. Para suas curas milagrosas recebia Dica a ajuda de uma “legião de anjos”, o que lhe possibilitou o papel de curandeira, milagreira, profetiza e “Santa”. </w:t>
      </w:r>
    </w:p>
    <w:p>
      <w:pPr>
        <w:spacing w:before="0" w:after="0" w:line="360"/>
        <w:ind w:right="0" w:left="2268" w:firstLine="0"/>
        <w:jc w:val="both"/>
        <w:rPr>
          <w:rFonts w:ascii="Times New Roman" w:hAnsi="Times New Roman" w:cs="Times New Roman" w:eastAsia="Times New Roman"/>
          <w:color w:val="FF0000"/>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consolidada a fama de santidade nenhum deles ousou jamais quebrar o tácito voto de obediência, o casto e piedoso respeito devido àquela que acreditavam envolto no halo dos anjos, enviada das alturas, banhado de luz sidérea [...] ao ouvido daqueles tabaréus, a palavra da mocinha milagreira soava como a vontade troante de um deus, embora a voz dela raramente perdesse a harmonia e o ciciar de quem fala como se estivesse ouvindo e seguindo o compasso de suavissima melodia, inaudível a percepção miseramente humana, vulgarmente deste mundo. Assim era Dica ou madrinha, nascida Benedita Cipriano, para o seu povo santa, três vezes santa, infinitamente santa como Tereza de Ávila, a Seráfica. (MOURA, 1989, pgs 20-21)</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tabs>
          <w:tab w:val="left" w:pos="1080" w:leader="none"/>
          <w:tab w:val="left" w:pos="1620" w:leader="none"/>
        </w:tabs>
        <w:spacing w:before="0" w:after="0" w:line="360"/>
        <w:ind w:right="0" w:left="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Benedicta, desde de criança, já apresentava poderes sobrenaturais. O romancista, Moura (1989) relata que seus poderes já manifestavam quando ela era ainda menina, por volta de seus três anos de idade. </w:t>
      </w:r>
    </w:p>
    <w:p>
      <w:pPr>
        <w:tabs>
          <w:tab w:val="left" w:pos="1080" w:leader="none"/>
          <w:tab w:val="left" w:pos="1620" w:leader="none"/>
        </w:tabs>
        <w:spacing w:before="0" w:after="0" w:line="360"/>
        <w:ind w:right="0" w:left="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próprio fato, que marca o inicio do movimento de Santa Dica nasce com a crença que a menina Benedita havia ressuscitado. Os seus seguidores acreditavam que Dica falava com os anjos. Segundo Brito (2003), o diálogo ocorria através dos “colóquios” ou “conselhos” momentos privilegiados em que, deixando a terra ela transpunha se para o céu, onde conversava com o anjo José Sueste. Os depoimentos dos contemporâneos relatam que ao entrar em transe, dos seus olhos escorria sangue e do corpo exalava perfume que a tudo impregnava. </w:t>
      </w:r>
    </w:p>
    <w:p>
      <w:pPr>
        <w:tabs>
          <w:tab w:val="left" w:pos="1080" w:leader="none"/>
          <w:tab w:val="left" w:pos="1620" w:leader="none"/>
        </w:tabs>
        <w:spacing w:before="0" w:after="0" w:line="360"/>
        <w:ind w:right="0" w:left="0" w:firstLine="10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mais fanáticos relatam que no Dia do Fogo:</w:t>
      </w:r>
    </w:p>
    <w:p>
      <w:pPr>
        <w:tabs>
          <w:tab w:val="left" w:pos="1080" w:leader="none"/>
          <w:tab w:val="left" w:pos="1620" w:leader="none"/>
          <w:tab w:val="left" w:pos="2280" w:leader="none"/>
        </w:tabs>
        <w:spacing w:before="0" w:after="0" w:line="480"/>
        <w:ind w:right="0" w:left="0" w:firstLine="107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 “as balas batiam no vestido da Santa e ricocheteavam; os anjos descidos dos céus não permitiam que as balas alcançassem os fiéis e isso explica porque elas subiam acertando apenas as partes altas das casas. Santa Dica teria entrado no Rio Jordão andando pelas águas”. (Moura,1989, pg 40)</w:t>
      </w:r>
    </w:p>
    <w:p>
      <w:pPr>
        <w:spacing w:before="0" w:after="0" w:line="360"/>
        <w:ind w:right="0" w:left="2268" w:firstLine="0"/>
        <w:jc w:val="both"/>
        <w:rPr>
          <w:rFonts w:ascii="Times New Roman" w:hAnsi="Times New Roman" w:cs="Times New Roman" w:eastAsia="Times New Roman"/>
          <w:color w:val="auto"/>
          <w:spacing w:val="0"/>
          <w:position w:val="0"/>
          <w:sz w:val="22"/>
          <w:shd w:fill="auto" w:val="clear"/>
        </w:rPr>
      </w:pPr>
    </w:p>
    <w:p>
      <w:pPr>
        <w:tabs>
          <w:tab w:val="left" w:pos="1080" w:leader="none"/>
          <w:tab w:val="left" w:pos="2340" w:leader="none"/>
        </w:tabs>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Pina (2000) argumenta que no dia do enfretamento, testemunhas oculares, dizem que santa Dica, vestida de branco, teve sua roupa traçada com balas de metralhadoras e não foi ferida. As balas batiam em seu corpo e caiam no chão. Só podiam ser milagres, completa  Pina.  </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uma pessoa comum, Santa Dica deixou sua história, que contribuiu para o entendimento da história regional de Goiás. Seus feitos e sua façanha foram contados em livros, romance, filme, documentário. Sua história está restrita a alguns intelectuais e esta concentrada em Lagolãndia, antiga “Republica dos Anjos”, fundada por Dica.</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lamentável que este movimento tão relevante para o enriquecimento e entendimento da história regional, não tenha tido por parte da historiografia regional a mesma atenção dispensada na literatura a poetisa Cora Coralina, que hoje se tornou referência na literatura goiana sendo a autora mais conhecida nas escolas públicas do Estado. </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Dica aqui foi vista como um coronel de saias e seus fieis seguidores como verdadeiros jagunços, estes estavam prontos a obedecê-la, cegamente. O motivo que a fez receber tal nomenclatura, foi à influência política que a mesma passou a exercer na cidade de Pirenópolis, após o apogeu do movimento conhecido popularmente como “o dia do Fogo”. O fato de Benedita sobreviver ao episódio fortaleceu ainda mais seu poder perante a população local. </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interessante perceber a posição que Dica ocupou no Estado, mesmo sendo líder de um movimento que contrariava o sistema vigente. Todavia, fica algumas interrogações Santa Dica não teve o reconhecimento devido por parte da historiografia regional como líder, por ser mulher, e por mexer numa estrutura social sólida como o coronelismo, tradicionalmente comandado por homens com uso da força, em uma época onde a mulher não exercia nenhuma influência, a não ser na educação dos filhos e nos cuidados da casa.  </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fama de curandeira pode ter contribuído para a pouca relevância dado a este fato histórico; fato este que inicialmente foi subestimado até pelas autoridades locais. Contudo, posteriormente os caiados reconhecem seu poder de mando.</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movimento de Lagolandia possuía as mesmas características de outros que são reconhecidos pela historiografia brasileira como movimentos messiânicos, entre eles: Canudos, Juazeiro, Contestado. Porém, o isolamento de Goiás e sua inexpressão política, pode  ter contribuído para que a história de Santa Dica fosse esquecida,  e considerado mais como um movimento religioso do que social, de relevância histórica.</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Santa Dica tornou - se “Santa” para os seus seguidores, mas não foi mártir, ela foi uma das poucas lideranças de movimentos religiosos rurais no Brasil que sobreviveu, e tornou-se autoridade influente em sua região como foi “Padim” Cícero, em Juazeiro.</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Espero que a partir desse estudo novas abordagens passam ser feitas sobre o tema, através de outras óticas, uma vez que a temática reúne elementos intrigantes como: fé, messianismo, coronelismo e liderança feminina.</w:t>
      </w: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Abstract</w:t>
      </w:r>
    </w:p>
    <w:p>
      <w:pPr>
        <w:spacing w:before="0" w:after="0" w:line="240"/>
        <w:ind w:right="0" w:left="0" w:firstLine="0"/>
        <w:jc w:val="both"/>
        <w:rPr>
          <w:rFonts w:ascii="Arial" w:hAnsi="Arial" w:cs="Arial" w:eastAsia="Arial"/>
          <w:b/>
          <w:color w:val="000000"/>
          <w:spacing w:val="0"/>
          <w:position w:val="0"/>
          <w:sz w:val="24"/>
          <w:shd w:fill="auto" w:val="clear"/>
        </w:rPr>
      </w:pPr>
    </w:p>
    <w:p>
      <w:pPr>
        <w:spacing w:before="0" w:after="0" w:line="240"/>
        <w:ind w:right="0" w:left="0" w:firstLine="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Summary This work searchs to analyze the history of Saint Dica, a woman who lived the front of its time, leading in the decade of twenty in Goiás one of the movements social religious expressive of the state, its figure is classified as a messianic leadership, being compared with the known leaders more of Brazil. Being thus, to know this figure and its facts historical, it is important to understand its relevance in goiana history. One is about a bibliographical research that is part of the work of course conclusion, that it aims at to point out the religious influence and politics of Dica saint in the city of Pirenópolis, during the three first decades of century XX, in order to mount a picture of the aspects social politicians and of Goiás in the first phase of the Republic. Another unfolding of the present study is in the inquiry of the peculiarity of the movement in Goiás, considering the coronelística force of a woman, in the leadership of a legion of sertanejos, with characteristics of a messianic movement, that with different religious attributions of the too much movements in Brazil, Dica Saint as was called Benedita Cipriano, supposedly assisted for one cut of angels, carried through miracles and operated cures, being known by its condition of healer. The development of this research points a way that it makes possible to unmask to little relevance of this movement in the goiana Historiography, and with agreement with respect to the history of the women, and the performance of a brave woman, in the state of Goiás.</w:t>
      </w:r>
    </w:p>
    <w:p>
      <w:pPr>
        <w:spacing w:before="0" w:after="0" w:line="240"/>
        <w:ind w:right="0" w:left="0" w:firstLine="0"/>
        <w:jc w:val="both"/>
        <w:rPr>
          <w:rFonts w:ascii="Arial" w:hAnsi="Arial" w:cs="Arial" w:eastAsia="Arial"/>
          <w:color w:val="000000"/>
          <w:spacing w:val="0"/>
          <w:position w:val="0"/>
          <w:sz w:val="24"/>
          <w:shd w:fill="auto" w:val="clear"/>
        </w:rPr>
      </w:pPr>
    </w:p>
    <w:p>
      <w:pPr>
        <w:spacing w:before="0" w:after="0" w:line="240"/>
        <w:ind w:right="0" w:left="0" w:firstLine="0"/>
        <w:jc w:val="both"/>
        <w:rPr>
          <w:rFonts w:ascii="Arial" w:hAnsi="Arial" w:cs="Arial" w:eastAsia="Arial"/>
          <w:b/>
          <w:color w:val="000000"/>
          <w:spacing w:val="0"/>
          <w:position w:val="0"/>
          <w:sz w:val="24"/>
          <w:shd w:fill="auto" w:val="clear"/>
        </w:rPr>
      </w:pPr>
      <w:r>
        <w:rPr>
          <w:rFonts w:ascii="Arial" w:hAnsi="Arial" w:cs="Arial" w:eastAsia="Arial"/>
          <w:color w:val="000000"/>
          <w:spacing w:val="0"/>
          <w:position w:val="0"/>
          <w:sz w:val="24"/>
          <w:shd w:fill="auto" w:val="clear"/>
        </w:rPr>
        <w:t xml:space="preserve"> </w:t>
      </w:r>
      <w:r>
        <w:rPr>
          <w:rFonts w:ascii="Arial" w:hAnsi="Arial" w:cs="Arial" w:eastAsia="Arial"/>
          <w:b/>
          <w:color w:val="000000"/>
          <w:spacing w:val="0"/>
          <w:position w:val="0"/>
          <w:sz w:val="24"/>
          <w:shd w:fill="auto" w:val="clear"/>
        </w:rPr>
        <w:t xml:space="preserve">Words Key: Dica Saint, social-religious Movement and To be able</w:t>
      </w:r>
    </w:p>
    <w:p>
      <w:pPr>
        <w:spacing w:before="0" w:after="0" w:line="240"/>
        <w:ind w:right="0" w:left="0" w:firstLine="0"/>
        <w:jc w:val="both"/>
        <w:rPr>
          <w:rFonts w:ascii="Arial" w:hAnsi="Arial" w:cs="Arial" w:eastAsia="Arial"/>
          <w:b/>
          <w:color w:val="auto"/>
          <w:spacing w:val="0"/>
          <w:position w:val="0"/>
          <w:sz w:val="28"/>
          <w:shd w:fill="auto" w:val="clear"/>
        </w:rPr>
      </w:pPr>
    </w:p>
    <w:p>
      <w:pPr>
        <w:spacing w:before="0" w:after="0" w:line="240"/>
        <w:ind w:right="0" w:left="0" w:firstLine="0"/>
        <w:jc w:val="both"/>
        <w:rPr>
          <w:rFonts w:ascii="Arial" w:hAnsi="Arial" w:cs="Arial" w:eastAsia="Arial"/>
          <w:b/>
          <w:color w:val="auto"/>
          <w:spacing w:val="0"/>
          <w:position w:val="0"/>
          <w:sz w:val="28"/>
          <w:shd w:fill="auto" w:val="clear"/>
        </w:rPr>
      </w:pPr>
    </w:p>
    <w:p>
      <w:pPr>
        <w:keepNext w:val="true"/>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REFERÊNCIAS BIBLIOGRÁFICAS</w:t>
      </w: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BRITO, Eleonora Z. Costa de. </w:t>
      </w:r>
      <w:r>
        <w:rPr>
          <w:rFonts w:ascii="Times New Roman" w:hAnsi="Times New Roman" w:cs="Times New Roman" w:eastAsia="Times New Roman"/>
          <w:b/>
          <w:color w:val="auto"/>
          <w:spacing w:val="0"/>
          <w:position w:val="0"/>
          <w:sz w:val="24"/>
          <w:shd w:fill="auto" w:val="clear"/>
        </w:rPr>
        <w:t xml:space="preserve">O dia do fogo</w:t>
      </w:r>
      <w:r>
        <w:rPr>
          <w:rFonts w:ascii="Times New Roman" w:hAnsi="Times New Roman" w:cs="Times New Roman" w:eastAsia="Times New Roman"/>
          <w:color w:val="auto"/>
          <w:spacing w:val="0"/>
          <w:position w:val="0"/>
          <w:sz w:val="24"/>
          <w:shd w:fill="auto" w:val="clear"/>
        </w:rPr>
        <w:t xml:space="preserve">. REVISTA NOSSA HISTÓRIA, ano 3, nº 30, Abril 2006.P. 30-33.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CHAUL, Nasr Fayod (coord). Coronelismo em Goiás: Estudo de casos de Família. Goiânia: Mestrado em Historia / UFG. 1998.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CAMPOS, Itami. </w:t>
      </w:r>
      <w:r>
        <w:rPr>
          <w:rFonts w:ascii="Times New Roman" w:hAnsi="Times New Roman" w:cs="Times New Roman" w:eastAsia="Times New Roman"/>
          <w:b/>
          <w:color w:val="auto"/>
          <w:spacing w:val="0"/>
          <w:position w:val="0"/>
          <w:sz w:val="24"/>
          <w:shd w:fill="auto" w:val="clear"/>
        </w:rPr>
        <w:t xml:space="preserve">Coronelismo em Goiás</w:t>
      </w:r>
      <w:r>
        <w:rPr>
          <w:rFonts w:ascii="Times New Roman" w:hAnsi="Times New Roman" w:cs="Times New Roman" w:eastAsia="Times New Roman"/>
          <w:color w:val="auto"/>
          <w:spacing w:val="0"/>
          <w:position w:val="0"/>
          <w:sz w:val="24"/>
          <w:shd w:fill="auto" w:val="clear"/>
        </w:rPr>
        <w:t xml:space="preserve">. 2ª ed, Goiânia. Vieira, 2003.</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CARONE, Edgar. </w:t>
      </w:r>
      <w:r>
        <w:rPr>
          <w:rFonts w:ascii="Times New Roman" w:hAnsi="Times New Roman" w:cs="Times New Roman" w:eastAsia="Times New Roman"/>
          <w:b/>
          <w:color w:val="auto"/>
          <w:spacing w:val="0"/>
          <w:position w:val="0"/>
          <w:sz w:val="24"/>
          <w:shd w:fill="auto" w:val="clear"/>
        </w:rPr>
        <w:t xml:space="preserve">A República Velha I (Instituições e Classes Sociais)</w:t>
      </w:r>
      <w:r>
        <w:rPr>
          <w:rFonts w:ascii="Times New Roman" w:hAnsi="Times New Roman" w:cs="Times New Roman" w:eastAsia="Times New Roman"/>
          <w:color w:val="auto"/>
          <w:spacing w:val="0"/>
          <w:position w:val="0"/>
          <w:sz w:val="24"/>
          <w:shd w:fill="auto" w:val="clear"/>
        </w:rPr>
        <w:t xml:space="preserve"> 4ªed. Rio de Janeiro – São Paulo, Difel, 1978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CARDOSO, Fernando Henrique (org). </w:t>
      </w:r>
      <w:r>
        <w:rPr>
          <w:rFonts w:ascii="Times New Roman" w:hAnsi="Times New Roman" w:cs="Times New Roman" w:eastAsia="Times New Roman"/>
          <w:b/>
          <w:color w:val="auto"/>
          <w:spacing w:val="0"/>
          <w:position w:val="0"/>
          <w:sz w:val="24"/>
          <w:shd w:fill="auto" w:val="clear"/>
        </w:rPr>
        <w:t xml:space="preserve">Corpo e Alma do Brasil. </w:t>
      </w:r>
      <w:r>
        <w:rPr>
          <w:rFonts w:ascii="Times New Roman" w:hAnsi="Times New Roman" w:cs="Times New Roman" w:eastAsia="Times New Roman"/>
          <w:color w:val="auto"/>
          <w:spacing w:val="0"/>
          <w:position w:val="0"/>
          <w:sz w:val="24"/>
          <w:shd w:fill="auto" w:val="clear"/>
        </w:rPr>
        <w:t xml:space="preserve">Rio de Janeiro, XXXI, 1978.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José Murilo de. </w:t>
      </w:r>
      <w:r>
        <w:rPr>
          <w:rFonts w:ascii="Times New Roman" w:hAnsi="Times New Roman" w:cs="Times New Roman" w:eastAsia="Times New Roman"/>
          <w:b/>
          <w:color w:val="auto"/>
          <w:spacing w:val="0"/>
          <w:position w:val="0"/>
          <w:sz w:val="24"/>
          <w:shd w:fill="auto" w:val="clear"/>
        </w:rPr>
        <w:t xml:space="preserve">Os bestializados: Rio de Janeiro e a República que não foi</w:t>
      </w:r>
      <w:r>
        <w:rPr>
          <w:rFonts w:ascii="Times New Roman" w:hAnsi="Times New Roman" w:cs="Times New Roman" w:eastAsia="Times New Roman"/>
          <w:color w:val="auto"/>
          <w:spacing w:val="0"/>
          <w:position w:val="0"/>
          <w:sz w:val="24"/>
          <w:shd w:fill="auto" w:val="clear"/>
        </w:rPr>
        <w:t xml:space="preserve">. São Paulo, Campanha das Letras, 1987.</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CARVALHO, José Murilo de. </w:t>
      </w:r>
      <w:r>
        <w:rPr>
          <w:rFonts w:ascii="Times New Roman" w:hAnsi="Times New Roman" w:cs="Times New Roman" w:eastAsia="Times New Roman"/>
          <w:b/>
          <w:color w:val="auto"/>
          <w:spacing w:val="0"/>
          <w:position w:val="0"/>
          <w:sz w:val="24"/>
          <w:shd w:fill="auto" w:val="clear"/>
        </w:rPr>
        <w:t xml:space="preserve">A Formação das Almas: o imaginário da República no Brasil</w:t>
      </w:r>
      <w:r>
        <w:rPr>
          <w:rFonts w:ascii="Times New Roman" w:hAnsi="Times New Roman" w:cs="Times New Roman" w:eastAsia="Times New Roman"/>
          <w:color w:val="auto"/>
          <w:spacing w:val="0"/>
          <w:position w:val="0"/>
          <w:sz w:val="24"/>
          <w:shd w:fill="auto" w:val="clear"/>
        </w:rPr>
        <w:t xml:space="preserve">. São Paulo, Campanha das Letras, 1990.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COTRIM, Gilberto. </w:t>
      </w:r>
      <w:r>
        <w:rPr>
          <w:rFonts w:ascii="Times New Roman" w:hAnsi="Times New Roman" w:cs="Times New Roman" w:eastAsia="Times New Roman"/>
          <w:b/>
          <w:color w:val="auto"/>
          <w:spacing w:val="0"/>
          <w:position w:val="0"/>
          <w:sz w:val="24"/>
          <w:shd w:fill="auto" w:val="clear"/>
        </w:rPr>
        <w:t xml:space="preserve">Historia e Consciência do Brasil</w:t>
      </w:r>
      <w:r>
        <w:rPr>
          <w:rFonts w:ascii="Times New Roman" w:hAnsi="Times New Roman" w:cs="Times New Roman" w:eastAsia="Times New Roman"/>
          <w:color w:val="auto"/>
          <w:spacing w:val="0"/>
          <w:position w:val="0"/>
          <w:sz w:val="24"/>
          <w:shd w:fill="auto" w:val="clear"/>
        </w:rPr>
        <w:t xml:space="preserve">. 2ª ed. Saraiva, São Paulo 1998.P. 254 – 256.</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COSTA, Emilia Viotti da. </w:t>
      </w:r>
      <w:r>
        <w:rPr>
          <w:rFonts w:ascii="Times New Roman" w:hAnsi="Times New Roman" w:cs="Times New Roman" w:eastAsia="Times New Roman"/>
          <w:b/>
          <w:color w:val="auto"/>
          <w:spacing w:val="0"/>
          <w:position w:val="0"/>
          <w:sz w:val="24"/>
          <w:shd w:fill="auto" w:val="clear"/>
        </w:rPr>
        <w:t xml:space="preserve">Da monarquia a república: momentos decisivos</w:t>
      </w:r>
      <w:r>
        <w:rPr>
          <w:rFonts w:ascii="Times New Roman" w:hAnsi="Times New Roman" w:cs="Times New Roman" w:eastAsia="Times New Roman"/>
          <w:color w:val="auto"/>
          <w:spacing w:val="0"/>
          <w:position w:val="0"/>
          <w:sz w:val="24"/>
          <w:shd w:fill="auto" w:val="clear"/>
        </w:rPr>
        <w:t xml:space="preserve">. 7ed. São Paulo: Fundação Editora UNESP, 1999.</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FAUSTO, Boris (org). </w:t>
      </w:r>
      <w:r>
        <w:rPr>
          <w:rFonts w:ascii="Times New Roman" w:hAnsi="Times New Roman" w:cs="Times New Roman" w:eastAsia="Times New Roman"/>
          <w:b/>
          <w:color w:val="auto"/>
          <w:spacing w:val="0"/>
          <w:position w:val="0"/>
          <w:sz w:val="24"/>
          <w:shd w:fill="auto" w:val="clear"/>
        </w:rPr>
        <w:t xml:space="preserve">Historia Geral da Civilização Brasileira. O Brasil Republicano</w:t>
      </w:r>
      <w:r>
        <w:rPr>
          <w:rFonts w:ascii="Times New Roman" w:hAnsi="Times New Roman" w:cs="Times New Roman" w:eastAsia="Times New Roman"/>
          <w:color w:val="auto"/>
          <w:spacing w:val="0"/>
          <w:position w:val="0"/>
          <w:sz w:val="24"/>
          <w:shd w:fill="auto" w:val="clear"/>
        </w:rPr>
        <w:t xml:space="preserve">. Vol. 8. Rio de Janeiro:Bertrand do Brasil. Cap III</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FAUSTO,  Boris. História do Brasil. São Paulo: Universidade de São Paulo, 2003.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JANOTTI, Maria de Loures M. </w:t>
      </w:r>
      <w:r>
        <w:rPr>
          <w:rFonts w:ascii="Times New Roman" w:hAnsi="Times New Roman" w:cs="Times New Roman" w:eastAsia="Times New Roman"/>
          <w:b/>
          <w:color w:val="auto"/>
          <w:spacing w:val="0"/>
          <w:position w:val="0"/>
          <w:sz w:val="24"/>
          <w:shd w:fill="auto" w:val="clear"/>
        </w:rPr>
        <w:t xml:space="preserve">O coronelismo uma política de compromissos</w:t>
      </w:r>
      <w:r>
        <w:rPr>
          <w:rFonts w:ascii="Times New Roman" w:hAnsi="Times New Roman" w:cs="Times New Roman" w:eastAsia="Times New Roman"/>
          <w:color w:val="auto"/>
          <w:spacing w:val="0"/>
          <w:position w:val="0"/>
          <w:sz w:val="24"/>
          <w:shd w:fill="auto" w:val="clear"/>
        </w:rPr>
        <w:t xml:space="preserve">, 8ª, brasiliense. 1992.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MAURO, Antonio José de. </w:t>
      </w:r>
      <w:r>
        <w:rPr>
          <w:rFonts w:ascii="Times New Roman" w:hAnsi="Times New Roman" w:cs="Times New Roman" w:eastAsia="Times New Roman"/>
          <w:b/>
          <w:color w:val="auto"/>
          <w:spacing w:val="0"/>
          <w:position w:val="0"/>
          <w:sz w:val="24"/>
          <w:shd w:fill="auto" w:val="clear"/>
        </w:rPr>
        <w:t xml:space="preserve">Sete Léguas de Paraíso</w:t>
      </w:r>
      <w:r>
        <w:rPr>
          <w:rFonts w:ascii="Times New Roman" w:hAnsi="Times New Roman" w:cs="Times New Roman" w:eastAsia="Times New Roman"/>
          <w:color w:val="auto"/>
          <w:spacing w:val="0"/>
          <w:position w:val="0"/>
          <w:sz w:val="24"/>
          <w:shd w:fill="auto" w:val="clear"/>
        </w:rPr>
        <w:t xml:space="preserve">. Ed Global São Paulo, 1989.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PALACIN, Luis (org) . História de Goiás, Luis Palacin e Maria Augusta Sant’Ana Moraes.5ª ed. Goiânia. Ed da UCG, 1989.</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PINA, Pompeu Cristovam de. </w:t>
      </w:r>
      <w:r>
        <w:rPr>
          <w:rFonts w:ascii="Times New Roman" w:hAnsi="Times New Roman" w:cs="Times New Roman" w:eastAsia="Times New Roman"/>
          <w:b/>
          <w:color w:val="auto"/>
          <w:spacing w:val="0"/>
          <w:position w:val="0"/>
          <w:sz w:val="24"/>
          <w:shd w:fill="auto" w:val="clear"/>
        </w:rPr>
        <w:t xml:space="preserve">Pirenópolis Coletânea 1727-2000- História - Turismo – Curiosidades</w:t>
      </w:r>
      <w:r>
        <w:rPr>
          <w:rFonts w:ascii="Times New Roman" w:hAnsi="Times New Roman" w:cs="Times New Roman" w:eastAsia="Times New Roman"/>
          <w:color w:val="auto"/>
          <w:spacing w:val="0"/>
          <w:position w:val="0"/>
          <w:sz w:val="24"/>
          <w:shd w:fill="auto" w:val="clear"/>
        </w:rPr>
        <w:t xml:space="preserve">. Adelmo de Carvalho (org) ed kelps, 2000.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QUEIROZ, Maria Isaura Pereira de. O Mandonismo local na vida política brasileira e outros ensaios, São Paulo: ed Alfa – Omega, 1976.</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QUEIROZ, Maurício Vinhas de. </w:t>
      </w:r>
      <w:r>
        <w:rPr>
          <w:rFonts w:ascii="Times New Roman" w:hAnsi="Times New Roman" w:cs="Times New Roman" w:eastAsia="Times New Roman"/>
          <w:b/>
          <w:color w:val="auto"/>
          <w:spacing w:val="0"/>
          <w:position w:val="0"/>
          <w:sz w:val="24"/>
          <w:shd w:fill="auto" w:val="clear"/>
        </w:rPr>
        <w:t xml:space="preserve">MESSIANISMO E CONFLITO SOCIAL: A Guerra Sertaneja do Contestado: 1912-1916</w:t>
      </w:r>
      <w:r>
        <w:rPr>
          <w:rFonts w:ascii="Times New Roman" w:hAnsi="Times New Roman" w:cs="Times New Roman" w:eastAsia="Times New Roman"/>
          <w:color w:val="auto"/>
          <w:spacing w:val="0"/>
          <w:position w:val="0"/>
          <w:sz w:val="24"/>
          <w:shd w:fill="auto" w:val="clear"/>
        </w:rPr>
        <w:t xml:space="preserve">. Rio de Janeiro. Civilização Brasileira,1966.</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w:t>
      </w:r>
      <w:r>
        <w:rPr>
          <w:rFonts w:ascii="Times New Roman" w:hAnsi="Times New Roman" w:cs="Times New Roman" w:eastAsia="Times New Roman"/>
          <w:b/>
          <w:color w:val="auto"/>
          <w:spacing w:val="0"/>
          <w:position w:val="0"/>
          <w:sz w:val="24"/>
          <w:shd w:fill="auto" w:val="clear"/>
        </w:rPr>
        <w:t xml:space="preserve">Historia das Mulheres</w:t>
      </w:r>
      <w:r>
        <w:rPr>
          <w:rFonts w:ascii="Times New Roman" w:hAnsi="Times New Roman" w:cs="Times New Roman" w:eastAsia="Times New Roman"/>
          <w:color w:val="auto"/>
          <w:spacing w:val="0"/>
          <w:position w:val="0"/>
          <w:sz w:val="24"/>
          <w:shd w:fill="auto" w:val="clear"/>
        </w:rPr>
        <w:t xml:space="preserve"> in: BURKE Peter, (org) </w:t>
      </w:r>
      <w:r>
        <w:rPr>
          <w:rFonts w:ascii="Times New Roman" w:hAnsi="Times New Roman" w:cs="Times New Roman" w:eastAsia="Times New Roman"/>
          <w:b/>
          <w:color w:val="auto"/>
          <w:spacing w:val="0"/>
          <w:position w:val="0"/>
          <w:sz w:val="24"/>
          <w:shd w:fill="auto" w:val="clear"/>
        </w:rPr>
        <w:t xml:space="preserve">A escrita da História: Novas perspectivas</w:t>
      </w:r>
      <w:r>
        <w:rPr>
          <w:rFonts w:ascii="Times New Roman" w:hAnsi="Times New Roman" w:cs="Times New Roman" w:eastAsia="Times New Roman"/>
          <w:color w:val="auto"/>
          <w:spacing w:val="0"/>
          <w:position w:val="0"/>
          <w:sz w:val="24"/>
          <w:shd w:fill="auto" w:val="clear"/>
        </w:rPr>
        <w:t xml:space="preserve">. São Paulo, ed UNESP, 1993.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VASCONCELLOS, Lauro de. </w:t>
      </w:r>
      <w:r>
        <w:rPr>
          <w:rFonts w:ascii="Times New Roman" w:hAnsi="Times New Roman" w:cs="Times New Roman" w:eastAsia="Times New Roman"/>
          <w:b/>
          <w:color w:val="auto"/>
          <w:spacing w:val="0"/>
          <w:position w:val="0"/>
          <w:sz w:val="24"/>
          <w:shd w:fill="auto" w:val="clear"/>
        </w:rPr>
        <w:t xml:space="preserve">Santa Dica: o encantamento do mundo ou coisa do povo</w:t>
      </w:r>
      <w:r>
        <w:rPr>
          <w:rFonts w:ascii="Times New Roman" w:hAnsi="Times New Roman" w:cs="Times New Roman" w:eastAsia="Times New Roman"/>
          <w:color w:val="auto"/>
          <w:spacing w:val="0"/>
          <w:position w:val="0"/>
          <w:sz w:val="24"/>
          <w:shd w:fill="auto" w:val="clear"/>
        </w:rPr>
        <w:t xml:space="preserve">. Goiânia; CEGRAF / UFG, 1991.</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1134"/>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Igualdade de Gênero e os Aspectos Doutrinários e Jurisprudenciais da Vítima Transexual na Lei Maria da Penha</w:t>
      </w:r>
    </w:p>
    <w:p>
      <w:pPr>
        <w:spacing w:before="0" w:after="20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Alci Braga de Lima</w:t>
      </w:r>
    </w:p>
    <w:p>
      <w:pPr>
        <w:spacing w:before="0" w:after="20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Instituição de ensino: Faculdade Integrada do Ceará (FIC/CE)</w:t>
      </w:r>
    </w:p>
    <w:p>
      <w:pPr>
        <w:spacing w:before="0" w:after="20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Professor orientador: Carlos Magno Gurgel Cavalcante² </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Alguns cientistas sociais, como Hobbes (</w:t>
      </w:r>
      <w:r>
        <w:rPr>
          <w:rFonts w:ascii="Times New Roman" w:hAnsi="Times New Roman" w:cs="Times New Roman" w:eastAsia="Times New Roman"/>
          <w:i/>
          <w:color w:val="auto"/>
          <w:spacing w:val="0"/>
          <w:position w:val="0"/>
          <w:sz w:val="24"/>
          <w:shd w:fill="auto" w:val="clear"/>
        </w:rPr>
        <w:t xml:space="preserve">apud</w:t>
      </w:r>
      <w:r>
        <w:rPr>
          <w:rFonts w:ascii="Times New Roman" w:hAnsi="Times New Roman" w:cs="Times New Roman" w:eastAsia="Times New Roman"/>
          <w:color w:val="auto"/>
          <w:spacing w:val="0"/>
          <w:position w:val="0"/>
          <w:sz w:val="24"/>
          <w:shd w:fill="auto" w:val="clear"/>
        </w:rPr>
        <w:t xml:space="preserve"> CAVALCANTI, 2008, p.27), consideram a violência própria da essência humana: </w:t>
      </w:r>
    </w:p>
    <w:p>
      <w:pPr>
        <w:spacing w:before="0" w:after="200" w:line="240"/>
        <w:ind w:right="0" w:left="21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É próprio do homem, independentemente do estado de evolução em que se encontre a sociedade em que vive, agir em função da expectativa de uma agressão alheia a qual, paradoxalmente, ele responde antecipadamente de maneira também agressiva.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despeito dessa afirmação, Hobbes (</w:t>
      </w:r>
      <w:r>
        <w:rPr>
          <w:rFonts w:ascii="Times New Roman" w:hAnsi="Times New Roman" w:cs="Times New Roman" w:eastAsia="Times New Roman"/>
          <w:i/>
          <w:color w:val="auto"/>
          <w:spacing w:val="0"/>
          <w:position w:val="0"/>
          <w:sz w:val="24"/>
          <w:shd w:fill="auto" w:val="clear"/>
        </w:rPr>
        <w:t xml:space="preserve">apud</w:t>
      </w:r>
      <w:r>
        <w:rPr>
          <w:rFonts w:ascii="Times New Roman" w:hAnsi="Times New Roman" w:cs="Times New Roman" w:eastAsia="Times New Roman"/>
          <w:color w:val="auto"/>
          <w:spacing w:val="0"/>
          <w:position w:val="0"/>
          <w:sz w:val="24"/>
          <w:shd w:fill="auto" w:val="clear"/>
        </w:rPr>
        <w:t xml:space="preserve"> CAVALCANTI, 2008, p.27) ainda entende que o único caminho de rompimento com este círculo vicioso de desconfiança e violências recíprocas é o do pacto social que gera e define os parâmetros da vida coletiva.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Outros, porém, como o mestre Pontes de Miranda (</w:t>
      </w:r>
      <w:r>
        <w:rPr>
          <w:rFonts w:ascii="Times New Roman" w:hAnsi="Times New Roman" w:cs="Times New Roman" w:eastAsia="Times New Roman"/>
          <w:i/>
          <w:color w:val="auto"/>
          <w:spacing w:val="0"/>
          <w:position w:val="0"/>
          <w:sz w:val="24"/>
          <w:shd w:fill="auto" w:val="clear"/>
        </w:rPr>
        <w:t xml:space="preserve">apud</w:t>
      </w:r>
      <w:r>
        <w:rPr>
          <w:rFonts w:ascii="Times New Roman" w:hAnsi="Times New Roman" w:cs="Times New Roman" w:eastAsia="Times New Roman"/>
          <w:color w:val="auto"/>
          <w:spacing w:val="0"/>
          <w:position w:val="0"/>
          <w:sz w:val="24"/>
          <w:shd w:fill="auto" w:val="clear"/>
        </w:rPr>
        <w:t xml:space="preserve"> CAVALCANTI, 2008, p.20), vêem no processo evolutivo do homem um caminho para a paz social: </w:t>
      </w:r>
    </w:p>
    <w:p>
      <w:pPr>
        <w:spacing w:before="0" w:after="200" w:line="240"/>
        <w:ind w:right="0" w:left="216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O processo evolutivo que é contínuo e inexorável exige índices cada vez maiores de civilidade, traduzido como a transformação da energia violenta – o quantum despótico – em energia social cujo efeito é a crescente pacificação social.</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análise dessas duas correntes doutrinárias, podemos concluir que há um ponto convergente: a organização social humana encontra-se marcada pelo fenômeno da violência.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a violência um problema mundial e está cada vez mais evidente, principalmente a violência doméstica contra a mulher.</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violência doméstica ultrapassa as fronteiras geográficas, independentemente das características dos povos que ali habitam. Não há distinção de etnia, credo ou condição financeira. É um tipo de violência que ocorre entre membros de uma mesma família ou que coabitam o mesmo espaço, violando os direitos humanos fundamentais: como o direito à vida, à dignidade, à segurança e à integridade física e psicológica da mulher.</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últimas décadas, há uma preocupação maior, em âmbito nacional, com esse tipo de violência, em função da grande incidência de casos de violência praticados contra a mulher no seio familiar.</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o instituto de pesquisa do Senado Federal, denominado DataSenado, em fevereiro de 2009 fora feita uma pesquisa de opinião pública nacional sobre a violência doméstica e familiar contra a mulher, com os seguintes resultados: das 827 mulheres  entrevistadas, residentes na capitais do País,  160 disseram ter sofrido agressão, 62% das entrevistadas disseram conhecer mulheres que já sofreram violência doméstica e familiar. Dentre os tipos de violência sofrida, as mais citadas foram a física (55%), a moral (16%) e a psicológica (15%). Entre as vítimas entrevistadas, o tipo de violência mais citada é a física (51%).</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agressão é predominantemente praticada por homens que mantém relações íntimas com as vítimas: 81% são maridos, companheiros ou namorados. Dentre as 160 entrevistadas que sofreram violência, apenas 28% denunciaram o agressor.</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Objetivo Geral</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artigo visamos desenvolver uma abordagem doutrinária e jurisprudencial da  Lei 11.340/2006, conhecida como Lei Maria da Penha, em relação ao novo conceito de família e aos entes que a compõe.  Os fatos que nos remeteram à abordagem em tela foram as divergências dos pensadores do Direito acerca daqueles que se encontram sob seu manto protetor. </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Objetivo Específico</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Temos como objetivo específico discutir a questão do transexual masculino como sujeito passivo da Lei Maria da Penha.</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Metodologia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estudo, a análise doutrinária e jurisprudencial foi feita através de uma pesquisa bibliográfica e documental. O método utilizado foi uma revisão de literatura. Para a pesquisa bibliográfica, foram utilizados livros doutrinários das diversas áreas das Ciências Jurídicas e Sociais assim como, textos e artigos publicados na internet, tendo o termo: “violência doméstica contra a mulher” como palavra-chave.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à pesquisa documental, serviram como subsídio leis, decisões de 1ª instância dos tribunais do País e jurisprudências dos tribunais superiores.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relevância desse tema está em analisar a Lei 11.340/2006, a doutrina e a jurisprudência a fim de intensificar a discussão da aplicabilidade eficaz da Lei Maria da Penha no Brasil consolidando a igualdade de gênero.</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Discussão</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 O Conceito de Família</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A Lei Maria da Penha encontra-se em vários de seus dispositivos sob a lente dos doutrinadores e juristas que enxergam situações distintas acerca daqueles que estão verdadeiramente tutelados pelo diploma legal. Dentre as muitas visões doutrinárias e jurisprudenciais, podemos ressaltar o novo conceito de família e a situação do transexual masculino como vítima. O que evidencia uma busca cada vez maior por uma sociedade igualitária.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Brasil de hoje, o conceito de família, para alguns doutrinadores, ultrapassa as fronteiras do ordenamento jurídico, para entrar na seara do campo afetivo, como afirma Leonardo Barreto Moreira Alves (2007): “Observa-se que a entidade familiar ultrapassa os limites da previsão jurídica (casamento, união estável e família monoparental) para abarcar todo e qualquer agrupamento de pessoas onde permeie o elemento afeto (</w:t>
      </w:r>
      <w:r>
        <w:rPr>
          <w:rFonts w:ascii="Times New Roman" w:hAnsi="Times New Roman" w:cs="Times New Roman" w:eastAsia="Times New Roman"/>
          <w:i/>
          <w:color w:val="auto"/>
          <w:spacing w:val="0"/>
          <w:position w:val="0"/>
          <w:sz w:val="24"/>
          <w:shd w:fill="auto" w:val="clear"/>
        </w:rPr>
        <w:t xml:space="preserve">affectio familiae</w:t>
      </w:r>
      <w:r>
        <w:rPr>
          <w:rFonts w:ascii="Times New Roman" w:hAnsi="Times New Roman" w:cs="Times New Roman" w:eastAsia="Times New Roman"/>
          <w:color w:val="auto"/>
          <w:spacing w:val="0"/>
          <w:position w:val="0"/>
          <w:sz w:val="24"/>
          <w:shd w:fill="auto" w:val="clear"/>
        </w:rPr>
        <w:t xml:space="preser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advento da Constituição Federal de 1988, uma profunda alteração ocorreu no conceito de família que predominava até então. A Carta Magna consagrou o princípio da igualdade em seu art. 5°, caput e o reforçou no inc.I, ao dispor que homens e mulheres são iguais em direitos e obrigações. Tal princípio subsidiou, juntamente com o princípio da dignidade da pessoa humana (CF, art.1°, III), o moderno conceito de família. A união estável prevista no art. 226, parágrafo 3° e a família monoparental (art. 226, parágrafo 4º), além do casamento são os institutos da formação familiar previstos na legislação vigente onde homens e mulheres exercem de forma equitativa direitos e deveres.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Nessa esteira, observa-se que a Constituição Federal de 1988 trouxe mudanças no seio social, desestigmatizando as relações entre os gêneros, principalmente no ambiente familiar.</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relacionamento entre os entes que formam a família passa a ser muito mais aberto, democrático e plural, o que faz com que cada indivíduo venha a obter a realização de sua felicidade particular.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Nessa linha de pensamento, o mestre Gustavo Tepedino afirma que a maior preocupação da atualidade é com a pessoa humana, o desenvolvimento de sua personalidade, o elemento finalístico da proteção estatal, para cuja realização devem convergir todas as normas de direito positivo, em particular aquelas que disciplinam o direito de família, regulando as relações mais íntimas e intensas do indivíduo no social.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todo esse processo evolutivo, a Lei n° 11.340/2006 trouxe em seu bojo importante inovação no ordenamento jurídico vigente. Ao prever em seu art. 5°, II, que a família deve ser “compreendida como a comunidade formada por indivíduos que são ou se consideram aparentados, unidos por laços naturais, por afinidade ou por vontade expressa” acabou sendo a primeira norma infraconstitucional que consagra a idéia de que a família não é aquela constituída por força da lei, mas, sim, por vontade dos seus próprios membros. Ou seja, o afeto é o elemento volitivo da formação familiar. O texto legal também acaba por reconhecer, no mundo jurídico, a união homossexual (ou homoafetiva) como entidade familiar ao dispor, no parágrafo único do art. 5°, que “as relações pessoais enunciadas neste artigo independem de orientação sexual”.</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esses novos paradigmas familiares, já se verifica na doutrina e na jurisprudência, uma forte tendência a reconhecer como entidade familiar as uniões homoafetivas. Para arrematar a questão em tela, transcrevamos as palavras da professora Maria Berenice Dias (2006):</w:t>
      </w:r>
    </w:p>
    <w:p>
      <w:pPr>
        <w:spacing w:before="0" w:after="200" w:line="276"/>
        <w:ind w:right="0" w:left="216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Diante da expressão legal, é imperioso reconhecer que as uniões homoafetivas constituem uma unidade doméstica, não importando o sexo dos parceiros. Quer as uniões formadas por um homem e uma mulher, quer as formadas por duas mulheres, quer as formadas por um homem e uma pessoa com distinta identidade de gênero, todas configuram entidade familiar. Ainda que a lei tenha por finalidade proteger a mulher, fato é que ampliou o conceito de família, independentemente do sexo dos parceiros. Se também família é a união entre duas mulheres, igualmente é família a união entre dois homens. Basta invocar o princípio da igualdade. A partir da nova definição de entidade familiar, não mais cabe questionar a natureza dos vínculos formados por pessoas do mesmo sexo. Ninguém pode continuar sustentando que, em face da omissão legislativa, não é possível emprestar-lhes efeitos jurídicos [...]. Diante da definição de entidade familiar, não mais se justifica que o amor entre iguais seja banido do âmbito da proteção jurídica, visto que suas desavenças são reconhecidas como violência doméstica.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definitivo, após o arcabouço teórico desenvolvido, salientamos que a entidade familiar transcende as fronteiras do ordenamento posto e encontra-se em todo e qualquer grupo de indivíduos, onde o afeto, o respeito, a solidariedade sejam os elementos norteadores, e à mulher são reconhecidos todos e direitos e deveres igualmente ao sexo oposto, mostrando claramente, um processo de evolução não apenas doutrinário ou jurisprudencial, mas principalmente normativo.</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3.2. O transexualismo e a Lei Maria da Penha</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Ocorre, no entanto, que em se tratando de aplicabilidade da Lei Maria da Penha, quando versa sobre a violência doméstica familiar nas relações homoafetivas, um ponto vem gerando controvérsias: o transexualismo. Visto que, nas mesas de debates, já se questiona se o transexual está amparado pela Lei 11.340/2006.</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fenômeno da transexualidade  já era conhecido na idade média, onde era definido como </w:t>
      </w:r>
      <w:r>
        <w:rPr>
          <w:rFonts w:ascii="Times New Roman" w:hAnsi="Times New Roman" w:cs="Times New Roman" w:eastAsia="Times New Roman"/>
          <w:i/>
          <w:color w:val="000000"/>
          <w:spacing w:val="0"/>
          <w:position w:val="0"/>
          <w:sz w:val="24"/>
          <w:shd w:fill="auto" w:val="clear"/>
        </w:rPr>
        <w:t xml:space="preserve">anima mulieris in corpore virile inclusa</w:t>
      </w:r>
      <w:r>
        <w:rPr>
          <w:rFonts w:ascii="Times New Roman" w:hAnsi="Times New Roman" w:cs="Times New Roman" w:eastAsia="Times New Roman"/>
          <w:color w:val="000000"/>
          <w:spacing w:val="0"/>
          <w:position w:val="0"/>
          <w:sz w:val="24"/>
          <w:shd w:fill="auto" w:val="clear"/>
        </w:rPr>
        <w:t xml:space="preserve">, que significa um corpo masculino em uma alma feminina.</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Conforme as psicólogas </w:t>
      </w:r>
      <w:r>
        <w:rPr>
          <w:rFonts w:ascii="Times New Roman" w:hAnsi="Times New Roman" w:cs="Times New Roman" w:eastAsia="Times New Roman"/>
          <w:color w:val="auto"/>
          <w:spacing w:val="0"/>
          <w:position w:val="0"/>
          <w:sz w:val="24"/>
          <w:shd w:fill="auto" w:val="clear"/>
        </w:rPr>
        <w:t xml:space="preserve">Márcia Arán e Daniela Murta: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2268" w:firstLine="0"/>
        <w:jc w:val="both"/>
        <w:rPr>
          <w:rFonts w:ascii="Calibri" w:hAnsi="Calibri" w:cs="Calibri" w:eastAsia="Calibr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termo “transexualismo” foi utilizado pela primeira vez em 1910, por Magnus Hirschfeld, para se referir ao que o autor denominou de "transexualismo psíquico" (CASTEL, 2001), sendo retomado 40 anos depois, quando o Dr. David O. Cauldwell trouxe a público um estudo de caso sobre um transexual feminino no artigo intitulado "</w:t>
      </w:r>
      <w:r>
        <w:rPr>
          <w:rFonts w:ascii="Times New Roman" w:hAnsi="Times New Roman" w:cs="Times New Roman" w:eastAsia="Times New Roman"/>
          <w:i/>
          <w:color w:val="000000"/>
          <w:spacing w:val="0"/>
          <w:position w:val="0"/>
          <w:sz w:val="22"/>
          <w:shd w:fill="auto" w:val="clear"/>
        </w:rPr>
        <w:t xml:space="preserve">Psychopatia Transexuallis"</w:t>
      </w:r>
      <w:r>
        <w:rPr>
          <w:rFonts w:ascii="Times New Roman" w:hAnsi="Times New Roman" w:cs="Times New Roman" w:eastAsia="Times New Roman"/>
          <w:color w:val="000000"/>
          <w:spacing w:val="0"/>
          <w:position w:val="0"/>
          <w:sz w:val="22"/>
          <w:shd w:fill="auto" w:val="clear"/>
        </w:rPr>
        <w:t xml:space="preserve"> (1949). </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Contudo, foi a cirurgia realizada em Georges Jorgensen em 1952, tornando-se Christine Jorgensen que constituiu um marco para a concepção desse fenômeno tal como o concebemos nos dias atuais.   </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 Brasil, o conceito de transexualismo está previsto no art.3º da Resolução nº 1.652/02 do Conselho Federal de Medicina:</w:t>
      </w:r>
    </w:p>
    <w:p>
      <w:pPr>
        <w:spacing w:before="0" w:after="200" w:line="276"/>
        <w:ind w:right="0" w:left="216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Que a definição de transexualismo obedecerá, no mínimo, aos critérios abaixo enumerados: 1) Desconforto com o sexo anatômico natural; 2) Desejo expresso de eliminar os genitais, perder as características primárias e secundárias do próprio sexo e ganhar as do sexo oposto; 3) Permanência desses distúrbios de forma contínua e consistente por, no mínimo, dois anos; 4) Ausência de outros transtornos mentais</w:t>
      </w:r>
      <w:r>
        <w:rPr>
          <w:rFonts w:ascii="Times New Roman" w:hAnsi="Times New Roman" w:cs="Times New Roman" w:eastAsia="Times New Roman"/>
          <w:color w:val="000000"/>
          <w:spacing w:val="0"/>
          <w:position w:val="0"/>
          <w:sz w:val="24"/>
          <w:shd w:fill="auto" w:val="clear"/>
        </w:rPr>
        <w:t xml:space="preserve">.</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Diante de tal realidade, podemos perceber que mesmo com o reconhecimento da possibilidade de mudança de sexo pela comunidade médico-científica, a questão da mudança de gênero masculino para o feminino emerge como um grande desafio no plano normativo.</w:t>
      </w:r>
    </w:p>
    <w:p>
      <w:pPr>
        <w:spacing w:before="0" w:after="20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Os Tribunais nacionais diferem em suas decisões quanto à alteração do prenome e da designação do sexo na certidão de nascimento dos transexuais. </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Desembargador Moreira Diniz do Tribunal de Justiça de Minas Gerais, em julgamento de Apelação Cível, negou alteração de sexo no registro civil de transexual:</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Times New Roman" w:hAnsi="Times New Roman" w:cs="Times New Roman" w:eastAsia="Times New Roman"/>
          <w:color w:val="000000"/>
          <w:spacing w:val="0"/>
          <w:position w:val="0"/>
          <w:sz w:val="22"/>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2268"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não há como deferir alteração de sexo no registro civil, se a pessoa não teve alterado o seu sexo, mas apenas a sua aparência física externa. Se a pessoa continua integrante do sexo com o qual nasceu, lançar no registro indicação de sexo diferente é fazer afirmação que não corresponde à realidade, à verdade, e, em tese, pode até ser caracterizado como crime" (4ª Câmara Cível TJMG -DJMG de 08.06.2004).</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Times New Roman" w:hAnsi="Times New Roman" w:cs="Times New Roman" w:eastAsia="Times New Roman"/>
          <w:color w:val="000000"/>
          <w:spacing w:val="0"/>
          <w:position w:val="0"/>
          <w:sz w:val="22"/>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despeito de decisões contrárias como a proferida pelo Desembargador Moreira Diniz, as luzes constitucionais orientam alguns pensadores do direito sob o manto do princípio da dignidade humana previsto no inciso III, art. 1º da Constituição Federal. Como é o caso da ministra Nancy Andrighi, integrante da Terceira Turma, da Segunda Seção e da Corte Especial do Superior Tribunal de Justiça (STJ), cujo princípio foi determinante para que a nobre jurista conferisse a um transexual submetido à cirurgia de mudança de sexo, o direito à alteração do prenome e designativo do sexo em todos os seus documentos, sem que conste das certidões do registro público a causa da alteração:</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2268"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 afirmação da identidade sexual, compreendida pela identidade humana, encerra a realização da dignidade, no que tange à possibilidade de expressar todos os atributos e características do gênero imanente a cada pessoa. Para o transexual, ter uma vida digna importa em ver reconhecida a sua identidade sexual, sob a ótica psicossocial, a refletir a verdade real por ele vivenciada e que se reflete na sociedade.</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Times New Roman" w:hAnsi="Times New Roman" w:cs="Times New Roman" w:eastAsia="Times New Roman"/>
          <w:color w:val="000000"/>
          <w:spacing w:val="0"/>
          <w:position w:val="0"/>
          <w:sz w:val="22"/>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Times New Roman" w:hAnsi="Times New Roman" w:cs="Times New Roman" w:eastAsia="Times New Roman"/>
          <w:color w:val="000000"/>
          <w:spacing w:val="0"/>
          <w:position w:val="0"/>
          <w:sz w:val="22"/>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Não é apenas no campo jurídico que ocorrem divergências, inicialmente, o pensamento doutrinário possui duas posições, fato constatado, nas palavras dos mestres Roberto Sanches Cunha e Ronaldo Batista Pinto (2007):</w:t>
      </w:r>
    </w:p>
    <w:p>
      <w:pPr>
        <w:spacing w:before="0" w:after="200" w:line="240"/>
        <w:ind w:right="0" w:left="216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Uma primeira, conservadora, entendendo que o transexual, geneticamente, não é mulher (apenas passa a ter órgão genital de conformidade feminina), e que, portanto, descarta, para a hipótese, a proteção especial;) já para uma corrente mais moderna, desde que a pessoa portadora de transexualismo transmute suas características sexuais (por cirurgia e modo irreversível), deve ser encarada de acordo com sua realidade morfológica, eis que a jurisprudência admite, inclusive, retificação de registro civil. (p.21)</w:t>
      </w:r>
    </w:p>
    <w:p>
      <w:pPr>
        <w:spacing w:before="0" w:after="20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Diante do exposto, é importante ressaltar o que prevê a Lei Maria da Penha em seu art.1º: </w:t>
      </w:r>
    </w:p>
    <w:p>
      <w:pPr>
        <w:spacing w:before="0" w:after="200" w:line="240"/>
        <w:ind w:right="0" w:left="2268"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Esta Lei cria mecanismos para coibir e prevenir a violência doméstica e familiar contra a mulher, nos termos do § 8</w:t>
      </w:r>
      <w:r>
        <w:rPr>
          <w:rFonts w:ascii="Times New Roman" w:hAnsi="Times New Roman" w:cs="Times New Roman" w:eastAsia="Times New Roman"/>
          <w:color w:val="000000"/>
          <w:spacing w:val="0"/>
          <w:position w:val="0"/>
          <w:sz w:val="22"/>
          <w:u w:val="single"/>
          <w:shd w:fill="auto" w:val="clear"/>
          <w:vertAlign w:val="superscript"/>
        </w:rPr>
        <w:t xml:space="preserve">o</w:t>
      </w:r>
      <w:r>
        <w:rPr>
          <w:rFonts w:ascii="Times New Roman" w:hAnsi="Times New Roman" w:cs="Times New Roman" w:eastAsia="Times New Roman"/>
          <w:color w:val="000000"/>
          <w:spacing w:val="0"/>
          <w:position w:val="0"/>
          <w:sz w:val="22"/>
          <w:shd w:fill="auto" w:val="clear"/>
        </w:rPr>
        <w:t xml:space="preserve"> do art. 226 da Constituição Federal, da Convenção sobre a Eliminação de Todas as Formas de Violência contra a Mulher, da Convenção Interamericana para Prevenir, Punir e Erradicar a Violência contra a Mulher e de outros tratados internacionais ratificados pela República Federativa do Brasil; dispõe sobre a criação dos Juizados de Violência Doméstica e Familiar contra a Mulher; e estabelece medidas de assistência e proteção às mulheres em situação de violência doméstica e familiar.</w:t>
      </w:r>
    </w:p>
    <w:p>
      <w:pPr>
        <w:spacing w:before="0" w:after="20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sujeito passivo da Lei em tela tem como qualidade o fato de ser mulher. Desta feita,  instaura-se  polêmica não só  na seara jurídica, como no campo doutrinário, no tocante à condição  do transexual masculino  figurar como sujeito passivo dos delitos de violência doméstica amparado pela Lei Maria da Penha.</w:t>
      </w:r>
    </w:p>
    <w:p>
      <w:pPr>
        <w:spacing w:before="0" w:after="20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Com efeito, muito há ainda de se indagar sobre a possibilidade de transformar um homem em uma mulher. Mas para efeitos legais, referindo-se à retificação de registro civil, muitos tribunais do País já se posicionaram favoravelmente em algumas decisões. </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Assim sendo, alguns mestres concordam com a aplicabilidade da Lei Maria da Penha no caso da vítima transexual, como podemos observar nas palavras de Rogério Greco (</w:t>
      </w:r>
      <w:r>
        <w:rPr>
          <w:rFonts w:ascii="Times New Roman" w:hAnsi="Times New Roman" w:cs="Times New Roman" w:eastAsia="Times New Roman"/>
          <w:i/>
          <w:color w:val="000000"/>
          <w:spacing w:val="0"/>
          <w:position w:val="0"/>
          <w:sz w:val="24"/>
          <w:shd w:fill="auto" w:val="clear"/>
        </w:rPr>
        <w:t xml:space="preserve">apud</w:t>
      </w:r>
      <w:r>
        <w:rPr>
          <w:rFonts w:ascii="Times New Roman" w:hAnsi="Times New Roman" w:cs="Times New Roman" w:eastAsia="Times New Roman"/>
          <w:color w:val="000000"/>
          <w:spacing w:val="0"/>
          <w:position w:val="0"/>
          <w:sz w:val="24"/>
          <w:shd w:fill="auto" w:val="clear"/>
        </w:rPr>
        <w:t xml:space="preserve"> CUNHA e PINTO, 2007, p. 21): “Se o Poder Judiciário, depois de cumprido o devido processo legal, determinar a modificação da condição sexual de alguém, tal fato deverá repercutir em todos os âmbitos de sua vida, inclusive o penal”. </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Em arremate à posição favorável de alguns doutrinadores, pod</w:t>
      </w:r>
      <w:r>
        <w:rPr>
          <w:rFonts w:ascii="Times New Roman" w:hAnsi="Times New Roman" w:cs="Times New Roman" w:eastAsia="Times New Roman"/>
          <w:color w:val="auto"/>
          <w:spacing w:val="0"/>
          <w:position w:val="0"/>
          <w:sz w:val="24"/>
          <w:shd w:fill="auto" w:val="clear"/>
        </w:rPr>
        <w:t xml:space="preserve">emos salientar que o Código de Processo Penal ao se referir à prova, define no art. 155, parágrafo único, que no juízo penal serão observadas as restrições estabelecidas pela lei civil em se tratando do estado das pessoas.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concepção do professor Thiago Lauria (2006): “A partir do momento em que o transexual consegue a alteração no registro civil, ter-se-á uma mulher para fins penais”. Desta feita, está o mesmo sob o abrigo da Lei Maria da Penha.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Conclusão</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Sabemos que a o tema abordado é extremamente polêmico e que merece uma discussão bem mais profunda. Trata-se de um fenômeno social, possui portanto, relevância jurídica. </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Constatamos nessa pesquisa, que o advento da Lei Maria da Penha trouxe inovações ao campo jurídico nacional, não apenas no combate à violência doméstica, como também na percepção de espaço dos entes que compõem a entidade familiar brasileira. </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Lei trouxe um novo conceito de família, onde todas as formas de convívio marcadas por uma relação íntima de afeto caracterizam-se como entidade familiar. É nesse espaço que podemos encontrar o transexual como membro da nova formação da família.</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decisões favoráveis de alguns Tribunais do país em reconhecer a mudança não apenas do prenome como também de sexo no registro civil dos cidadãos que sofreram redesignação sexual através de processo cirúrgico, evidenciam de forma bastante clara que alguns conceitos estigmatizados de exclusão da cidadania foram abolidos com a norma infraconstitucional. Tendo para esses casos, o reconhecimento de parte da doutrina da nova condição de gênero: feminino.</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Isto posto, concluímos com a presente pesquisa que o transexual masculino, a partir do momento em que o mesmo obtém diante da justiça a alteração do registro civil,  poderá  não apenas ser sujeito passivo nos delitos de violência doméstica, estando assim amparado pela Lei 11.340/2006, como também detentor de todos os direitos e obrigações impostos pela nova realidade de igualdade de gênero.</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é importante que a sociedade esteja alerta quanto à discriminação ou repúdio a fatos e ações de relevância jurídica, para que o preconceito não se sobreponha aos princípios fundamentais que constituem um Estado Democrático de Direito, tal como o da cidadania e da dignidade humana, previstos na Lei Maior do país, e não punam com a exclusão aqueles cujas preferências sexuais diferem dos padrões da maioria.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Bibliografia</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ALVES, Leonardo Barreto Moreira. O reconhecimento legal do conceito moderno de família: o art. 5°, II e parágrafo único, da Lei n° 11.340/2006(Lei Maria da Penha).  Clubjus,  Brasília-DF: 11 nov. 2007. Disponível em: &lt;</w:t>
      </w:r>
      <w:hyperlink xmlns:r="http://schemas.openxmlformats.org/officeDocument/2006/relationships" r:id="docRId208">
        <w:r>
          <w:rPr>
            <w:rFonts w:ascii="Times New Roman" w:hAnsi="Times New Roman" w:cs="Times New Roman" w:eastAsia="Times New Roman"/>
            <w:color w:val="0000FF"/>
            <w:spacing w:val="0"/>
            <w:position w:val="0"/>
            <w:sz w:val="24"/>
            <w:u w:val="single"/>
            <w:shd w:fill="auto" w:val="clear"/>
          </w:rPr>
          <w:t xml:space="preserve">http://www.clubjus.com.br/?artigos&amp;ver=2.11583</w:t>
        </w:r>
      </w:hyperlink>
      <w:r>
        <w:rPr>
          <w:rFonts w:ascii="Times New Roman" w:hAnsi="Times New Roman" w:cs="Times New Roman" w:eastAsia="Times New Roman"/>
          <w:color w:val="auto"/>
          <w:spacing w:val="0"/>
          <w:position w:val="0"/>
          <w:sz w:val="24"/>
          <w:shd w:fill="auto" w:val="clear"/>
        </w:rPr>
        <w:t xml:space="preserve">&gt;. Acesso em 12 junho. 2010.</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BARROS, A.J.P. Projeto de Pesquisa: Propostas Metodológicas. 2º Ed. Petrópolis: Ed. Vozes, 1991.</w:t>
      </w:r>
    </w:p>
    <w:p>
      <w:pPr>
        <w:spacing w:before="0" w:after="200" w:line="240"/>
        <w:ind w:right="0" w:left="0" w:firstLine="0"/>
        <w:jc w:val="both"/>
        <w:rPr>
          <w:rFonts w:ascii="Arial" w:hAnsi="Arial" w:cs="Arial" w:eastAsia="Arial"/>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CAVALCANTI, Stela Valéria Soares de Farias Cavalcanti. Violência Doméstica contra a mulher no Brasil. 2ª Ed. Bahia: Ed. JusPODIVM, 2008</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CUNHA, Rogério Sanches e PINTO, Ronaldo Batista. Violência Doméstica (Lei Maria da Penha): Lei 11.340/2006. Comentada artigo por artigo, São Paulo, Ed. Revista dos Tribunais, 2007.</w:t>
      </w:r>
    </w:p>
    <w:p>
      <w:pPr>
        <w:spacing w:before="0" w:after="200" w:line="240"/>
        <w:ind w:right="0" w:left="0" w:firstLine="0"/>
        <w:jc w:val="both"/>
        <w:rPr>
          <w:rFonts w:ascii="Arial" w:hAnsi="Arial" w:cs="Arial" w:eastAsia="Arial"/>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DIAS, Maria Berenice. Violência Doméstica e as uniões homoafetivas, JusNavigandi, Teresina, ano 10, n. 1185, 29 set. 2006. Disponível em:&lt;</w:t>
      </w:r>
      <w:r>
        <w:rPr>
          <w:rFonts w:ascii="Times New Roman" w:hAnsi="Times New Roman" w:cs="Times New Roman" w:eastAsia="Times New Roman"/>
          <w:color w:val="auto"/>
          <w:spacing w:val="0"/>
          <w:position w:val="0"/>
          <w:sz w:val="24"/>
          <w:shd w:fill="auto" w:val="clear"/>
        </w:rPr>
        <w:t xml:space="preserve">http://jus2.uol.com.br/doutrina/texto.asp?id=8985</w:t>
      </w:r>
      <w:r>
        <w:rPr>
          <w:rFonts w:ascii="Times New Roman" w:hAnsi="Times New Roman" w:cs="Times New Roman" w:eastAsia="Times New Roman"/>
          <w:color w:val="auto"/>
          <w:spacing w:val="0"/>
          <w:position w:val="0"/>
          <w:sz w:val="24"/>
          <w:shd w:fill="auto" w:val="clear"/>
        </w:rPr>
        <w:t xml:space="preserve">&gt;. Acesso em: 19 junho. 2010.</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Lei Maria da Penha, afirmação da igualdade, CFMEA, out. 2007. Disponível em: &lt;</w:t>
      </w:r>
      <w:hyperlink xmlns:r="http://schemas.openxmlformats.org/officeDocument/2006/relationships" r:id="docRId209">
        <w:r>
          <w:rPr>
            <w:rFonts w:ascii="Times New Roman" w:hAnsi="Times New Roman" w:cs="Times New Roman" w:eastAsia="Times New Roman"/>
            <w:color w:val="0000FF"/>
            <w:spacing w:val="0"/>
            <w:position w:val="0"/>
            <w:sz w:val="24"/>
            <w:u w:val="single"/>
            <w:shd w:fill="auto" w:val="clear"/>
          </w:rPr>
          <w:t xml:space="preserve">http://www.cfemea.org.br/violencia/artigosetextos/detalhes.asp?IDTemasDados=39</w:t>
        </w:r>
      </w:hyperlink>
      <w:r>
        <w:rPr>
          <w:rFonts w:ascii="Times New Roman" w:hAnsi="Times New Roman" w:cs="Times New Roman" w:eastAsia="Times New Roman"/>
          <w:color w:val="auto"/>
          <w:spacing w:val="0"/>
          <w:position w:val="0"/>
          <w:sz w:val="24"/>
          <w:shd w:fill="auto" w:val="clear"/>
        </w:rPr>
        <w:t xml:space="preserve">&gt;. Acesso em 19 julho.2010.</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A Lei Maria da Penha na Justiça: a efetividade da Lei 11.340/06 de combate à violência doméstica e familiar contra a mulher.  São Paulo: Ed. Revista dos Tribunais, 2007.</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JESUS, Damásio E. Código de Processo penal adotado 23º  Ed. São Paulo: Ed. Saraiva. 2009.</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Secretaria Especial de Políticas para as Mulheres.</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Senado Federal</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Conselho Federal de Medicina</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Superior Tribunal de Justiça</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ARÁN, Márcia; MURTA, Daniela. Do diagnóstico de transtorno de identidade de gênero às redescrições da experiência da transexualidade: uma reflexão sobre gênero, tecnologia e saúde,</w:t>
      </w:r>
      <w:r>
        <w:rPr>
          <w:rFonts w:ascii="Verdana" w:hAnsi="Verdana" w:cs="Verdana" w:eastAsia="Verdana"/>
          <w:color w:val="00008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Physis: Revista de Saúde Coletiva, 2009. Disponível em: &lt;</w:t>
      </w:r>
      <w:hyperlink xmlns:r="http://schemas.openxmlformats.org/officeDocument/2006/relationships" r:id="docRId210">
        <w:r>
          <w:rPr>
            <w:rFonts w:ascii="Times New Roman" w:hAnsi="Times New Roman" w:cs="Times New Roman" w:eastAsia="Times New Roman"/>
            <w:color w:val="000000"/>
            <w:spacing w:val="0"/>
            <w:position w:val="0"/>
            <w:sz w:val="24"/>
            <w:u w:val="single"/>
            <w:shd w:fill="auto" w:val="clear"/>
          </w:rPr>
          <w:t xml:space="preserve">http://www.scielo.br/scielo.php?script=sci_arttext</w:t>
        </w:r>
        <w:r>
          <w:rPr>
            <w:rFonts w:ascii="Times New Roman" w:hAnsi="Times New Roman" w:cs="Times New Roman" w:eastAsia="Times New Roman"/>
            <w:vanish/>
            <w:color w:val="000000"/>
            <w:spacing w:val="0"/>
            <w:position w:val="0"/>
            <w:sz w:val="24"/>
            <w:u w:val="single"/>
            <w:shd w:fill="auto" w:val="clear"/>
          </w:rPr>
          <w:t xml:space="preserve">HYPERLINK "http://www.scielo.br/scielo.php?script=sci_arttext&amp;pid=S0103-73312009000100003"</w:t>
        </w:r>
        <w:r>
          <w:rPr>
            <w:rFonts w:ascii="Times New Roman" w:hAnsi="Times New Roman" w:cs="Times New Roman" w:eastAsia="Times New Roman"/>
            <w:color w:val="000000"/>
            <w:spacing w:val="0"/>
            <w:position w:val="0"/>
            <w:sz w:val="24"/>
            <w:u w:val="single"/>
            <w:shd w:fill="auto" w:val="clear"/>
          </w:rPr>
          <w:t xml:space="preserve">&amp;</w:t>
        </w:r>
        <w:r>
          <w:rPr>
            <w:rFonts w:ascii="Times New Roman" w:hAnsi="Times New Roman" w:cs="Times New Roman" w:eastAsia="Times New Roman"/>
            <w:vanish/>
            <w:color w:val="000000"/>
            <w:spacing w:val="0"/>
            <w:position w:val="0"/>
            <w:sz w:val="24"/>
            <w:u w:val="single"/>
            <w:shd w:fill="auto" w:val="clear"/>
          </w:rPr>
          <w:t xml:space="preserve">HYPERLINK "http://www.scielo.br/scielo.php?script=sci_arttext&amp;pid=S0103-73312009000100003"</w:t>
        </w:r>
        <w:r>
          <w:rPr>
            <w:rFonts w:ascii="Times New Roman" w:hAnsi="Times New Roman" w:cs="Times New Roman" w:eastAsia="Times New Roman"/>
            <w:color w:val="000000"/>
            <w:spacing w:val="0"/>
            <w:position w:val="0"/>
            <w:sz w:val="24"/>
            <w:u w:val="single"/>
            <w:shd w:fill="auto" w:val="clear"/>
          </w:rPr>
          <w:t xml:space="preserve">pid=S0103-73312009000100003</w:t>
        </w:r>
      </w:hyperlink>
      <w:r>
        <w:rPr>
          <w:rFonts w:ascii="Times New Roman" w:hAnsi="Times New Roman" w:cs="Times New Roman" w:eastAsia="Times New Roman"/>
          <w:color w:val="000000"/>
          <w:spacing w:val="0"/>
          <w:position w:val="0"/>
          <w:sz w:val="24"/>
          <w:shd w:fill="auto" w:val="clear"/>
        </w:rPr>
        <w:t xml:space="preserve">&gt;. Acesso em 20 de setembro. 2010</w:t>
      </w:r>
      <w:r>
        <w:rPr>
          <w:rFonts w:ascii="Times New Roman" w:hAnsi="Times New Roman" w:cs="Times New Roman" w:eastAsia="Times New Roman"/>
          <w:color w:val="auto"/>
          <w:spacing w:val="0"/>
          <w:position w:val="0"/>
          <w:sz w:val="24"/>
          <w:shd w:fill="auto" w:val="clear"/>
        </w:rPr>
        <w:t xml:space="preserve"> </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100" w:after="100" w:line="360"/>
        <w:ind w:right="0" w:left="0" w:firstLine="0"/>
        <w:jc w:val="center"/>
        <w:rPr>
          <w:rFonts w:ascii="Times New Roman" w:hAnsi="Times New Roman" w:cs="Times New Roman" w:eastAsia="Times New Roman"/>
          <w:b/>
          <w:color w:val="363636"/>
          <w:spacing w:val="0"/>
          <w:position w:val="0"/>
          <w:sz w:val="28"/>
          <w:shd w:fill="auto" w:val="clear"/>
        </w:rPr>
      </w:pPr>
      <w:r>
        <w:rPr>
          <w:rFonts w:ascii="Times New Roman" w:hAnsi="Times New Roman" w:cs="Times New Roman" w:eastAsia="Times New Roman"/>
          <w:b/>
          <w:color w:val="363636"/>
          <w:spacing w:val="0"/>
          <w:position w:val="0"/>
          <w:sz w:val="28"/>
          <w:shd w:fill="auto" w:val="clear"/>
        </w:rPr>
        <w:t xml:space="preserve">Gênero e Penas Alternativas</w:t>
      </w:r>
    </w:p>
    <w:p>
      <w:pPr>
        <w:spacing w:before="100" w:after="10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363636"/>
          <w:spacing w:val="0"/>
          <w:position w:val="0"/>
          <w:sz w:val="24"/>
          <w:shd w:fill="auto" w:val="clear"/>
        </w:rPr>
        <w:t xml:space="preserve">Solange Maria Pimentel</w:t>
        <w:br/>
        <w:t xml:space="preserve"> Nanci Stancki da Luz</w:t>
      </w:r>
    </w:p>
    <w:p>
      <w:pPr>
        <w:suppressAutoHyphens w:val="true"/>
        <w:spacing w:before="100" w:after="10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Introdução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prisão surgiu historicamente como um modelo punitivo, fazendo com que aqueles que não cumprem (ou não se ajustem) minimamente as regras sociais estabelecidas, sejam retirados do convívio social: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170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prisão deteve por muito tempo o poder simbólico de representar o processo de normalização da vida social. Isto é, para transformar a conduta dos indivíduos, as instituições prisionais eram organizadas de modo a intervir sobre o corpo humano, treiná-lo, torná-lo obediente, submisso, dócil e útil. (Foucault,1986).</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atualidade, a grande dificuldade de se efetivar um modelo de ressocialização com a manutenção de modelos de punição impróprios para o ser humano, tem revelado uma falência do sistema prisional, que não consegue desempenhar seu papel ressocializador do indivíduo. As penas alternativas tem se apresentado como forma de contornar parte dos problemas do sistema prisional tradicional. </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penas alternativas são aplicadas em casos de crimes ou delitos de pequena ou média gravidade, cuja sanção não ultrapasse a quatro anos de detenção. Essas penas evitam o aumento do número de pessoas no sistema prisional, tratando delitos de forma proporcional à sua gravidade. As penas alternativas aparecem como alternativa ao encarceramento, ou seja, é forma de punição sem, contudo, privar o individuo de liberdade. Os (as) apenados (as) podem escolher qual o tipo de pena que querem cumprir, seja ele curso profissionalizante, prestação pecuniária e serviço a comunidade.</w:t>
      </w: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foi realizada na Vara de Penas e Medidas Alternativas  da cidade de Curitiba, e em uma escola localizada na mesma cidade que oferece os cursos profissionalizantes, como alternativa penal. Esta escola oferece os cursos de Informática (digitação, editoração, webdesign, Linux e inglês), Moda e Beleza (auxiliar de cabeleireiro, costureira industrial e modista, depilação e manicuro), Panificação e Confeitaria (confeiteiro, panificação e pizzaiolo) e Construção Civil (azulejista, eletricistas, pintor pedreiro e jardinagem). </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cursos profissionalizantes são oferecidos aos réus cuja pena não supere um ano  de detenção, sendo considerados como medidas alternativas ao sistema prisional e que tem vantagem de buscar a qualificação profissional e a inserção no mercado de trabalho.</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Nesse contexto de formação profissional emergem também as questões relacionadas à questão tecnológica e suas aplicações no mundo moderno e a questão das penas alternativas, e como elas podem auxiliar no aprimoramento pessoal e profissional, preparando-os para o mundo do trabalho.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Consideramos ainda que a categoria gênero em uma análise social significa rejeitar explicitamente as justificativas biológicas para as desigualdades nas relações sociais entre os sexos. Neste sentido para Scott (1976, p.88), “o gênero é um elemento constitutivo de relações sociais baseado nas diferenças entre os sexos, e o gênero é uma forma primeira de significar as relações de poder” e para a mesma autora “o uso do gênero coloca em ênfase sobre todo um sistema de relações que pode incluir o sexo”. </w:t>
        <w:tab/>
      </w:r>
    </w:p>
    <w:p>
      <w:pPr>
        <w:suppressAutoHyphens w:val="true"/>
        <w:spacing w:before="0" w:after="12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a partir de minha experiência inicial na área de execução penal e da reflexão sobre temas como formação profissional</w:t>
      </w:r>
      <w:r>
        <w:rPr>
          <w:rFonts w:ascii="Times New Roman" w:hAnsi="Times New Roman" w:cs="Times New Roman" w:eastAsia="Times New Roman"/>
          <w:color w:val="000000"/>
          <w:spacing w:val="0"/>
          <w:position w:val="0"/>
          <w:sz w:val="24"/>
          <w:shd w:fill="auto" w:val="clear"/>
        </w:rPr>
        <w:t xml:space="preserve"> e gênero surgiu o objetivo geral, isto é, </w:t>
      </w:r>
      <w:r>
        <w:rPr>
          <w:rFonts w:ascii="Times New Roman" w:hAnsi="Times New Roman" w:cs="Times New Roman" w:eastAsia="Times New Roman"/>
          <w:color w:val="auto"/>
          <w:spacing w:val="0"/>
          <w:position w:val="0"/>
          <w:sz w:val="24"/>
          <w:shd w:fill="auto" w:val="clear"/>
        </w:rPr>
        <w:t xml:space="preserve">analisar a participação das mulheres no processo de cumprimento de pena, particularmente as alternativas penais em cursos profissionalizantes.</w:t>
      </w: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se atingir esse objetivo foi proposto os seguintes objetivos específicos: a) Identificar diferenças de gênero no cumprimento de alternativas penais, especificamente nos cursos profissionalizantes; b) Analisar a divisão sexual existente nos processos de cumprimentos de alternativas penais; c) Identificar de que forma a relação de gênero interfere no cumprimento da alternativa penal que envolve a profissionalização do apenado (a).</w:t>
      </w: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estudo justifica–se quando leva-se em consideração o pequeno número de estudos que tratem da questão de gênero na execução de penas e medidas alternativas. </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E foi utilizada a seguinte metodologia à pesquisa qualitativa, pois esse tipo de pesquisa permite a compreensão do objeto de estudo de suas relações com a totalidade a que pertence. Por intermédio da pesquisa qualitativa pode-se analisar e descrever a complexidade de determinado problema, compreender e classificar processos dinâmicos vividos por grupos sociais, além de contribuir em um processo de mudanças grupo ou individuo, ajudando-os no entendimento das particularidades. </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dos métodos qualitativos, utilizamos também o método quantitativos, pois eles não se excluem, embora difiram quanto à forma e a ênfase. Pode-se distinguir o enfoque qualitativo do quantitativo, mas não seria correto afirmar que guardam relação de oposição. (Neves, 1996). </w:t>
      </w:r>
    </w:p>
    <w:p>
      <w:pPr>
        <w:suppressAutoHyphens w:val="true"/>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Bem como, a entrevista semi-estruturada e pesquisa documental. A pesquisa, além das entrevistas, analisou dezenove processos disponíveis na Vara de Penas e Medidas Alternativas, no período da realização da investigação. O</w:t>
      </w:r>
      <w:r>
        <w:rPr>
          <w:rFonts w:ascii="Times New Roman" w:hAnsi="Times New Roman" w:cs="Times New Roman" w:eastAsia="Times New Roman"/>
          <w:color w:val="000000"/>
          <w:spacing w:val="0"/>
          <w:position w:val="0"/>
          <w:sz w:val="24"/>
          <w:shd w:fill="auto" w:val="clear"/>
        </w:rPr>
        <w:t xml:space="preserve">s processos que estavam à disposição na VEPMA e que tiveram como alternativa penal a participação em algum curso de formação profissional, referia a processos cujos réus eram duas mulheres e dezessete homens.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Arial Narrow" w:hAnsi="Arial Narrow" w:cs="Arial Narrow" w:eastAsia="Arial Narrow"/>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Esse trabalho é a conclusão da dissertação de mestrado e foi divido em cinco capítulos: 1) Crime, Prisão e Penas alternativas; 2) Cursos Profissionalizantes; 3) Relação de Gênero; 4)</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color w:val="000000"/>
          <w:spacing w:val="0"/>
          <w:position w:val="0"/>
          <w:sz w:val="24"/>
          <w:shd w:fill="auto" w:val="clear"/>
        </w:rPr>
        <w:t xml:space="preserve">Comissão Parlamentar de Inquérito (cpi do sistema carcerária) e 5) </w:t>
      </w:r>
      <w:r>
        <w:rPr>
          <w:rFonts w:ascii="Times New Roman" w:hAnsi="Times New Roman" w:cs="Times New Roman" w:eastAsia="Times New Roman"/>
          <w:color w:val="auto"/>
          <w:spacing w:val="0"/>
          <w:position w:val="0"/>
          <w:sz w:val="24"/>
          <w:shd w:fill="auto" w:val="clear"/>
        </w:rPr>
        <w:t xml:space="preserve">As Alternativas Penais nos processos criminais.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100" w:after="10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Prisão e Penas Alternativas</w:t>
      </w: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Antiguidade, erros cometidos exigiam algum tipo de reparação e tinha o sentido de vingança sobre a agressão sofrida. As penas e o castigo poderiam ser o sacrifício com a própria vida ou oferendas de objetos valiosos (animais, peles e frutas), as quais muitas vezes estavam associadas à uma lei divina. </w:t>
      </w:r>
    </w:p>
    <w:p>
      <w:pPr>
        <w:suppressAutoHyphens w:val="true"/>
        <w:spacing w:before="0" w:after="0" w:line="36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o surgimento de</w:t>
      </w:r>
      <w:r>
        <w:rPr>
          <w:rFonts w:ascii="Times New Roman" w:hAnsi="Times New Roman" w:cs="Times New Roman" w:eastAsia="Times New Roman"/>
          <w:color w:val="000000"/>
          <w:spacing w:val="0"/>
          <w:position w:val="0"/>
          <w:sz w:val="24"/>
          <w:shd w:fill="auto" w:val="clear"/>
        </w:rPr>
        <w:t xml:space="preserve"> leis decorrentes de ações humanas, a vida das pessoas passou a ser monitoradas por elas. A prisão surge com objetivo de isolar aqueles(as) que não se adaptavam às regras da sociedade e buscavam punir e incutir normas para que essas pessoas pudessem  voltar ao convívio social. </w:t>
      </w:r>
    </w:p>
    <w:p>
      <w:pPr>
        <w:suppressAutoHyphens w:val="true"/>
        <w:spacing w:before="0" w:after="0" w:line="360"/>
        <w:ind w:right="0" w:left="0" w:firstLine="567"/>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Esse instrumento de punição passa a ser associado à segurança, pois aqueles(as) que não seguiam regras pré-estabelecidas, acabavam sendo privados(as) de sua liberdade e do convívio social.</w:t>
      </w:r>
      <w:r>
        <w:rPr>
          <w:rFonts w:ascii="Times New Roman" w:hAnsi="Times New Roman" w:cs="Times New Roman" w:eastAsia="Times New Roman"/>
          <w:color w:val="auto"/>
          <w:spacing w:val="0"/>
          <w:position w:val="0"/>
          <w:sz w:val="24"/>
          <w:shd w:fill="auto" w:val="clear"/>
        </w:rPr>
        <w:t xml:space="preserve"> A prisão passou a substituir outras formas de penalidade, entre as quais a escravidão, a morte, a tortura e o banimento, formas mais cruéis de se pagar por um delito. De acordo com Michel Foucault, (1977, p.46):</w:t>
      </w:r>
    </w:p>
    <w:p>
      <w:pPr>
        <w:suppressAutoHyphens w:val="true"/>
        <w:spacing w:before="0" w:after="0" w:line="240"/>
        <w:ind w:right="0" w:left="1701"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 século XVII, e ainda no começo do XVIII, ele não era com todo o seu teatro de terror, o resíduo ainda não extinto de uma outra época. Suas crueldades, sua ostentação, a violência corporal, o jogo desmesurado de forças, o cerimônia cuidadoso, enfim todo o seu aparato se engrenava no funcionamento político da penalidade.</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320"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 modelo – prisional – todavia não se revelou tão novo assim, pois a crueldade continuou a vigorar, transformando prisões em depósitos de humanos, sendo exemplo as prisões em masmorras, os vestíbulos, os depósitos das câmaras de suplícios, nas quais os acusados continuavam a morrer das mais diversas formas - esquartejados, enforcados e queimados, entre outras. (Silva, 1998, p. 17).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prisão deteve, por muito tempo, o poder simbólico de representar o processo de normalização da vida social. Isto é, para transformar a conduta dos indivíduos, as instituições prisionais eram organizadas de modo a intervir sobre o corpo humano, treiná-lo, torná-lo obediente, submisso, dócil e útil. (Foucault, 1977).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Existia um esquadrinhamento do corpo humano, cada pessoa ocupava um determinado lugar, devendo ficar naquele espaço e não no outro. O tempo era regulado e distribuído em certos horários. As atitudes eram também observadas minuciosamente, vigiadas, registradas e examinadas. A disciplina encontrava-se presente nos mínimos detalhes da organização da vida carcerária. O poder de dominação não era empregado somente para reprimir, mas também utilizado para produção e reprodução de novos comportamentos sociais através de esquemas de vigilância, punições e recompensas.</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Esse modelo carecia de princípios que gerassem novos comportamentos sociais. A punição, a repressão e o disciplinamento exacerbado pouco contribuiu para se esses condenados voltassem ao convívio social e pudessem ser aceitas pelos demais como pessoas que já pagaram pelos seus erros. </w:t>
      </w:r>
    </w:p>
    <w:p>
      <w:pPr>
        <w:suppressAutoHyphens w:val="true"/>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prisão, pensada como método penal e tendo como princípio a ressocialização daqueles que cometeram algum tipo de delito, é relativamente recente. P</w:t>
      </w:r>
      <w:r>
        <w:rPr>
          <w:rFonts w:ascii="Times New Roman" w:hAnsi="Times New Roman" w:cs="Times New Roman" w:eastAsia="Times New Roman"/>
          <w:color w:val="000000"/>
          <w:spacing w:val="0"/>
          <w:position w:val="0"/>
          <w:sz w:val="24"/>
          <w:shd w:fill="auto" w:val="clear"/>
        </w:rPr>
        <w:t xml:space="preserve">assa-se a questionar a função da punição e com esse debate as alternativas penais surgem como uma das possibilidades. </w:t>
      </w:r>
    </w:p>
    <w:p>
      <w:pPr>
        <w:suppressAutoHyphens w:val="true"/>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 custo elevado da pena privativa de liberdade, o grande índice de reincidência, a falta de oportunidades de ressocialização e os processos de discriminação social a ex-detentos tem mostrado que a prisão é um  recurso que deve ser repensado. </w:t>
      </w:r>
    </w:p>
    <w:p>
      <w:pPr>
        <w:suppressAutoHyphens w:val="true"/>
        <w:spacing w:before="100" w:after="1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Quando pensamos no custo do sistema prisional, podemos perceber que uma pessoa que recebe uma pena restritiva de liberdade representa gastos elevados para os cofres públicos e só se justificaria quando fosse de fato necessária. Já no sistema das penas alternativas o custo é bem menor, além de permitir a essa pessoa que permaneça com seus familiares, amigos e convívio social, sem alteração da rotina de trabalho e estudo, podendo ser uma alternativa em casos de delitos mais “leves”. Na CPI do Sistema Carcerário, conseguimos perceber claramente essas diferenças. </w:t>
      </w:r>
    </w:p>
    <w:p>
      <w:pPr>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Tabela 1: Custo financeiro de um(a) preso (a) no sistema prisional.</w:t>
      </w:r>
    </w:p>
    <w:p>
      <w:pPr>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2552"/>
        <w:gridCol w:w="1848"/>
        <w:gridCol w:w="2546"/>
        <w:gridCol w:w="2074"/>
      </w:tblGrid>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Estado</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Custo/Preso</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Estado</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Custo/Preso</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Amapá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500,00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Ceara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1.083,33</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Goiás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549,99</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Roraima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1.038,00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Mato Grosso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680,25</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Piauí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1.100,00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Mato Grosso do Sul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704,81</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Paraíba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1.200,00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Para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735,66</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Amazonas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1.200,00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São Paulo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775,00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Bahia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1.300,00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Tocantins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785,56</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Rondônia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1.340,00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Alagoas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800,00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Paraná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1.452,17</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Rio Grande do Norte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800,00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Distrito Federal</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1.500,00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Pernambuco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800,00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Santa Catarina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1.500,00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Acre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880,00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Espírito Santo</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1.600,00</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Rio Grande do Sul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900,00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Federal</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1.658,74</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Maranhão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960,00 </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Minas Gerais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1.700,00</w:t>
            </w:r>
          </w:p>
        </w:tc>
      </w:tr>
      <w:tr>
        <w:trPr>
          <w:trHeight w:val="80" w:hRule="auto"/>
          <w:jc w:val="left"/>
        </w:trPr>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Sergipe </w:t>
            </w:r>
          </w:p>
        </w:tc>
        <w:tc>
          <w:tcPr>
            <w:tcW w:w="1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980,00</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Rio de Janeiro </w:t>
            </w:r>
          </w:p>
        </w:tc>
        <w:tc>
          <w:tcPr>
            <w:tcW w:w="20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1.800,00</w:t>
            </w:r>
          </w:p>
        </w:tc>
      </w:tr>
    </w:tbl>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Fonte: Depen e Estados – CPI do Sistema Carcerário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custo de quem cumpre pena alternativa em São Paulo, uma das maiores capitais do Brasil é de R$ 26,00. Além de que, os réus podem ficam com seus familiares e ter uma convivência não só familiar, mas também social, educacional, dentre outras, sem o estigma da réu condenado, ao passo que os presos em presídios vivem longe de seus familiares do convívio social e carregam as maculas para o resto de suas vidas “bandido sempre bandido”.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vantagem das penas alternativas refere-se ao baixíssimo índice de reincidência – de 2% a 12%. Ao passo que a taxa de reincidência dos condenados a pena privativa de liberdade oscila entre 70% e 85%. (CPI do Sistema Carcerário). </w:t>
      </w:r>
    </w:p>
    <w:p>
      <w:pPr>
        <w:suppressAutoHyphens w:val="true"/>
        <w:spacing w:before="100" w:after="1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Em 1990, em assembléia, tirou-se a </w:t>
      </w:r>
      <w:r>
        <w:rPr>
          <w:rFonts w:ascii="Times New Roman" w:hAnsi="Times New Roman" w:cs="Times New Roman" w:eastAsia="Times New Roman"/>
          <w:color w:val="auto"/>
          <w:spacing w:val="0"/>
          <w:position w:val="0"/>
          <w:sz w:val="24"/>
          <w:shd w:fill="auto" w:val="clear"/>
        </w:rPr>
        <w:t xml:space="preserve">recomendação enfática a adoção, pelos países membros da ONU (Organizações das Nações Unidas),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medidas alternativas como a restrição de direitos, indenização à vítima e compensação do dano causado, </w:t>
      </w:r>
    </w:p>
    <w:p>
      <w:pPr>
        <w:suppressAutoHyphens w:val="true"/>
        <w:spacing w:before="100" w:after="1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suspensão condicional da pena e do processo e prestação de serviços à comunidade, conhecidas como R</w:t>
      </w:r>
      <w:r>
        <w:rPr>
          <w:rFonts w:ascii="Times New Roman" w:hAnsi="Times New Roman" w:cs="Times New Roman" w:eastAsia="Times New Roman"/>
          <w:color w:val="000000"/>
          <w:spacing w:val="0"/>
          <w:position w:val="0"/>
          <w:sz w:val="24"/>
          <w:shd w:fill="auto" w:val="clear"/>
        </w:rPr>
        <w:t xml:space="preserve">egras de Tóquio.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 Brasil, </w:t>
      </w:r>
      <w:r>
        <w:rPr>
          <w:rFonts w:ascii="Times New Roman" w:hAnsi="Times New Roman" w:cs="Times New Roman" w:eastAsia="Times New Roman"/>
          <w:color w:val="auto"/>
          <w:spacing w:val="0"/>
          <w:position w:val="0"/>
          <w:sz w:val="24"/>
          <w:shd w:fill="auto" w:val="clear"/>
        </w:rPr>
        <w:t xml:space="preserve">as penas alternativas surgiram a partir da reforma penal de 1984, que manifestou profunda preocupação com as penas privativas de liberdade ditas de curta duração, que de acordo com Bittercourt (2004, p.248), “curtas para a finalidade ressocializadora, são suficientemente longas para iniciar o criminoso primário na graduação acadêmica do crime”.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Na verdade, é a partir da Reforma da Parte Geral do Código Penal, acontecida em 1984, que se estabeleceram as penas substitutivas à pena de privação de liberdade como forma de política criminal, buscando restringir a prisão aos casos de reconhecida necessidade.</w:t>
      </w: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Alternativas penais são medidas que visam a impedir a que o autor de uma infração penal venha a ser aplicada pena privativa de liberdade. Dá-se, pois, o nome de alternativas penais a todas as medidas não privativas de liberdade, entre as quais incluímos as penas alternativas. Penas Alternativas, por sua vez, são sanções de natureza criminal diversas da prisão, tais como: </w:t>
      </w: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1ª) multa;</w:t>
      </w: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2ª) prestação de serviços à comunidade; </w:t>
      </w: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3ª) limitação de fim de semana; </w:t>
      </w: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4ª) interdição temporária de direitos (desdobrando-se em proibição do exercício de cargo, função, profissão e suspensão de habilitação ou autorização para dirigir veículo). </w:t>
      </w: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estas condições podemos citar ainda: a prestação pecuniária (de gêneros diversos: medicamentos, alimentos, etc), retomada aos estudos, tratamento de desintoxicação, confecção de documentos e encaminhamentos para cursos profissionalizantes. </w:t>
      </w:r>
    </w:p>
    <w:p>
      <w:pPr>
        <w:tabs>
          <w:tab w:val="left" w:pos="1021" w:leader="none"/>
        </w:tabs>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expressão “penas alternativas” - como é largamente utilizada - contém uma imprecisão, pois induz a uma equiparação entre penas restritivas de direitos (previstas na Lei 9.714/98) e as penas alternativas propriamente ditas (previstas na Lei 9099/95, que instituiu os juizados especiais criminais).</w:t>
      </w:r>
    </w:p>
    <w:p>
      <w:pPr>
        <w:tabs>
          <w:tab w:val="left" w:pos="709" w:leader="none"/>
          <w:tab w:val="left" w:pos="1021" w:leader="none"/>
        </w:tabs>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art. 44 da lei 9.714/98 dispõe que:</w:t>
      </w:r>
    </w:p>
    <w:p>
      <w:pPr>
        <w:tabs>
          <w:tab w:val="left" w:pos="1021" w:leader="none"/>
        </w:tabs>
        <w:suppressAutoHyphens w:val="true"/>
        <w:spacing w:before="0" w:after="0" w:line="240"/>
        <w:ind w:right="0" w:left="128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 aplicada pena privativa de liberdade não superior a quatro anos e o crime não for cometido com violência ou grave ameaça à pessoa ou, qualquer que seja a pena aplicada, se o crime for culposo.</w:t>
      </w:r>
    </w:p>
    <w:p>
      <w:pPr>
        <w:tabs>
          <w:tab w:val="left" w:pos="1021" w:leader="none"/>
        </w:tabs>
        <w:suppressAutoHyphens w:val="true"/>
        <w:spacing w:before="0" w:after="0" w:line="240"/>
        <w:ind w:right="0" w:left="1287" w:firstLine="0"/>
        <w:jc w:val="both"/>
        <w:rPr>
          <w:rFonts w:ascii="Times New Roman" w:hAnsi="Times New Roman" w:cs="Times New Roman" w:eastAsia="Times New Roman"/>
          <w:color w:val="auto"/>
          <w:spacing w:val="0"/>
          <w:position w:val="0"/>
          <w:sz w:val="24"/>
          <w:shd w:fill="auto" w:val="clear"/>
        </w:rPr>
      </w:pPr>
    </w:p>
    <w:p>
      <w:pPr>
        <w:tabs>
          <w:tab w:val="left" w:pos="1021" w:leader="none"/>
        </w:tabs>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artigos para crime doloso, no código penal, e os requisitos objetivos, representados pelo tipo de delito (doloso ou culposo), pela quantidade da pena aplicada concretamente e pela ausência de violência ou grave ameaça contra a pessoa, a substituição da pena privativa de liberdade por restritiva de direito requer ainda:</w:t>
      </w:r>
    </w:p>
    <w:p>
      <w:pPr>
        <w:tabs>
          <w:tab w:val="left" w:pos="1021" w:leader="none"/>
        </w:tabs>
        <w:suppressAutoHyphens w:val="true"/>
        <w:spacing w:before="0" w:after="0" w:line="240"/>
        <w:ind w:right="0" w:left="127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Art. 44. As penas restritivas de direitos são autônomas e substituem as privativas de liberdade, quando:</w:t>
      </w:r>
    </w:p>
    <w:p>
      <w:pPr>
        <w:tabs>
          <w:tab w:val="left" w:pos="1021" w:leader="none"/>
        </w:tabs>
        <w:suppressAutoHyphens w:val="true"/>
        <w:spacing w:before="0" w:after="0" w:line="240"/>
        <w:ind w:right="0" w:left="127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 o réu não for reincidente;</w:t>
      </w:r>
    </w:p>
    <w:p>
      <w:pPr>
        <w:tabs>
          <w:tab w:val="left" w:pos="1021" w:leader="none"/>
        </w:tabs>
        <w:suppressAutoHyphens w:val="true"/>
        <w:spacing w:before="0" w:after="0" w:line="240"/>
        <w:ind w:right="0" w:left="127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a culpabilidade, os antecedentes, a conduta social e a personalidade do condenado, bem como os motivos e as circunstâncias que essa substituição seja suficiente.</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Sistema Penal e Gênero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pensamos na relação da mulher com a prisão, ainda persiste uma visão de que crime está associado unicamente ao masculino.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os dados confirmam que esse universo – dos delitos – é majoritariamente masculino. As mulheres encarceradas representam 6,12% da população carcerária, perfazendo cerca de 27.000 presas. Os números mais recentes, compilados pelo DEPEN em abril de 2008, revelam, porem, estatísticas alarmantes: nos últimos quatro anos, houve um crescimento real de 37,47% da população carcerária feminina. Isso representa uma taxa media de crescimento anual de aproximadamente 11,19%. O crescimento da população carcerária feminina tem sido maior que o da masculina. Estima-se que, em 2012, as mulheres já representarão 7,65% do total de presos. (CPI do Sistema Carcerário).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Há, no Brasil, 508 estabelecimentos penais com mulheres, dos quais 58 exclusivamente femininos e 450 para ambos os sexos. No entanto, apenas 27,45% dos estabelecimentos têm estrutura especifica para gestantes, 19,61% contam com berçários e somente 16,13% mantêm creches.</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fator curioso é que se por um lado, 86% dos presos homens recebe visitas da família, por outro, apenas 37,94% das presas recebem visitas sociais. Somente 25% das presas têm acesso a algum tipo de educação e 40% a atividades laborais, embora a maioria seja apenas em atividades de limpeza ou de trabalhos manuais de pouca expressão econômica. Não existe a preocupação com a profissionalização das mulheres, com raras exceções.</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discriminação contra as mulheres e mais acentuada no interior do Sistema Carcerário, pois elas não têm respeitados seus direitos de acesso a justiça, a saúde, sexuais e reprodutivos, dentre outros.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 acordo com Espinoza a</w:t>
      </w:r>
      <w:r>
        <w:rPr>
          <w:rFonts w:ascii="Times New Roman" w:hAnsi="Times New Roman" w:cs="Times New Roman" w:eastAsia="Times New Roman"/>
          <w:color w:val="auto"/>
          <w:spacing w:val="0"/>
          <w:position w:val="0"/>
          <w:sz w:val="24"/>
          <w:shd w:fill="auto" w:val="clear"/>
        </w:rPr>
        <w:t xml:space="preserve"> perspectiva de gênero é assumida na perspectiva de que é “possível observar mais efetivamente os conflitos que envolvem homens e mulheres” (2004, p.49)</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e </w:t>
      </w:r>
      <w:r>
        <w:rPr>
          <w:rFonts w:ascii="Times New Roman" w:hAnsi="Times New Roman" w:cs="Times New Roman" w:eastAsia="Times New Roman"/>
          <w:color w:val="auto"/>
          <w:spacing w:val="0"/>
          <w:position w:val="0"/>
          <w:sz w:val="24"/>
          <w:shd w:fill="auto" w:val="clear"/>
        </w:rPr>
        <w:t xml:space="preserve">apresente como uma das principais contribuições dos movimentos feministas o revelar da “condição de gênero das relações sociais, buscando com isso o reconhecimento da sua existência para atingir mudanças que identifiquem homens e mulheres como seres humanos potencialmente iguais em direitos e em dignidade" (2004, p.52), </w:t>
      </w:r>
      <w:r>
        <w:rPr>
          <w:rFonts w:ascii="Times New Roman" w:hAnsi="Times New Roman" w:cs="Times New Roman" w:eastAsia="Times New Roman"/>
          <w:color w:val="000000"/>
          <w:spacing w:val="0"/>
          <w:position w:val="0"/>
          <w:sz w:val="24"/>
          <w:shd w:fill="auto" w:val="clear"/>
        </w:rPr>
        <w:t xml:space="preserve">da mesma forma que </w:t>
      </w:r>
      <w:r>
        <w:rPr>
          <w:rFonts w:ascii="Times New Roman" w:hAnsi="Times New Roman" w:cs="Times New Roman" w:eastAsia="Times New Roman"/>
          <w:color w:val="auto"/>
          <w:spacing w:val="0"/>
          <w:position w:val="0"/>
          <w:sz w:val="24"/>
          <w:shd w:fill="auto" w:val="clear"/>
        </w:rPr>
        <w:t xml:space="preserve">“não obstante o reconhecimento das diferenças entre homens e mulheres, a igualdade de oportunidades deve ser promovida para atingir o respeito e a dignidade humana como denominador ético universal” (2004, p.109).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Educação</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educação sempre teve como a prisão o intuito de disciplinar as pessoas, e moldá-las de acordo com a sociedade. O instituto de educandos artífices desde 1874 passou a oferecer educação industrial para meninos pobres, impedindo assim que por falta dela se desviem do amor ao trabalho e se tornassem maus cidadãos. O Instituto, no entanto, era mal instalado, funcionava precariamente, sem contar nem mesmo com as condições higiênicas desejáveis. (Moraes, 2003 p. 50-54). </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Marques apud Pandini, 2006, p. 20:</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Engendrou-se um processo disciplinar cuja estratégia assentada na educação moral fazia emergir o mundo do educando para travesti-lo profilaticamente de hábitos sociais, realizando através da higienização normalizadora o controle dos trabalhadores e de seus filhos, tornando-os corpos dóceis, moldados para o processo industrial que se desenvolvia. Sim, porque a escola buscava ordenar espíritos e “corpos promíscuos’, advindos daqueles ‘cortiços infectos’, ‘de vida desregrada’, intentando metodicamente incutir-lhes disciplina moral e física”.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mesma forma que a questão do trabalho era impregnada nas pessoas, para a criação de pessoas disciplinadas:</w:t>
      </w:r>
    </w:p>
    <w:p>
      <w:pPr>
        <w:suppressAutoHyphen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Outra faceta da sociedade do trabalho foi a sua constituição como sociedade disciplinar, onde a vigilância sobre as camadas inferiores era permanente e a moralização medida pela dedicação e abnegação ao trabalho. Em contrapartida, a noção de trabalho implicava a elaboração do conceito de vadiagem; a ociosidade e o não-trabalho foram associados à criminalidade. Aproximavam-se, portanto, menores delinqüentes, vadios e mendigos e propunha-se o internamento em um regime de reeducação para adquirir o hábito de trabalho, especialmente o agrícola. (Karvat apud Pandini, 2006 p. 31).</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importante lembrar que ao contrario do que ocorreram com os meninos asilados no instituto dos educandos artífices, não foi cogitado pelas esferas governamentais educar as meninas para as atividades industriais nascentes. No entanto, o trabalho das fabricas de tecido tendia a ser exercido, desde sua fundação, basicamente por mulheres. (Moraes, 2003 p. 59-61).</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importante ressaltar que as Escolas de Aprendizes e Artífices representavam um papel estratégico no esforço de controle social das classes proletárias e de sua disciplinarização. Procurava-se atuar por meio do trabalho produtivo, formador de riquezas da nação e da integração dos elementos potenciais de desordem social, os menores desvalidos e os estrangeiros, devidamente docializados. Por fim, desempenhariam um papel importante na elaboração de um alfabetismo técnico que traduzisse, para o ensino profissional, o nível de desenvolvimento social e industrial do país. (Queluz, 2000). </w:t>
      </w:r>
    </w:p>
    <w:p>
      <w:pPr>
        <w:spacing w:before="0" w:after="0" w:line="360"/>
        <w:ind w:right="0" w:left="0" w:firstLine="0"/>
        <w:jc w:val="both"/>
        <w:rPr>
          <w:rFonts w:ascii="Arial Narrow" w:hAnsi="Arial Narrow" w:cs="Arial Narrow" w:eastAsia="Arial Narrow"/>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Arial Narrow" w:hAnsi="Arial Narrow" w:cs="Arial Narrow" w:eastAsia="Arial Narrow"/>
          <w:b/>
          <w:color w:val="000000"/>
          <w:spacing w:val="0"/>
          <w:position w:val="0"/>
          <w:sz w:val="24"/>
          <w:shd w:fill="auto" w:val="clear"/>
        </w:rPr>
        <w:t xml:space="preserve">Prisão,</w:t>
      </w:r>
      <w:r>
        <w:rPr>
          <w:rFonts w:ascii="Times New Roman" w:hAnsi="Times New Roman" w:cs="Times New Roman" w:eastAsia="Times New Roman"/>
          <w:b/>
          <w:color w:val="auto"/>
          <w:spacing w:val="0"/>
          <w:position w:val="0"/>
          <w:sz w:val="24"/>
          <w:shd w:fill="auto" w:val="clear"/>
        </w:rPr>
        <w:t xml:space="preserve"> Educação, Tecnologia e Gênero </w:t>
      </w:r>
    </w:p>
    <w:p>
      <w:pPr>
        <w:suppressAutoHyphens w:val="true"/>
        <w:spacing w:before="0" w:after="0" w:line="360"/>
        <w:ind w:right="0" w:left="0" w:firstLine="55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Nessas instituições percebemos que as diferenças de gênero aparecem com grande freqüência, existindo papeis e modelo a serem cumpridos, diferenciados para homens e para as mulheres, de acordo com Cardoso da Silva, (2006, pg. 86):</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escola, no que se refere ao gênero possui mecanismos especiais para manter inquestionados os papeis que se espera que homens e mulheres desempenhem. As expectativas quanto aos comportamentos esperados e considerados naturais de meninos e meninas, bem como as diferenças na elaboração do currículo de cursos masculinos e femininos podem ser contados entre as muitas estratégias utilizadas para manter a diferença. </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Deve-se considerar que mulheres e homens ocupam os mesmos espaços na sociedade, podem fazer os mesmos cursos, ou seja, não existem barreiras “formais” para um ou outro gênero. Entretanto, eles são separados por fios invisíveis que distorcem a igualdade e são criados mecanismos que separam a hierarquizar atividades a partir do gênero de quem a executa. Homens ainda é a maioria nos espaços de poder. </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se associa o homem ao publico e a mulher ao privado.  O ambiente escolar é um local no qual se constroem identidades e os papeis de gênero, “e refletem as representações presentes na sociedade onde ela se insere”. (Cardoso da Silva, 2006, pg. 87).</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modelo de educação que mantém e reproduz modelo de gênero que contribuiu para as desigualdades entre homens e mulheres, também contribuiu para manter inalterada, a estrutura social e a “oposição binária e o processo social das relações de gênero tronam-se parte do próprio significado de poder; por em questão ou alterar qualquer de seus aspectos ameaça o sistema inteiro”. (Scott, 1976 pg. 77)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Deveria ser papel de a escola educar e superar obstáculos do preconceito e formação conservadora, ainda hoje existente, nas grades curriculares. Da mesma forma que, “educar para a tecnologia, não se refere, pura e simplesmente, a processos educativos que ocorram mediados por aparelhos tecnológicos”. Da mesma forma que “não se reduz ao preparo de indivíduos para a produção de artefatos e mecanismos tecnológicos ou a qualificação técnica para seu manejo.” Cardoso da Silva, (2006, pg.81)</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mesmo sentido, Kuenzer nos relata que a tecnologia é incorporada aos processos produtivos que estão ligadas a indústria:</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ciência e a tecnologia incorporadas ao processo produtivo, através de máquinas eletromecânicas que trazem em sua configuração em numero restrito de possibilidades de operações diferenciadas que exigem apenas a troca de uns componentes, demandam comportamentos operacionais pré-determinados e com pouca variação. (1999, pg.94)</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Pois o processo de formação profissional no Brasil inicia-se em 1909 e tinha como meta as demandas de um desenvolvimento industrial e “obedeciam a uma finalidade moral de repressão: educar, pelo trabalho, os órfãos, pobres e desvalidos da sorte, retirando-os da rua”. (Kuenzer, 1999, pg.88). Observa-se que mesmo essa educação não era pensadas para as mulheres, ainda educadas no espaço privado por meio de aprendizado de atividades consideradas adequadas ao seu gênero.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Desde o principio, os filhos dos trabalhadores tiverem uma educação diferenciada dos filhos dos ricos, os primeiros para o trabalho braçal e os segundo para os trabalhos intelectuais, e de acordo com Kuenzer a educação era:</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as elites, a trajetória era: o ensino primário seguido pelo secundário propedêutico, completado pelo ensino superior, este sim divido em ramos profissionais, além de uma educação acadêmica, intelectualizada, deslocada das ações instrumentais. Para os filhos dos trabalhadores, existia a formação profissional em instituições especializadas ou no próprio trabalho, com ênfase no aprendizado, quase que exclusivo de formas de fazer a par do desenvolvimento de habilidades psicofísicas.(1999, pg.88)</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essa diferença na questão educacional das pessoas, percebemos claramente a diferença da classe social. A educação profissional nem sempre prepara para a atuação tecnológicas ou para terem conhecimentos úteis a vida do trabalhador e para transformações sociais. Pois “na grande maioria destes casos ocorre à transmissão pura e simples de saberes técnico (o fazer pelo fazer) sem uma preocupação maior com compreensão mais aprofundada do que ela representa.” (Cardoso da Silva, 2006 pg.84)</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Essas instituições, centros ou escolas não atendiam de forma qualificada os filhos dos trabalhadores, primeiro pela questão de duração desses cursos, segundo pela proposta pedagógica e terceiro a preparação dos professores sobre essa reflexão, kuenzer traz a seguinte reflexão:</w:t>
      </w:r>
    </w:p>
    <w:p>
      <w:pPr>
        <w:suppressAutoHyphens w:val="true"/>
        <w:spacing w:before="0" w:after="0" w:line="240"/>
        <w:ind w:right="0" w:left="231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ab/>
        <w:t xml:space="preserve">Com cursos rápidos, de baixo custo, com material precário professores despreparados, as avaliações realizadas a nível nacional apontam para um baixo retorno social quando a clientela  é a excluída, para os incluídos os resultados podem ser  melhores. Como não se estabeleceu um processo de acompanhamento dos egressos destes cursos, é difícil precisar quantos estão sendo incorporados ao mundo do trabalho que por sua vez apresenta cada vez menor de ocupações. (1999,pg.104)</w:t>
      </w:r>
    </w:p>
    <w:p>
      <w:pPr>
        <w:suppressAutoHyphens w:val="true"/>
        <w:spacing w:before="0" w:after="0" w:line="240"/>
        <w:ind w:right="0" w:left="231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maioria dos trabalhadores necessita de um curso profissionalizante de qualidade para sua estabilidade profissional, mas grande parte deles acaba não tendo as mesmas condições de freqüentar. De acordo com Kuenzer:</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filhos dos trabalhadores que em sua maioria já são excluídos do sistema antes de concluírem o ensino fundamental e os que concluem em face da necessidade de inserção no mundo do trabalho quando se dirigem ao ensino médio o fazem em escolas noturnas. (1999, pg.101)</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compreendemos que os trabalhadores precisam desses cursos para sua ascensão profissional, particularmente em momentos de grande desemprego que pode acarretar em maiores exigências para uma contratação. Para Kuenzer:</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empregabilidade resulta de cursos de formação profissional “strictu senso” e não da solida articulação entre saber cientifico, tecnológico e sócio- histórico que permita pensar cientificamente e a realidade do trabalho e da vida social a exigir domínio de conteúdos do método cientifico e das formas de linguagem a atual política propõem a universalização do ensino fundamental para as crianças e a educação profissional básica para os que não tiveram escolaridade, destinada a qualificação, requalificação e reprofissionalização de trabalhadores. (kuenzer, 1999, pg.103)</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qualificação passa “a repousar sobre conhecimentos e habilidades cognitivas e comportamentais que permitam ao cidadão/produtor trabalhar a intelectualidade, dominando o método científico de modo a ser capaz de se utilizar de conhecimentos científicos e tecnológicos, de modo articulado, para resolver problemas da pratica social e produtiva.”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é preciso que exista outro tipo de pedagogia aplicada para as transformações ocorridas no “mundo do trabalho e o desenvolvimento das forças produtivas de modo a atender as demandas da devolução na base técnica de produção, com profundos impactos sobre a vida social”. (Kuenzer, 1999, pg. 98)</w:t>
      </w:r>
    </w:p>
    <w:p>
      <w:pPr>
        <w:suppressAutoHyphens w:val="true"/>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 essa educação não pode excluir as mulheres, pois elas tanto quanto eles necessitam de solida formação para inserção e permanência no mercado de trabalho.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Foucault (1977) a prisão também se fundamenta pelo papel de “aparelho para transformar os indivíduos”, servindo desde os primórdios como uma:</w:t>
        <w:br/>
      </w:r>
    </w:p>
    <w:p>
      <w:pPr>
        <w:suppressAutoHyphens w:val="true"/>
        <w:spacing w:before="0" w:after="0" w:line="240"/>
        <w:ind w:right="0" w:left="23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detenção legal [...] encarregada de um suplemento corretivo, ou ainda uma empresa de modificação dos indivíduos que a privação de liberdade permite fazer funcionar no sistema legal. Em suma o encarceramento penal, desde o início do século XIX, recobriu ao mesmo tempo a privação de liberdade e a transformação técnica dos indivíduos”.</w:t>
      </w:r>
    </w:p>
    <w:p>
      <w:pPr>
        <w:suppressAutoHyphens w:val="true"/>
        <w:spacing w:before="0" w:after="0" w:line="240"/>
        <w:ind w:right="0" w:left="234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educação no sistema penitenciário é iniciada a partir da década de 1950. Até o principio do Século XIX, a prisão era utilizada unicamente como um local de contenção de pessoas – uma detenção. Não havia proposta de requalificar os presos. Esta proposta veio a surgir somente quando se desenvolveu dentro das prisões os programas de tratamento. (Santos, 2005)</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 educação sempre esteve presente na realidade das prisões desde o seu nascimento, acaba por estar atrelada com os mecanismos ajustadores da disciplina, na medida em que procura moldar os indivíduos as normas e regras vigentes dentro dos presídios. (Cardoso Silva, 2006 pg.91)</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Pensava-se que somente a detenção proporcionaria transformação aos indivíduos enclausurados. A idéia era que estes refizessem suas existências dentro da prisão para depois serem levados de volta à sociedade. (Santos, 2005)</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somente nos meados dos anos 50, constatou-se o insucesso deste sistema prisional, o que motivou a busca de novos rumos, ocasionando na inserção da educação escolar nas prisões. </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Os Cursos Profissionalizantes:</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Apresentaremos uma avaliação sobre as penas alternativas nos cursos profissionalizantes, na escola onde se realizou a pesquisa.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Tem como objetivo a promoção do indivíduo especialmente o socialmente carente, através da profissionalização de mão de obra que o capacite a enfrentar o mercado de trabalho.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Percebemos que, a maioria daqueles que cumprem penas alternativas naquele espaço são homens. Lá, eles freqüentam um curso profissionalizante enquanto processo de ressocialização presente nas penas alternativas, conforme tabela 2. </w:t>
      </w:r>
    </w:p>
    <w:p>
      <w:pPr>
        <w:suppressAutoHyphens w:val="true"/>
        <w:spacing w:before="0" w:after="0" w:line="240"/>
        <w:ind w:right="0" w:left="1134" w:hanging="1134"/>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1134" w:hanging="113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 2: Cursos Profissionalizantes e Penas alternativas </w:t>
      </w:r>
    </w:p>
    <w:p>
      <w:pPr>
        <w:suppressAutoHyphens w:val="true"/>
        <w:spacing w:before="0" w:after="0" w:line="240"/>
        <w:ind w:right="0" w:left="1134" w:hanging="1134"/>
        <w:jc w:val="both"/>
        <w:rPr>
          <w:rFonts w:ascii="Times New Roman" w:hAnsi="Times New Roman" w:cs="Times New Roman" w:eastAsia="Times New Roman"/>
          <w:color w:val="auto"/>
          <w:spacing w:val="0"/>
          <w:position w:val="0"/>
          <w:sz w:val="24"/>
          <w:shd w:fill="auto" w:val="clear"/>
        </w:rPr>
      </w:pPr>
    </w:p>
    <w:tbl>
      <w:tblPr/>
      <w:tblGrid>
        <w:gridCol w:w="1242"/>
        <w:gridCol w:w="3915"/>
        <w:gridCol w:w="1228"/>
        <w:gridCol w:w="3079"/>
      </w:tblGrid>
      <w:tr>
        <w:trPr>
          <w:trHeight w:val="1" w:hRule="atLeast"/>
          <w:jc w:val="left"/>
        </w:trPr>
        <w:tc>
          <w:tcPr>
            <w:tcW w:w="1242"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Curso</w:t>
            </w:r>
          </w:p>
        </w:tc>
        <w:tc>
          <w:tcPr>
            <w:tcW w:w="3915"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Ramificações</w:t>
            </w:r>
          </w:p>
        </w:tc>
        <w:tc>
          <w:tcPr>
            <w:tcW w:w="1228"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Quantidade de pessoas</w:t>
            </w:r>
          </w:p>
        </w:tc>
        <w:tc>
          <w:tcPr>
            <w:tcW w:w="3079"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Homens e mulheres</w:t>
            </w:r>
          </w:p>
        </w:tc>
      </w:tr>
      <w:tr>
        <w:trPr>
          <w:trHeight w:val="1" w:hRule="atLeast"/>
          <w:jc w:val="left"/>
        </w:trPr>
        <w:tc>
          <w:tcPr>
            <w:tcW w:w="1242"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Informática</w:t>
            </w:r>
          </w:p>
        </w:tc>
        <w:tc>
          <w:tcPr>
            <w:tcW w:w="3915"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Informática I e II, digitação, editoração, webdesigner, Linux e inglês</w:t>
            </w:r>
          </w:p>
        </w:tc>
        <w:tc>
          <w:tcPr>
            <w:tcW w:w="1228"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3079"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3 Mulheres</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 Homens</w:t>
            </w:r>
          </w:p>
        </w:tc>
      </w:tr>
      <w:tr>
        <w:trPr>
          <w:trHeight w:val="1" w:hRule="atLeast"/>
          <w:jc w:val="left"/>
        </w:trPr>
        <w:tc>
          <w:tcPr>
            <w:tcW w:w="1242"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Moda e Beleza</w:t>
            </w:r>
          </w:p>
        </w:tc>
        <w:tc>
          <w:tcPr>
            <w:tcW w:w="3915"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Auxiliar cabeleireiro, costureira industrial, costureira modista, depilação e manicuro</w:t>
            </w:r>
          </w:p>
        </w:tc>
        <w:tc>
          <w:tcPr>
            <w:tcW w:w="1228"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3079"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00" w:hRule="auto"/>
          <w:jc w:val="left"/>
        </w:trPr>
        <w:tc>
          <w:tcPr>
            <w:tcW w:w="1242"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Panificação e Confeitaria</w:t>
            </w:r>
          </w:p>
        </w:tc>
        <w:tc>
          <w:tcPr>
            <w:tcW w:w="3915"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Confeiteiro, panificação pizzaiolo</w:t>
            </w:r>
          </w:p>
        </w:tc>
        <w:tc>
          <w:tcPr>
            <w:tcW w:w="1228"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w:t>
            </w:r>
          </w:p>
        </w:tc>
        <w:tc>
          <w:tcPr>
            <w:tcW w:w="3079" w:type="dxa"/>
            <w:tcBorders>
              <w:top w:val="single" w:color="000000" w:sz="8"/>
              <w:left w:val="single" w:color="000000" w:sz="0"/>
              <w:bottom w:val="single" w:color="000000" w:sz="8"/>
              <w:right w:val="single" w:color="000000" w:sz="0"/>
            </w:tcBorders>
            <w:shd w:color="auto" w:fill="c0c0c0"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3 Homens</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2  Mulheres</w:t>
            </w:r>
          </w:p>
        </w:tc>
      </w:tr>
      <w:tr>
        <w:trPr>
          <w:trHeight w:val="207" w:hRule="auto"/>
          <w:jc w:val="left"/>
        </w:trPr>
        <w:tc>
          <w:tcPr>
            <w:tcW w:w="1242"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Construção civil</w:t>
            </w:r>
          </w:p>
        </w:tc>
        <w:tc>
          <w:tcPr>
            <w:tcW w:w="3915"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Azulejista, eletricista, pintor, pedreiro, jardinagem</w:t>
            </w:r>
          </w:p>
        </w:tc>
        <w:tc>
          <w:tcPr>
            <w:tcW w:w="1228"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w:t>
            </w:r>
          </w:p>
        </w:tc>
        <w:tc>
          <w:tcPr>
            <w:tcW w:w="3079" w:type="dxa"/>
            <w:tcBorders>
              <w:top w:val="single" w:color="000000" w:sz="8"/>
              <w:left w:val="single" w:color="000000" w:sz="0"/>
              <w:bottom w:val="single" w:color="000000" w:sz="8"/>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 Homens</w:t>
            </w:r>
          </w:p>
        </w:tc>
      </w:tr>
    </w:tbl>
    <w:p>
      <w:pPr>
        <w:suppressAutoHyphens w:val="true"/>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Fonte: Pesquisa de campo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Conforme podemos observar, 15 pessoas participaram de um curso e 02, fizeram dois cursos. Verificamos que, entre eles, 12 são homens e 05 mulheres, sendo o curso mais procurado o de informática. Observamos ainda que os cursos de informática e de panificação/confeitaria são freqüentados tanto por homens quanto por mulheres; os cursos na área de construção civil têm apenas alunos do sexo masculino e os de moda e beleza, embora não tivessem alunos(as) em regime de pena alternativa, de forma geral são freqüentados por mulheres. </w:t>
      </w:r>
    </w:p>
    <w:p>
      <w:pPr>
        <w:suppressAutoHyphens w:val="true"/>
        <w:spacing w:before="100" w:after="1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Na pesquisa de campo, ainda buscamos informações nos processos criminais no que se refere ao sexo, escolaridade e crimes por eles cometidos. Foram analisados 19 processos dentre os quais, 17 eram em face de pessoas do sexo masculino e 2 do sexo feminino:</w:t>
      </w:r>
    </w:p>
    <w:p>
      <w:pPr>
        <w:suppressAutoHyphens w:val="true"/>
        <w:spacing w:before="0" w:after="0" w:line="240"/>
        <w:ind w:right="0" w:left="0" w:firstLine="0"/>
        <w:jc w:val="both"/>
        <w:rPr>
          <w:rFonts w:ascii="Times New Roman" w:hAnsi="Times New Roman" w:cs="Times New Roman" w:eastAsia="Times New Roman"/>
          <w:b/>
          <w:color w:val="000000"/>
          <w:spacing w:val="0"/>
          <w:position w:val="0"/>
          <w:sz w:val="24"/>
          <w:shd w:fill="auto" w:val="clear"/>
        </w:rPr>
      </w:pPr>
    </w:p>
    <w:p>
      <w:pPr>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Gráfico I – Sexo</w:t>
      </w:r>
    </w:p>
    <w:p>
      <w:pPr>
        <w:suppressAutoHyphens w:val="true"/>
        <w:spacing w:before="100" w:after="100" w:line="360"/>
        <w:ind w:right="0" w:left="0" w:firstLine="0"/>
        <w:jc w:val="center"/>
        <w:rPr>
          <w:rFonts w:ascii="Times New Roman" w:hAnsi="Times New Roman" w:cs="Times New Roman" w:eastAsia="Times New Roman"/>
          <w:color w:val="000000"/>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Verificamos que é maior o índice de homens cumprindo penas alternativas do que as mulheres. Perfil de gênero que coincide com o do sistema prisional, no qual é também maior a incidência de homens presos do que de mulheres, conforme visto no capítulo quatro,</w:t>
      </w:r>
      <w:r>
        <w:rPr>
          <w:rFonts w:ascii="Times New Roman" w:hAnsi="Times New Roman" w:cs="Times New Roman" w:eastAsia="Times New Roman"/>
          <w:color w:val="000000"/>
          <w:spacing w:val="0"/>
          <w:position w:val="0"/>
          <w:sz w:val="24"/>
          <w:shd w:fill="auto" w:val="clear"/>
        </w:rPr>
        <w:t xml:space="preserve"> 347.325 homens (94,8%) e de 19.043 mulheres (5,2%), em 2007.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Assim os dados </w:t>
      </w:r>
      <w:r>
        <w:rPr>
          <w:rFonts w:ascii="Times New Roman" w:hAnsi="Times New Roman" w:cs="Times New Roman" w:eastAsia="Times New Roman"/>
          <w:color w:val="auto"/>
          <w:spacing w:val="0"/>
          <w:position w:val="0"/>
          <w:sz w:val="24"/>
          <w:shd w:fill="auto" w:val="clear"/>
        </w:rPr>
        <w:t xml:space="preserve">confirmam que esse universo – dos delitos – é majoritariamente masculino. No entanto, dados recentes registram o aumento significativo do encarceramento feminino em âmbito internacional e nacional, principalmente relacionado à participação da mulher no tráfico de entorpecentes.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termos proporcionais a quantidade de mulheres é bem menor do que aos homens, mas em números absolutos, esse número não é tão baixo assim, sendo também preocupante o crescimento real de 37,47% da população carcerária feminina, representando uma taxa média de crescimento anual de aproximadamente 11,19%. Esse crescimento tem sido maior que o da masculina, o que possibilita projetar que, em 2012, as mulheres poderão representar 7,65% do total de presos, no Brasil. Nas penas alternativas as mulheres também representam menor número do que os homens.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Vejamos na tabela abaixo a questão educacional dos réus fazendo um comparativo com a questão educacional dos presos em cárcere privado.</w:t>
      </w:r>
    </w:p>
    <w:p>
      <w:pPr>
        <w:suppressAutoHyphens w:val="true"/>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Tabelas 3 – O nível de Escolaridade dos réus nas Penas Alternativas</w:t>
      </w:r>
    </w:p>
    <w:p>
      <w:pPr>
        <w:tabs>
          <w:tab w:val="right" w:pos="7810" w:leader="none"/>
        </w:tabs>
        <w:suppressAutoHyphens w:val="true"/>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Escolaridade   </w:t>
        <w:tab/>
        <w:t xml:space="preserve">                                  Quantidade                          Porcentagem</w:t>
      </w:r>
    </w:p>
    <w:tbl>
      <w:tblPr/>
      <w:tblGrid>
        <w:gridCol w:w="4605"/>
        <w:gridCol w:w="4606"/>
      </w:tblGrid>
      <w:tr>
        <w:trPr>
          <w:trHeight w:val="1" w:hRule="atLeast"/>
          <w:jc w:val="left"/>
        </w:trPr>
        <w:tc>
          <w:tcPr>
            <w:tcW w:w="460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Ensino fundamental incompleto</w:t>
            </w:r>
          </w:p>
        </w:tc>
        <w:tc>
          <w:tcPr>
            <w:tcW w:w="46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   8                                                                   42%</w:t>
            </w:r>
          </w:p>
        </w:tc>
      </w:tr>
      <w:tr>
        <w:trPr>
          <w:trHeight w:val="1" w:hRule="atLeast"/>
          <w:jc w:val="left"/>
        </w:trPr>
        <w:tc>
          <w:tcPr>
            <w:tcW w:w="460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Ensino fundamental completo</w:t>
            </w:r>
          </w:p>
        </w:tc>
        <w:tc>
          <w:tcPr>
            <w:tcW w:w="46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   -                                                                     -</w:t>
            </w:r>
          </w:p>
        </w:tc>
      </w:tr>
      <w:tr>
        <w:trPr>
          <w:trHeight w:val="1" w:hRule="atLeast"/>
          <w:jc w:val="left"/>
        </w:trPr>
        <w:tc>
          <w:tcPr>
            <w:tcW w:w="460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Ensino médio incompleto</w:t>
            </w:r>
          </w:p>
        </w:tc>
        <w:tc>
          <w:tcPr>
            <w:tcW w:w="46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right" w:pos="3150" w:leader="none"/>
                <w:tab w:val="right" w:pos="3315" w:leader="none"/>
              </w:tabs>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   7                                                                   37%    </w:t>
            </w:r>
          </w:p>
        </w:tc>
      </w:tr>
      <w:tr>
        <w:trPr>
          <w:trHeight w:val="1" w:hRule="atLeast"/>
          <w:jc w:val="left"/>
        </w:trPr>
        <w:tc>
          <w:tcPr>
            <w:tcW w:w="460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Ensino médio completo</w:t>
            </w:r>
          </w:p>
        </w:tc>
        <w:tc>
          <w:tcPr>
            <w:tcW w:w="46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   1                                                                     5%</w:t>
            </w:r>
          </w:p>
        </w:tc>
      </w:tr>
      <w:tr>
        <w:trPr>
          <w:trHeight w:val="1" w:hRule="atLeast"/>
          <w:jc w:val="left"/>
        </w:trPr>
        <w:tc>
          <w:tcPr>
            <w:tcW w:w="460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Ensino superior incompleto</w:t>
            </w:r>
          </w:p>
        </w:tc>
        <w:tc>
          <w:tcPr>
            <w:tcW w:w="46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   1                                                                     5%  </w:t>
            </w:r>
          </w:p>
        </w:tc>
      </w:tr>
      <w:tr>
        <w:trPr>
          <w:trHeight w:val="300" w:hRule="auto"/>
          <w:jc w:val="left"/>
        </w:trPr>
        <w:tc>
          <w:tcPr>
            <w:tcW w:w="4605"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Ensino superior completo</w:t>
            </w:r>
          </w:p>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Total </w:t>
            </w:r>
          </w:p>
        </w:tc>
        <w:tc>
          <w:tcPr>
            <w:tcW w:w="4606"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   2                                                                    11%</w:t>
            </w:r>
          </w:p>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 19                                                                  100% </w:t>
            </w:r>
          </w:p>
        </w:tc>
      </w:tr>
      <w:tr>
        <w:trPr>
          <w:trHeight w:val="135" w:hRule="auto"/>
          <w:jc w:val="left"/>
        </w:trPr>
        <w:tc>
          <w:tcPr>
            <w:tcW w:w="4605" w:type="dxa"/>
            <w:tcBorders>
              <w:top w:val="single" w:color="000000" w:sz="4"/>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18"/>
                <w:shd w:fill="auto" w:val="clear"/>
              </w:rPr>
              <w:t xml:space="preserve">Fonte: Dados pesquisa de campo realizada em 2009.</w:t>
            </w:r>
          </w:p>
          <w:p>
            <w:pPr>
              <w:suppressAutoHyphens w:val="true"/>
              <w:spacing w:before="0" w:after="0" w:line="240"/>
              <w:ind w:right="0" w:left="0" w:firstLine="0"/>
              <w:jc w:val="both"/>
              <w:rPr>
                <w:color w:val="auto"/>
                <w:spacing w:val="0"/>
                <w:position w:val="0"/>
                <w:shd w:fill="auto" w:val="clear"/>
              </w:rPr>
            </w:pPr>
          </w:p>
        </w:tc>
        <w:tc>
          <w:tcPr>
            <w:tcW w:w="4606" w:type="dxa"/>
            <w:tcBorders>
              <w:top w:val="single" w:color="000000" w:sz="4"/>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bl>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Percebemos que a maioria dos réus possui o ensino fundamental incompleto, demonstrando que a continuidade nos estudos regulares, além dos cursos profissionalizantes é uma necessidade de que pode ser suprida nos processos penais, aliando formação e cumprimento da pena.</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 acordo com a promotora de Curitiba: </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acredito que sem a instrução,  sem formação,  sem capacitação, é impossível falar de educação, e a educação é a base de tudo não é outro processo a questão é como abordar e introduzir  uma pessoa que muitas vezes no período que ela podia 14 as vezes 15 ela deixou os bancos escolares. Mas eu acho que se a gente puder dentro desses programas desses cursos dar algum diferencial, algum atrativo para a pessoa com certeza o interesse acaba voltando e desperta nela esse desejo de prosseguir e continuar.</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Devemos considerar que as pessoas são levados muito cedo para o mundo do crime contribuindo para afastá-las da escola. Aliar o cumprimento de uma pena com a formação escolar pode ser uma oportunidade para esses apenados.</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pessoa ser encaminhada para alguns outros programas ou ter a possibilidade de ajuste de algumas condições como o curso profissionalizante, ou a conclusão do ensino fundamental  e médio, eu acho que isso é bem interessante porque a faixa etária de pratica um crime e uma faixa de 18 a 29 o maior índice. Isso é uma oportunidade que quando a gente oferecia [...],  alguma pena da conclusão do ensino médio e/ou fundamental a pessoa dizia a eu estava mesmo querendo voltar a estudar. Era e é um diferencial que faz com a pessoa se preparar mas tempo para o estudo e estar com a família mas tudo visto com uma possibilidade melhor como a condição de vida, melhor de condição de trabalho, de salário. (Promotora de Curitiba)</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necessidade de investir na educação e formação profissional neste universo pode ser visualizada pelo perfil educacional dos presos na tabela nº 4.</w:t>
      </w:r>
    </w:p>
    <w:p>
      <w:pPr>
        <w:suppressAutoHyphens w:val="true"/>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 4 – Escolaridade dos Presos</w:t>
      </w:r>
    </w:p>
    <w:p>
      <w:pPr>
        <w:suppressAutoHyphens w:val="true"/>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                 Ensino</w:t>
        <w:tab/>
        <w:tab/>
        <w:tab/>
        <w:tab/>
        <w:t xml:space="preserve">                 Porcentagem</w:t>
      </w:r>
    </w:p>
    <w:tbl>
      <w:tblPr/>
      <w:tblGrid>
        <w:gridCol w:w="4530"/>
        <w:gridCol w:w="4531"/>
      </w:tblGrid>
      <w:tr>
        <w:trPr>
          <w:trHeight w:val="2681" w:hRule="auto"/>
          <w:jc w:val="left"/>
        </w:trPr>
        <w:tc>
          <w:tcPr>
            <w:tcW w:w="4530"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Analfabetos</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Alfabetizados</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Ensino fundamental incompleto,</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Ensino fundamental completo,</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Ensino médio incompleto</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Ensino médio completo,</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Ensino superior incompleto</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Ensino superior completo</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Nível acima do superior completo.</w:t>
            </w:r>
          </w:p>
          <w:p>
            <w:pPr>
              <w:suppressAutoHyphens w:val="true"/>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Não foi informada a escolaridade</w:t>
            </w:r>
          </w:p>
        </w:tc>
        <w:tc>
          <w:tcPr>
            <w:tcW w:w="4531"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8,15%</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14,35%</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44,76%</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12,02%</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9,36%</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6,81%</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0,9%</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0,43%</w:t>
            </w:r>
          </w:p>
          <w:p>
            <w:pPr>
              <w:suppressAutoHyphens w:val="true"/>
              <w:spacing w:before="0" w:after="0" w:line="36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0,1%</w:t>
            </w:r>
          </w:p>
          <w:p>
            <w:pPr>
              <w:suppressAutoHyphens w:val="true"/>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3,14%</w:t>
            </w:r>
          </w:p>
        </w:tc>
      </w:tr>
    </w:tbl>
    <w:p>
      <w:pPr>
        <w:suppressAutoHyphens w:val="true"/>
        <w:spacing w:before="0" w:after="0" w:line="36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Dados retirados da CPI Carcerária, 2008</w:t>
      </w:r>
    </w:p>
    <w:tbl>
      <w:tblPr/>
      <w:tblGrid>
        <w:gridCol w:w="216"/>
      </w:tblGrid>
      <w:tr>
        <w:trPr>
          <w:trHeight w:val="1" w:hRule="atLeast"/>
          <w:jc w:val="left"/>
        </w:trPr>
        <w:tc>
          <w:tcPr>
            <w:tcW w:w="21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suppressAutoHyphens w:val="true"/>
              <w:spacing w:before="0" w:after="0" w:line="240"/>
              <w:ind w:right="0" w:left="0" w:firstLine="0"/>
              <w:jc w:val="both"/>
              <w:rPr>
                <w:rFonts w:ascii="Calibri" w:hAnsi="Calibri" w:cs="Calibri" w:eastAsia="Calibri"/>
                <w:color w:val="auto"/>
                <w:spacing w:val="0"/>
                <w:position w:val="0"/>
                <w:sz w:val="22"/>
                <w:shd w:fill="auto" w:val="clear"/>
              </w:rPr>
            </w:pPr>
          </w:p>
        </w:tc>
      </w:tr>
    </w:tbl>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mesma forma que nas penas alternativas percebemos que a maioria dos presos tem apenas o ensino fundamental incompleto. O que revela a necessidade de oferecer a possibilidade de dar continuidade ao processo de escolarização. De acordo com a CPI Carcerária o DEPEN, existem projetos neste sentido, criando escolas penitenciarias com objetivo de oferecer educação formal do preso e contribuir com sua reintegração social. Por meio dessa iniciativa, já foram implantadas Escolas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Penitenciarias nos Estados da Paraíba, Espírito Santo, Mato Grosso, Mato Grosso do Sul, Para, Piauí, Rondônia, Sergipe, Goiás, Rio Grande do Norte, Ceara, Alagoas, Amazonas, Santa Catarina, Pernambuco, Amapá e Roraima.</w:t>
      </w: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consideramos que a alternativa penal – continuidade dos estudos e cursos profissionalizantes – podem se somar a essas que ocorrem no sistema prisional, contribuindo para a elevação da escolaridade da população e para a melhoria das condições de suas vidas.</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Sobre essa questão, vejamos o relato de uma das entrevistadas:</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curso profissionalizante, ou a conclusão do ensino médio fundamental, eu acho que isso é fundamental [...] ao mesmo tempo que o réu está se capacitando não foi nem uma nem duas vezes oferecendo o curso profissionalizante a pessoa terminou e retornou a vara perguntando se podia fazer mais um curso[...] eu acredito que a educação é a base de tudo. (Promotora de Curitiba)</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Consideramos que a educação possibilita a capacitação para o trabalho, o acesso à cultura, à informação e principalmente à conquista da cidadania. Neste sentido, as alternativas penais poderiam contribuir para o processo de construção de cidadania dessas pessoas que se envolvem em pequenos delitos. </w:t>
      </w:r>
    </w:p>
    <w:p>
      <w:pPr>
        <w:suppressAutoHyphens w:val="true"/>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Tabela 5 – Cursos Profissionalizantes como alternativa penal – processos analisados. </w:t>
      </w:r>
    </w:p>
    <w:p>
      <w:pPr>
        <w:suppressAutoHyphens w:val="true"/>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Cursos </w:t>
        <w:tab/>
        <w:t xml:space="preserve">        Quantidade</w:t>
        <w:tab/>
        <w:t xml:space="preserve">   Porcentagem                  Duração em Semana</w:t>
      </w:r>
    </w:p>
    <w:tbl>
      <w:tblPr/>
      <w:tblGrid>
        <w:gridCol w:w="4287"/>
        <w:gridCol w:w="1902"/>
        <w:gridCol w:w="236"/>
        <w:gridCol w:w="502"/>
        <w:gridCol w:w="2359"/>
      </w:tblGrid>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Informática                                            8</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36%</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6,5</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Vigilante                                                1</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2,5</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Confeiteiro                                             1 </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6,5</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Pizzaiolo                                                1</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Editoração eletrônica                             1</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6,5</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Modista/costureiro                                 2</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Eletricista Instalador                              1</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Inglês                                                     2</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Eletricista Industrial                              1</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Conclusão ensino fundamental             2</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47,0</w:t>
            </w:r>
          </w:p>
        </w:tc>
      </w:tr>
      <w:tr>
        <w:trPr>
          <w:trHeight w:val="1" w:hRule="atLeast"/>
          <w:jc w:val="left"/>
        </w:trPr>
        <w:tc>
          <w:tcPr>
            <w:tcW w:w="42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Conclusãoensinomédio                          1</w:t>
            </w:r>
          </w:p>
        </w:tc>
        <w:tc>
          <w:tcPr>
            <w:tcW w:w="264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47,0</w:t>
            </w:r>
          </w:p>
        </w:tc>
      </w:tr>
      <w:tr>
        <w:trPr>
          <w:trHeight w:val="288" w:hRule="auto"/>
          <w:jc w:val="left"/>
        </w:trPr>
        <w:tc>
          <w:tcPr>
            <w:tcW w:w="4287"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Panificação                                             1</w:t>
            </w:r>
          </w:p>
        </w:tc>
        <w:tc>
          <w:tcPr>
            <w:tcW w:w="2640" w:type="dxa"/>
            <w:gridSpan w:val="3"/>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w:t>
            </w:r>
          </w:p>
        </w:tc>
        <w:tc>
          <w:tcPr>
            <w:tcW w:w="235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w:t>
            </w:r>
          </w:p>
        </w:tc>
      </w:tr>
      <w:tr>
        <w:trPr>
          <w:trHeight w:val="183" w:hRule="auto"/>
          <w:jc w:val="left"/>
        </w:trPr>
        <w:tc>
          <w:tcPr>
            <w:tcW w:w="42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Total                                                     19</w:t>
            </w:r>
          </w:p>
        </w:tc>
        <w:tc>
          <w:tcPr>
            <w:tcW w:w="2640" w:type="dxa"/>
            <w:gridSpan w:val="3"/>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c>
          <w:tcPr>
            <w:tcW w:w="2359"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160</w:t>
            </w:r>
          </w:p>
        </w:tc>
      </w:tr>
      <w:tr>
        <w:trPr>
          <w:trHeight w:val="195" w:hRule="auto"/>
          <w:jc w:val="left"/>
        </w:trPr>
        <w:tc>
          <w:tcPr>
            <w:tcW w:w="6189" w:type="dxa"/>
            <w:gridSpan w:val="2"/>
            <w:tcBorders>
              <w:top w:val="single" w:color="000000" w:sz="4"/>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226"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Dados pesquisa de campo realizada em 2009.</w:t>
            </w:r>
          </w:p>
          <w:p>
            <w:pPr>
              <w:suppressAutoHyphens w:val="true"/>
              <w:spacing w:before="0" w:after="0" w:line="240"/>
              <w:ind w:right="0" w:left="0" w:firstLine="0"/>
              <w:jc w:val="both"/>
              <w:rPr>
                <w:color w:val="auto"/>
                <w:spacing w:val="0"/>
                <w:position w:val="0"/>
                <w:shd w:fill="auto" w:val="clear"/>
              </w:rPr>
            </w:pPr>
          </w:p>
        </w:tc>
        <w:tc>
          <w:tcPr>
            <w:tcW w:w="236" w:type="dxa"/>
            <w:tcBorders>
              <w:top w:val="single" w:color="000000" w:sz="4"/>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861" w:type="dxa"/>
            <w:gridSpan w:val="2"/>
            <w:tcBorders>
              <w:top w:val="single" w:color="000000" w:sz="4"/>
              <w:left w:val="single" w:color="000000" w:sz="0"/>
              <w:bottom w:val="single" w:color="000000" w:sz="0"/>
              <w:right w:val="single" w:color="000000" w:sz="0"/>
            </w:tcBorders>
            <w:shd w:color="000000" w:fill="ffffff" w:val="clear"/>
            <w:tcMar>
              <w:left w:w="108" w:type="dxa"/>
              <w:right w:w="108"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bl>
    <w:p>
      <w:pPr>
        <w:suppressAutoHyphens w:val="true"/>
        <w:spacing w:before="100" w:after="100" w:line="360"/>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Percebemos que grande parte dos réus optou (36%) por fazer curso na área de informática, acompanhando dessa forma não só o mercado de trabalho, mas também a questão da tecnologia. Percebemos também que alguns dos réus fizeram mais que um curso, da mesma forma que alguns aproveitaram a oportunidade para terminar também seus estudos. Alguns dos cursos profissionalizantes necessitam que as pessoas tenham o ensino fundamental completo ou ensino médio, estimulando que alguns concluíssem os estudos para poder fazer o curso profissionalizante.</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curso profissionalizante de informática é um curso considerado como necessário para a atualidade, pois para maioria das ofertas de empregos, há necessidade de saber trabalhar no computador, acessar internet, escrever textos e fazer uma tabela, etc.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comparamos as profissões com os cursos feitos verificamos que, um frentista fez curso de vigilante; um auxiliar de produção fez curso de eletricista instalador; um porteiro faz um curso de panificação; um vigilante faz curso de Web designer; um administrador faz curso de impressor tipográfico e técnico em edificações; um líder de produção faz curso de confeiteiro e costureiro. Dados que nos leva a conjecturar que esses cursos feitos podem ser para ampliar conhecimentos e também para uma possível mudança profissional.</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Podemos questionar, pelo fato de que muitos desses cursos não se associam com as respectivas profissões, se a pessoa faz o curso apenas porque que pagar pelo delito que cometeu e acaba fazendo qualquer curso, ou se escolha do curso esta relacionada a aquisição de  novas habilidades para um novo emprego. Um curso profissional não objetiva unicamente a preparação para o mercado de trabalho, pois de acordo com Kuenzer (1999, pg. 98)</w:t>
      </w:r>
    </w:p>
    <w:p>
      <w:pPr>
        <w:suppressAutoHyphens w:val="true"/>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a qualificação profissional passa a repousar sobre  conhecimentos e habilidades cognitivas e comportamentais que permitam ao cidadão/produtor trabalhar a intelectualidade, dominando o método cientifico de modo a ser capaz de se utilizar de conhecimentos científicos e tecnológicos, de modo articulado, para resolver problemas da pratica social e produtiva.</w:t>
      </w: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234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devemos observar que os cursos profissionalizantes enquanto alternativa penal tem duração de 1 a 10 semanas, o que é um período muito curto para uma formação adequada, uma vez que os alunos não possuem tempo necessário para assimilar informações e fazer conexões entre teoria e prática.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questão é tratada por Kuenzer (1999, p. 104) </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 cursos rápidos, de baixo custo, com material precário professores despreparados, as avaliações realizadas a nível nacional apontam para um baixo retorno social quando a clientela  é a excluída, para os incluídos os resultados podem ser  melhores. Como não se estabeleceu um processo de acompanhamento dos egressos destes cursos, é difícil precisar quantos estão sendo incorporados ao mundo do trabalho que por sua vez apresenta cada vez menor de ocupações. </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estamos analisando os cursos profissionalizantes, em particular cursos destinados a pessoas de baixo poder aquisitivo, verificamos que ainda não existem grandes investimentos em políticas públicas para os cursos profissionalizantes.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analisarmos tais cursos surgiram como uma forma disciplinatória para educar os pobres e  filhos dos operários, como forma de educá-los e treiná-los para o trabalho, os cursos rápidos continuam tendo essas características. </w:t>
      </w:r>
    </w:p>
    <w:p>
      <w:pPr>
        <w:suppressAutoHyphens w:val="true"/>
        <w:spacing w:before="0" w:after="0" w:line="360"/>
        <w:ind w:right="0" w:left="0" w:firstLine="851"/>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reflexão que pode ser feita a partir das penas alternativas com os cursos profissionalizantes, refere-se à questão de associação de formação profissional e disciplinarizacao. </w:t>
      </w:r>
      <w:r>
        <w:rPr>
          <w:rFonts w:ascii="Times New Roman" w:hAnsi="Times New Roman" w:cs="Times New Roman" w:eastAsia="Times New Roman"/>
          <w:color w:val="FF0000"/>
          <w:spacing w:val="0"/>
          <w:position w:val="0"/>
          <w:sz w:val="24"/>
          <w:shd w:fill="auto" w:val="clear"/>
        </w:rPr>
        <w:t xml:space="preserve"> </w:t>
      </w:r>
    </w:p>
    <w:p>
      <w:pPr>
        <w:suppressAutoHyphen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Outra faceta da sociedade do trabalho foi a sua constituição como sociedade disciplinar, onde a vigilância sobre as camadas inferiores era permanente e a moralização medida pela dedicação e abnegação ao trabalho. Em contrapartida, a noção de trabalho implicava a elaboração do conceito de vadiagem; a ociosidade e o não-trabalho foram associados à criminalidade. Aproximavam-se, portanto, menores delinqüentes, vadios e mendigos e propunha-se o internamento em um regime de reeducação para adquirir o hábito de trabalho, especialmente o agrícola. Os discursos sobre vadios e mendigos permitem entrever um aspecto da própria construção da sociedade liberal no Brasil: respeito, ordem, progresso, civilização e o labor eram noções/normas fundamentais à sociedade (Karvat apud Pandini, 2006 p. 31).</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certa forma, os cursos profissionalizantes são usados como forma de disciplinarizacao – horários que devem ser cumpridos, por exemplo, além da preparação para o trabalho.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w:t>
      </w:r>
      <w:r>
        <w:rPr>
          <w:rFonts w:ascii="Times New Roman" w:hAnsi="Times New Roman" w:cs="Times New Roman" w:eastAsia="Times New Roman"/>
          <w:color w:val="auto"/>
          <w:spacing w:val="0"/>
          <w:position w:val="0"/>
          <w:sz w:val="24"/>
          <w:u w:val="single"/>
          <w:shd w:fill="auto" w:val="clear"/>
        </w:rPr>
        <w:t xml:space="preserve">p</w:t>
      </w:r>
      <w:r>
        <w:rPr>
          <w:rFonts w:ascii="Times New Roman" w:hAnsi="Times New Roman" w:cs="Times New Roman" w:eastAsia="Times New Roman"/>
          <w:color w:val="auto"/>
          <w:spacing w:val="0"/>
          <w:position w:val="0"/>
          <w:sz w:val="24"/>
          <w:shd w:fill="auto" w:val="clear"/>
        </w:rPr>
        <w:t xml:space="preserve">ossível que os cursos profissionalizantes ajudem aqueles apenados a conseguirem empregos, mesmo sendo com cursos de rápida duração, mas quais são as garantias de boa qualidade de ensino?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alcançar métodos científicos e tecnológicos de qualidade, quando na maioria das vezes essas pessoas não possuem o ensino fundamental completo?</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Fica claro, portanto que cursos profissionalizantes devem ser integrados com o ensino fundamental e médio. As alternativas penais não poderia englobar cursos muito rápido pois pouco contribuem para a formação integral do individuo, funcionando mais como disciplinarizacao do que formação. </w:t>
      </w:r>
    </w:p>
    <w:p>
      <w:pPr>
        <w:suppressAutoHyphens w:val="true"/>
        <w:spacing w:before="100" w:after="100" w:line="360"/>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100" w:after="10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Conclusão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trabalho tinha como objetivo analisar a participação das mulheres no processo de cumprimento de pena, particularmente as alternativas penais em cursos profissionalizantes.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que se refere ao gênero dos réus que cumprem penas alternativas, a partir dos processos analisados, verificamos que eles são em grande medida do sexo masculino, pois eram duas mulheres em relação a dezessete homens.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Percebemos que o perfil de quem cumpre pena alternativa ou pena privativa de liberdade no sistema prisional, são de pessoas jovens, em sua maioria, com idade entre 18 e 29 anos e com uma baixa escolaridade (ensino fundamental incompleto).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Pudemos perceber que os cursos profissionalizantes, enquanto alternativa penal, embora possam ser uma alternativa viável para o encarceramento, o encaminhamento dos réus para um curso profissionalizante, pode não cumprir um objetivo esperado: a profissionalização do réu e a conseqüente possibilidade de geração de emprego e renda. Analisando os processos constatamos que os réus escolhem cursos sem muitas vezes estar relacionado à sua profissão, o que pode não contribuir para uma melhoria no seu desempenho. Poder-se-ia imaginar que o réu pudesse trocar de profissão a partir do curso profissional, no entanto, tais cursos são, de forma geral, rápidos, o que não possibilitaria essa mudança. </w:t>
      </w: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consideramos que as penas alternativas pode auxiliar na reinserção dos réus, seja na questão social, bem como no mundo do trabalho, mas ao mesmo tempo questionamos se tais cursos contribuem para uma formação de qualidade, no caso específico dos cursos profissionalizantes. Assim como a prisão é usada para disciplinar e moldar os presos, a pesquisa revelou que os cursos profissionalizantes também podem ter essa função, disciplinar para o mercado de trabalho de forma rápida, flexível e com baixo custo.  </w:t>
      </w: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Cursos de duração de uma a dez semanas são curtos para possibilitar uma formação adequada, período insuficiente para articular teoria e prática, por exemplo.  Além do que analisamos que esses cursos deveriam estar vinculados ao ensino fundamental e médio, contribuindo para a ampliação da escolaridade dos réus.  A partir do perfil dos réus, verificamos que há necessidade de se investir na formação básica dessas pessoas, no entanto, os cursos profissionalizantes, em sua grande maioria, não estão articulados com essa formação e referem-se basicamente à questão do trabalho. </w:t>
      </w:r>
    </w:p>
    <w:p>
      <w:pPr>
        <w:suppressAutoHyphens w:val="true"/>
        <w:spacing w:before="0" w:after="120" w:line="36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isso, é importante ressaltar que as penas alternativas, como forma de punição tem seu lado positivo, pois evita encarceramento de réus que não representam risco à sociedade, pois seus delitos são de pequena gravidade. Essas penas, possibilitam que permaneça a convivência social e familiar, a formação educacional e profissional, mas ao mesmo tempo, ela peca no que diz respeito ao cumprimento quando ela não consegue fiscalizar a pena determinada, pelos diversos fatores que foram revelados, a falta de funcionários, de recursos, e de estrutura, pois atualmente as penas alternativas, em números de processos,  já se equiparou ao número de pessoas encarceradas no país.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questão a ser considerada, é que as mulheres mesmo sendo um número menor, não se pode desconsiderar sua presença. A prisão se revela com condições precárias para homens e mulheres, mas particularmente em relação à elas, esses estabelecimentos não possuem lugares adequados para o recebimento das mulheres, pois, há falta de creches para seus filhos e ausência de condições e espaços para recebimento de visitas, dentre outras questões.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inicialmente, esta pesquisa destacou que os presídios foram construídos para os homens e não para as mulheres, ao longo da investigação percebemos que, na verdade, ele foi pensado para homens, mas sem qualquer preocupação com a dignidade das pessoas que ali ficariam. A maioria das instituições prisionais do país não possui estruturas adequadas, tem superpopulação, faltam profissionais (médicos, assistente social, defensores, professores, etc.), dentre outras carências. No entanto, a mulher acaba sofrendo duplamente, como pessoa que cumpre pena e como mulher, que por estar em menor número pode ser invibilizada, sofre maiores preconceitos sociais e isolamento do que os homens em mesma condição.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100" w:after="10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Bibliografia</w:t>
      </w:r>
    </w:p>
    <w:p>
      <w:pPr>
        <w:suppressAutoHyphens w:val="true"/>
        <w:spacing w:before="0" w:after="12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CAMARA DOS DEPUTADOS, </w:t>
      </w:r>
      <w:r>
        <w:rPr>
          <w:rFonts w:ascii="Times New Roman" w:hAnsi="Times New Roman" w:cs="Times New Roman" w:eastAsia="Times New Roman"/>
          <w:b/>
          <w:color w:val="auto"/>
          <w:spacing w:val="0"/>
          <w:position w:val="0"/>
          <w:sz w:val="24"/>
          <w:shd w:fill="auto" w:val="clear"/>
        </w:rPr>
        <w:t xml:space="preserve">CPI DO SISTEMA CARCERÁRIO: </w:t>
      </w:r>
      <w:r>
        <w:rPr>
          <w:rFonts w:ascii="Times New Roman" w:hAnsi="Times New Roman" w:cs="Times New Roman" w:eastAsia="Times New Roman"/>
          <w:color w:val="auto"/>
          <w:spacing w:val="0"/>
          <w:position w:val="0"/>
          <w:sz w:val="24"/>
          <w:shd w:fill="auto" w:val="clear"/>
        </w:rPr>
        <w:t xml:space="preserve">Comissão Parlamentar de Inquérito com a finalidade de investigar a realidade do Sistema Carcerário Brasileiro, com destaque para a superlotação dos presídios, custos sociais e econômicos desses estabelecimentos, a permanência de encarcerados que já cumpriram a pena, a violência dentro das instituições do sistema carcerário, corrupção, crime organizado e suas ramificações nos presídios e buscar soluções para o efetivo cumprimento da Lei de Execução Penal - LEP. RELATÓRIO FINAL. Julho/2008</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FOUCAULT, Michel. </w:t>
      </w:r>
      <w:r>
        <w:rPr>
          <w:rFonts w:ascii="Times New Roman" w:hAnsi="Times New Roman" w:cs="Times New Roman" w:eastAsia="Times New Roman"/>
          <w:b/>
          <w:color w:val="auto"/>
          <w:spacing w:val="0"/>
          <w:position w:val="0"/>
          <w:sz w:val="24"/>
          <w:shd w:fill="auto" w:val="clear"/>
        </w:rPr>
        <w:t xml:space="preserve">Vigiar e punir: nascimento da prisão. </w:t>
      </w:r>
      <w:r>
        <w:rPr>
          <w:rFonts w:ascii="Times New Roman" w:hAnsi="Times New Roman" w:cs="Times New Roman" w:eastAsia="Times New Roman"/>
          <w:color w:val="auto"/>
          <w:spacing w:val="0"/>
          <w:position w:val="0"/>
          <w:sz w:val="24"/>
          <w:shd w:fill="auto" w:val="clear"/>
        </w:rPr>
        <w:t xml:space="preserve">Tradução de Lígia M Pondé Vassallo. Petrpolis, Vozes,1 977.</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ESPINOZA, Olga. </w:t>
      </w:r>
      <w:r>
        <w:rPr>
          <w:rFonts w:ascii="Times New Roman" w:hAnsi="Times New Roman" w:cs="Times New Roman" w:eastAsia="Times New Roman"/>
          <w:b/>
          <w:color w:val="auto"/>
          <w:spacing w:val="0"/>
          <w:position w:val="0"/>
          <w:sz w:val="24"/>
          <w:shd w:fill="auto" w:val="clear"/>
        </w:rPr>
        <w:t xml:space="preserve">A mulher encarcerada em face do poder punitivo</w:t>
      </w:r>
      <w:r>
        <w:rPr>
          <w:rFonts w:ascii="Times New Roman" w:hAnsi="Times New Roman" w:cs="Times New Roman" w:eastAsia="Times New Roman"/>
          <w:color w:val="auto"/>
          <w:spacing w:val="0"/>
          <w:position w:val="0"/>
          <w:sz w:val="24"/>
          <w:shd w:fill="auto" w:val="clear"/>
        </w:rPr>
        <w:t xml:space="preserve">. São Paulo: IBCCRIM, 2004.</w:t>
      </w:r>
    </w:p>
    <w:p>
      <w:pPr>
        <w:tabs>
          <w:tab w:val="left" w:pos="1021"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KUENZER, Acácia Zeneida. </w:t>
      </w:r>
      <w:r>
        <w:rPr>
          <w:rFonts w:ascii="Times New Roman" w:hAnsi="Times New Roman" w:cs="Times New Roman" w:eastAsia="Times New Roman"/>
          <w:b/>
          <w:color w:val="auto"/>
          <w:spacing w:val="0"/>
          <w:position w:val="0"/>
          <w:sz w:val="24"/>
          <w:shd w:fill="auto" w:val="clear"/>
        </w:rPr>
        <w:t xml:space="preserve">A Reforma Do Ensino Técnico E Suas Conseqüências.</w:t>
      </w:r>
      <w:r>
        <w:rPr>
          <w:rFonts w:ascii="Times New Roman" w:hAnsi="Times New Roman" w:cs="Times New Roman" w:eastAsia="Times New Roman"/>
          <w:color w:val="auto"/>
          <w:spacing w:val="0"/>
          <w:position w:val="0"/>
          <w:sz w:val="24"/>
          <w:shd w:fill="auto" w:val="clear"/>
        </w:rPr>
        <w:t xml:space="preserve"> Educação Profissional: Tendências e Desafios/ Documento Final do II Seminario Sobre a Reforma do Ensino Profissional, [27 E 28 de Novembro de 1998, Curitiba]; Domingos Leite Lima Filho (Org). – Curitiba, SINDOCEFET-PR, 1999.</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MORAES, Carmem Sylvia Vidigal. </w:t>
      </w:r>
      <w:r>
        <w:rPr>
          <w:rFonts w:ascii="Times New Roman" w:hAnsi="Times New Roman" w:cs="Times New Roman" w:eastAsia="Times New Roman"/>
          <w:b/>
          <w:color w:val="auto"/>
          <w:spacing w:val="0"/>
          <w:position w:val="0"/>
          <w:sz w:val="24"/>
          <w:shd w:fill="auto" w:val="clear"/>
        </w:rPr>
        <w:t xml:space="preserve">A socialização da força do trabalho</w:t>
      </w:r>
      <w:r>
        <w:rPr>
          <w:rFonts w:ascii="Times New Roman" w:hAnsi="Times New Roman" w:cs="Times New Roman" w:eastAsia="Times New Roman"/>
          <w:color w:val="auto"/>
          <w:spacing w:val="0"/>
          <w:position w:val="0"/>
          <w:sz w:val="24"/>
          <w:shd w:fill="auto" w:val="clear"/>
        </w:rPr>
        <w:t xml:space="preserve">: instrução popular e qualificação profissional no estado de São Paulo Bragança Paulista. EDUSF, 2003 480 p. (estudos CDAPH serie historiografia).</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NEVES, Jose Luis.  </w:t>
      </w:r>
      <w:r>
        <w:rPr>
          <w:rFonts w:ascii="Times New Roman" w:hAnsi="Times New Roman" w:cs="Times New Roman" w:eastAsia="Times New Roman"/>
          <w:b/>
          <w:color w:val="auto"/>
          <w:spacing w:val="0"/>
          <w:position w:val="0"/>
          <w:sz w:val="24"/>
          <w:shd w:fill="auto" w:val="clear"/>
        </w:rPr>
        <w:t xml:space="preserve">Pesquisa Qualitativa – Características, Usos E Possibilidades:</w:t>
      </w:r>
      <w:r>
        <w:rPr>
          <w:rFonts w:ascii="Times New Roman" w:hAnsi="Times New Roman" w:cs="Times New Roman" w:eastAsia="Times New Roman"/>
          <w:color w:val="auto"/>
          <w:spacing w:val="0"/>
          <w:position w:val="0"/>
          <w:sz w:val="24"/>
          <w:shd w:fill="auto" w:val="clear"/>
        </w:rPr>
        <w:t xml:space="preserve"> caderno de pesquisas em administração, São Paulo, v.1 nº 32º sem./1996 &lt;</w:t>
      </w:r>
      <w:hyperlink xmlns:r="http://schemas.openxmlformats.org/officeDocument/2006/relationships" r:id="docRId211">
        <w:r>
          <w:rPr>
            <w:rFonts w:ascii="Times New Roman" w:hAnsi="Times New Roman" w:cs="Times New Roman" w:eastAsia="Times New Roman"/>
            <w:color w:val="0000FF"/>
            <w:spacing w:val="0"/>
            <w:position w:val="0"/>
            <w:sz w:val="24"/>
            <w:u w:val="single"/>
            <w:shd w:fill="auto" w:val="clear"/>
          </w:rPr>
          <w:t xml:space="preserve">http://www.ead.fea.usp.br/cad-pesq/arquivos/c03-art06.pdf</w:t>
        </w:r>
        <w:r>
          <w:rPr>
            <w:rFonts w:ascii="Times New Roman" w:hAnsi="Times New Roman" w:cs="Times New Roman" w:eastAsia="Times New Roman"/>
            <w:vanish/>
            <w:color w:val="0000FF"/>
            <w:spacing w:val="0"/>
            <w:position w:val="0"/>
            <w:sz w:val="24"/>
            <w:u w:val="single"/>
            <w:shd w:fill="auto" w:val="clear"/>
          </w:rPr>
          <w:t xml:space="preserve">HYPERLINK "http://www.ead.fea.usp.br/cad-pesq/arquivos/c03-art06.pdf%3e%20acesso%20dia%2030/08/2010"</w:t>
        </w:r>
        <w:r>
          <w:rPr>
            <w:rFonts w:ascii="Times New Roman" w:hAnsi="Times New Roman" w:cs="Times New Roman" w:eastAsia="Times New Roman"/>
            <w:color w:val="0000FF"/>
            <w:spacing w:val="0"/>
            <w:position w:val="0"/>
            <w:sz w:val="24"/>
            <w:u w:val="single"/>
            <w:shd w:fill="auto" w:val="clear"/>
          </w:rPr>
          <w:t xml:space="preserve">&gt;</w:t>
        </w:r>
        <w:r>
          <w:rPr>
            <w:rFonts w:ascii="Times New Roman" w:hAnsi="Times New Roman" w:cs="Times New Roman" w:eastAsia="Times New Roman"/>
            <w:vanish/>
            <w:color w:val="0000FF"/>
            <w:spacing w:val="0"/>
            <w:position w:val="0"/>
            <w:sz w:val="24"/>
            <w:u w:val="single"/>
            <w:shd w:fill="auto" w:val="clear"/>
          </w:rPr>
          <w:t xml:space="preserve">HYPERLINK "http://www.ead.fea.usp.br/cad-pesq/arquivos/c03-art06.pdf%3e%20acesso%20dia%2030/08/2010"</w:t>
        </w:r>
        <w:r>
          <w:rPr>
            <w:rFonts w:ascii="Times New Roman" w:hAnsi="Times New Roman" w:cs="Times New Roman" w:eastAsia="Times New Roman"/>
            <w:color w:val="0000FF"/>
            <w:spacing w:val="0"/>
            <w:position w:val="0"/>
            <w:sz w:val="24"/>
            <w:u w:val="single"/>
            <w:shd w:fill="auto" w:val="clear"/>
          </w:rPr>
          <w:t xml:space="preserve"> acesso dia 30/08/2010</w:t>
        </w:r>
      </w:hyperlink>
      <w:r>
        <w:rPr>
          <w:rFonts w:ascii="Times New Roman" w:hAnsi="Times New Roman" w:cs="Times New Roman" w:eastAsia="Times New Roman"/>
          <w:color w:val="auto"/>
          <w:spacing w:val="0"/>
          <w:position w:val="0"/>
          <w:sz w:val="24"/>
          <w:shd w:fill="auto" w:val="clear"/>
        </w:rPr>
        <w:t xml:space="preserve"> - às 11h</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PANDINI, Silvia.</w:t>
      </w:r>
      <w:r>
        <w:rPr>
          <w:rFonts w:ascii="Times New Roman" w:hAnsi="Times New Roman" w:cs="Times New Roman" w:eastAsia="Times New Roman"/>
          <w:b/>
          <w:color w:val="auto"/>
          <w:spacing w:val="0"/>
          <w:position w:val="0"/>
          <w:sz w:val="24"/>
          <w:shd w:fill="auto" w:val="clear"/>
        </w:rPr>
        <w:t xml:space="preserve"> Viveiro De Homens Aptos E Úteis (1910-1928) - </w:t>
      </w:r>
      <w:r>
        <w:rPr>
          <w:rFonts w:ascii="Times New Roman" w:hAnsi="Times New Roman" w:cs="Times New Roman" w:eastAsia="Times New Roman"/>
          <w:color w:val="auto"/>
          <w:spacing w:val="0"/>
          <w:position w:val="0"/>
          <w:sz w:val="24"/>
          <w:shd w:fill="auto" w:val="clear"/>
        </w:rPr>
        <w:t xml:space="preserve">A Escola De Aprendizes Artífices Do Paraná: Dissetarção de Mestrado junto ao Programa de Pós-Graduação em Educação da Universidade Federal doParaná; 2006.</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147 p.</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Sintia Menezes. </w:t>
      </w:r>
      <w:r>
        <w:rPr>
          <w:rFonts w:ascii="Times New Roman" w:hAnsi="Times New Roman" w:cs="Times New Roman" w:eastAsia="Times New Roman"/>
          <w:b/>
          <w:color w:val="auto"/>
          <w:spacing w:val="0"/>
          <w:position w:val="0"/>
          <w:sz w:val="24"/>
          <w:shd w:fill="auto" w:val="clear"/>
        </w:rPr>
        <w:t xml:space="preserve">Ressocialização através da educação</w:t>
      </w:r>
      <w:r>
        <w:rPr>
          <w:rFonts w:ascii="Times New Roman" w:hAnsi="Times New Roman" w:cs="Times New Roman" w:eastAsia="Times New Roman"/>
          <w:color w:val="auto"/>
          <w:spacing w:val="0"/>
          <w:position w:val="0"/>
          <w:sz w:val="24"/>
          <w:shd w:fill="auto" w:val="clear"/>
        </w:rPr>
        <w:t xml:space="preserve">: Publicado em 24/08/2005 </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&lt;</w:t>
      </w:r>
      <w:hyperlink xmlns:r="http://schemas.openxmlformats.org/officeDocument/2006/relationships" r:id="docRId212">
        <w:r>
          <w:rPr>
            <w:rFonts w:ascii="Times New Roman" w:hAnsi="Times New Roman" w:cs="Times New Roman" w:eastAsia="Times New Roman"/>
            <w:color w:val="0000FF"/>
            <w:spacing w:val="0"/>
            <w:position w:val="0"/>
            <w:sz w:val="24"/>
            <w:u w:val="single"/>
            <w:shd w:fill="auto" w:val="clear"/>
          </w:rPr>
          <w:t xml:space="preserve">http://www.direitonet.com.br/artigos/exibir/2965</w:t>
        </w:r>
      </w:hyperlink>
      <w:r>
        <w:rPr>
          <w:rFonts w:ascii="Times New Roman" w:hAnsi="Times New Roman" w:cs="Times New Roman" w:eastAsia="Times New Roman"/>
          <w:color w:val="auto"/>
          <w:spacing w:val="0"/>
          <w:position w:val="0"/>
          <w:sz w:val="24"/>
          <w:shd w:fill="auto" w:val="clear"/>
        </w:rPr>
        <w:t xml:space="preserve">&gt; acesso em 30/03/2010 às 20h.</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Evandro Lins e. Uma visão global da história da pena. In </w:t>
      </w:r>
      <w:r>
        <w:rPr>
          <w:rFonts w:ascii="Times New Roman" w:hAnsi="Times New Roman" w:cs="Times New Roman" w:eastAsia="Times New Roman"/>
          <w:b/>
          <w:color w:val="auto"/>
          <w:spacing w:val="0"/>
          <w:position w:val="0"/>
          <w:sz w:val="24"/>
          <w:shd w:fill="auto" w:val="clear"/>
        </w:rPr>
        <w:t xml:space="preserve">Anais do 1º Encontro Nacional da Execução Penal. </w:t>
      </w:r>
      <w:r>
        <w:rPr>
          <w:rFonts w:ascii="Times New Roman" w:hAnsi="Times New Roman" w:cs="Times New Roman" w:eastAsia="Times New Roman"/>
          <w:color w:val="auto"/>
          <w:spacing w:val="0"/>
          <w:position w:val="0"/>
          <w:sz w:val="24"/>
          <w:shd w:fill="auto" w:val="clear"/>
        </w:rPr>
        <w:t xml:space="preserve">Organização: George Lopes Leite. Brasília, Fundação de Apoio à Pesquisa no Distrito Federal, 1998.</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Valter Cardoso da. </w:t>
      </w:r>
      <w:r>
        <w:rPr>
          <w:rFonts w:ascii="Times New Roman" w:hAnsi="Times New Roman" w:cs="Times New Roman" w:eastAsia="Times New Roman"/>
          <w:b/>
          <w:color w:val="auto"/>
          <w:spacing w:val="0"/>
          <w:position w:val="0"/>
          <w:sz w:val="24"/>
          <w:shd w:fill="auto" w:val="clear"/>
        </w:rPr>
        <w:t xml:space="preserve">A Educação atrás das Grades</w:t>
      </w:r>
      <w:r>
        <w:rPr>
          <w:rFonts w:ascii="Times New Roman" w:hAnsi="Times New Roman" w:cs="Times New Roman" w:eastAsia="Times New Roman"/>
          <w:color w:val="auto"/>
          <w:spacing w:val="0"/>
          <w:position w:val="0"/>
          <w:sz w:val="24"/>
          <w:shd w:fill="auto" w:val="clear"/>
        </w:rPr>
        <w:t xml:space="preserve">: Representações de Tecnologia e Gênero entre Adultos Presos. Dissertação de mestrado Universidade Tecnológica Federal do Paraná, 2006. 230f</w:t>
      </w: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w:t>
      </w:r>
      <w:r>
        <w:rPr>
          <w:rFonts w:ascii="Times New Roman" w:hAnsi="Times New Roman" w:cs="Times New Roman" w:eastAsia="Times New Roman"/>
          <w:b/>
          <w:color w:val="auto"/>
          <w:spacing w:val="0"/>
          <w:position w:val="0"/>
          <w:sz w:val="24"/>
          <w:shd w:fill="auto" w:val="clear"/>
        </w:rPr>
        <w:t xml:space="preserve">Gênero: uma categoria útil de analise histórica</w:t>
      </w:r>
      <w:r>
        <w:rPr>
          <w:rFonts w:ascii="Times New Roman" w:hAnsi="Times New Roman" w:cs="Times New Roman" w:eastAsia="Times New Roman"/>
          <w:color w:val="auto"/>
          <w:spacing w:val="0"/>
          <w:position w:val="0"/>
          <w:sz w:val="24"/>
          <w:shd w:fill="auto" w:val="clear"/>
        </w:rPr>
        <w:t xml:space="preserve"> - Artigo: Revista educação &amp;Realidade – v.1 1976, Porto Alegre: universidade Federal do Rio Grande do Sul, Faculdade de Educação.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QUELUZ, Gilson Leandro. </w:t>
      </w:r>
      <w:r>
        <w:rPr>
          <w:rFonts w:ascii="Times New Roman" w:hAnsi="Times New Roman" w:cs="Times New Roman" w:eastAsia="Times New Roman"/>
          <w:b/>
          <w:color w:val="auto"/>
          <w:spacing w:val="0"/>
          <w:position w:val="0"/>
          <w:sz w:val="24"/>
          <w:shd w:fill="auto" w:val="clear"/>
        </w:rPr>
        <w:t xml:space="preserve">Concepções de Ensino Técnico na República Velha</w:t>
      </w:r>
      <w:r>
        <w:rPr>
          <w:rFonts w:ascii="Times New Roman" w:hAnsi="Times New Roman" w:cs="Times New Roman" w:eastAsia="Times New Roman"/>
          <w:color w:val="auto"/>
          <w:spacing w:val="0"/>
          <w:position w:val="0"/>
          <w:sz w:val="24"/>
          <w:shd w:fill="auto" w:val="clear"/>
        </w:rPr>
        <w:t xml:space="preserve">: publicação do programa de pós graduação em tecnologia- PPGTE/CEFET-PR/ Gilson Leandro Queluz: cefet:PR 2000.270p Il. Bibliografia- ISBN 85-7014-011-8 (BROCH)</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MULHERES NOS MOVIMENTOS DE LUTA PELA TERRA:</w:t>
      </w: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GUERREIRAS SEM TERRA, GUERREIRAS SEM TETO</w:t>
      </w:r>
    </w:p>
    <w:p>
      <w:pPr>
        <w:suppressAutoHyphens w:val="true"/>
        <w:spacing w:before="0" w:after="0" w:line="36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AUTORA: Luciana da Luz Silva </w:t>
      </w:r>
    </w:p>
    <w:p>
      <w:pPr>
        <w:suppressAutoHyphens w:val="true"/>
        <w:spacing w:before="0" w:after="0" w:line="36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ORIENTADORA: Profa. Dra. Iracema Brandão Guimarães</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INTRODUÇÃO</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Com o objetivo de identificar como se configura a participação das mulheres nos movimentos sociais de luta pela terra, analisar-se-á a realidade de assentamentos e acampamentos do MST no interior do estado da Bahia e ocupações do MSTB na capital soteropolitana, estabelecendo as inúmeras distinções entre ambas as realidades - uma urbana (MSTB), outra rural (MST); um movimento de âmbito nacional, outro local; um conta com vinte e cinco anos de luta e história (MST), outro comemorou há pouco sete anos de existência (MSTB), etc. - mas ressaltando seus pontos de contato - ambos se caracterizam enquanto movimentos contestatórios de luta pela terra, pautados pela estratégia da ação direta, compostos majoritariamente por mulheres negras e coordenados em sua maioria por homens.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metodologia adotada durante a pesquisa foi a realização de entrevista semi-estruturada junto às mulheres da base e da coordenação de ambos os movimentos, bem como a análise dos regimentos internos e outros documentos publicados pelos mesmos, a fim de estabelecer um parâmetro comparativo entre os mecanismos de garantia de participação equitativa (tanto na perspectiva quantitativa quanto na perspectiva qualitativa) entre homens e mulheres estão definidos formalmente por estes dois movimentos sociais em seus espaços deliberativos e como de fato se concretizam na prática cotidiana.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Destarte, serão colocados a seguir alguns dos conceitos básicos que fundamentarão nosso trabalho, ressaltando que a metodologia analítica de cunho qualitativo que utilizamos aqui está pautada nas pesquisas sobre mulheres e no materialismo histórico dialético, que orienta o campo do feminismo socialista. Esta observação é importante para marcar nossa crítica ao campo dos chamados estudos de gênero, como hoje se apresentam, encastelados no interior da academia e fundamentados pelo “</w:t>
      </w:r>
      <w:r>
        <w:rPr>
          <w:rFonts w:ascii="Times New Roman" w:hAnsi="Times New Roman" w:cs="Times New Roman" w:eastAsia="Times New Roman"/>
          <w:i/>
          <w:color w:val="auto"/>
          <w:spacing w:val="0"/>
          <w:position w:val="0"/>
          <w:sz w:val="24"/>
          <w:shd w:fill="auto" w:val="clear"/>
        </w:rPr>
        <w:t xml:space="preserve">corpus</w:t>
      </w:r>
      <w:r>
        <w:rPr>
          <w:rFonts w:ascii="Times New Roman" w:hAnsi="Times New Roman" w:cs="Times New Roman" w:eastAsia="Times New Roman"/>
          <w:color w:val="auto"/>
          <w:spacing w:val="0"/>
          <w:position w:val="0"/>
          <w:sz w:val="24"/>
          <w:shd w:fill="auto" w:val="clear"/>
        </w:rPr>
        <w:t xml:space="preserve"> teórico da sociologia da cultura”, como bem aponta Benoit:</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Como o paradigma weberiano de relação social, a categoria gênero delimita o estudo da questão da desigualdade feminina às significações que são construídas nas relações entre indivíduos, especificamente, entre mulheres e homens. Além do mais, como se obedecessem rigorosamente aos preceitos epistemológico-weberianos, as atuais investigadoras do feminino evitam pensar o conceito de relações de gênero como se este fosse uma entidade realmente existente ou estrutura coisificada. À semelhança dos paradigmas ou tipos ideais weberianos, gênero é o nome de uma categoria do entendimento, uma espécie de abstração sem maior realidade ontológica. É nesta abstração que as pesquisas atuais se apóiam para apreender e descrever aspectos ou significações parciais das relações específicas entre mulheres e homens. [...] Ao mesmo tempo, se a categoria gênero se enraíza na compreensão weberiana e simmeliana das oposições sociais, afasta-se da teoria marxista clássica. Para Marx, a análise e a síntese teórica das relações sociais não podem ter como elemento essencial as significações que os indivíduos lhes atribuem, ou seja, as realidades discursivas da consciência. Aquilo que os indivíduos pensam não coincide, em geral, com o seu ser real, conforme Marx escreveu no Prefácio à crítica da economia política: “O modo de produção da vida material domina, em geral, o desenvolvimento da vida social, política e intelectual. Não é a consciência dos homens que determina a sua existência, ao contrário, é sua existência social que determina sua consciência.” Ao contrário de ser reveladora de conteúdos, a consciência na sociedade de classes seria o lugar privilegiado das deformações ideológicas das relações sociais. Portanto, do ponto de vista de Marx, pode-se dizer que os estudos atuais sobre o feminino, ao tomarem construções simbólico-sociais de gênero como fio condutor de suas análises, recaem no engano comum a todas as manifestações do idealismo conceitual (2000, p. 81-83).</w:t>
      </w: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Portanto nosso estudo está situado para além do debate de gênero, que atualmente domina as análises feministas. Nos concentramos na participação das mulheres dentro das lutas sociais pela terra e sendo esse um trabalho cujo aporte teórico é o feminismo marxista ou socialista, compartilhamos da noção de que:</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o gênero está determinado pela classe; ele se manifesta de forma distinta na mulher burguesa e na mulher proletária. [...] A questão da mulher só pode ser resolvida se se rompe com a ordem econômica vigente. A luta contra a opressão da mulher só pode ser travada no marco de um enfrentamento com o capital, pelo fim da exploração da classe trabalhadora (TOLEDO, 2008, p. 118-119).</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2268"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Considerando que as feministas marxistas têm uma abordagem mais histórica, já que se orientam por uma teoria da história em função da premissa de encontrar uma explicação “material” para o problema da mulher na sociedade, o maior avanço proporcionado pelo marxismo foi ter arrancado o socialismo e a libertação da mulher da esfera utópica, demonstrando que o próprio capitalismo engendra uma força – a classe trabalhadora, composta de homens e mulheres – que é bastante poderosa para destruí-lo, permitindo a construção do socialismo, condição precípua para a libertação da mulher.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 categoria cuja compreensão é fundamental para as reflexões trazidas nesse trabalho é conflito fundiário, entendido como a disputa coletiva pela posse ou propriedade de imóvel (urbano ou rural) envolvendo famílias de baixa renda, em situação de vulnerabilidade sócio-econômica, organizadas em movimentos populares que demandem a proteção do Estado na garantia do direito humano à moradia adequada, seja no campo ou na cidade (BAHIA, 2006). Destaca-se que esta definição é útil, porém limitada por enfatizar a “demanda” pela proteção do Estado, ignorando o caráter de classe da histórica e árdua luta pela terra, que é também uma luta pela transformação da sociedade uma vez que ambos os movimentos, MST e MSTB, possuem projetos políticos orientados pela tradição socialista.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Diferente do que ocorria no passado, a concepção hodierna da posse e do uso da terra no Brasil, seja em meio urbano ou rural, está associada à função social da propriedade, que determina: o aproveitamento racional e adequado da terra; a utilização adequada dos recursos naturais disponíveis e a preservação do meio ambiente; o cumprimento das leis que regulam as relações trabalhistas; a exploração que favoreça o bem-estar dos proprietários e dos trabalhadores (CRUZ, 2006). Ademais, não podemos ignorar a inclusão da temática habitacional no Plano Nacional de Direitos Humanos (BRASIL, 2009), com previsão: do direito a cidades inclusivas e acessíveis como elemento fundamental da implementação de políticas urbanas; de fomentar políticas públicas de apoio aos estados, Distrito Federal e municípios em ações sustentáveis de urbanização e regularização fundiária dos assentamentos de população de baixa renda e de provisão habitacional de interesse social, materializando a função social da propriedade; de fomentar políticas e ações públicas voltadas à mobilidade urbana sustentável;</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 apoiar o monitoramento de políticas de habitação de interesse social pelos conselhos municipais de habitação, garantindo às cooperativas e associações habitacionais acesso às informações; de considerar na elaboração de políticas públicas de desenvolvimento urbano os impactos na saúde pública; além de garantir que nos programas habitacionais do governo sejam priorizadas as populações de baixa renda, a população em situação de rua e grupos sociais em situação de vulnerabilidade no espaço urbano e rural, considerando os princípios da moradia digna, do desenho universal e os critérios de acessibilidade nos projetos; e por fim, de promover a destinação das glebas e edifícios vazios ou subutilizados pertencentes à União, para a população de baixa renda, reduzindo o déficit habitacional.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de a terra possuir função social prevista na Constituição Federal, a mesma ainda é objeto de concentração de renda, sendo retida por uma minoria de indivíduos ou grupos de latifundiários ou especuladores que contam com a morosidade da justiça e a desarticulação das políticas de reforma urbana e rural para assegurar a manutenção de um panorama de injustiça social. Nessa seara de tensões e conflitos que se desenvolvem desde o nascedouro do Brasil (e cuja origem está nos primórdios do capitalismo), as mulheres jogam um papel de destaque dado que a resistência feminina sempre esteve presente na sociedade. O que não se tem são registros de sua participação na história enquanto protagonistas que foram. Isto porque, tendo sido os homens pertencentes a determinadas classe e raça a escrever a história, houve uma omissão sistemática e recorrente das mulheres (bem como da classe operária, dos negros, indígenas, quilombolas, etc.), confinadas à esfera privada por imposição de sua condição de subalternidade. Essa situação gera um paradoxo: as pesquisas sobre a história da mulher se colocam o desafio de contar o que foi silenciado, mostrar o que foi invisibilizado, mas não questionam as raízes do discurso hegemônico e, muitas vezes, até partem dos mesmos pressupostos androcêntricos, reproduzindo os erros que se propunham a corrigir e cometendo equívocos relacionados a um revanchismo sexista que, por vezes não raras, resulta em análises anódinas e que pouco contribuem do ponto de vista concreto para a luta feminista.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desafio consiste não apenas em trabalhar com dados novos que evidenciam a presença e o papel da mulher nas lutas sociais, como revisar os parâmetros teóricos e epistemológicos do discurso histórico (SARDA, 1987).  Partindo de tais premissas, não podemos ignorar que a família se constitui enquanto “célula” repressora por excelência, a exemplo do que pontua Engels (1995), ao associar a construção da família monogâmica com o surgimento da propriedade privada e a necessidade dos homens de garantir a sucessão através do direito de herança a seus filhos “legítimos”. </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Logo, o domínio e o poder do homem não derivam de nenhuma superioridade biológica, física ou mental do macho sobre a fêmea, muito menos de relações originadas na esfera cultural, e sim das exigências sócio-econômicas de sua recente aquisição do monopólio da propriedade, e de sua transmissão através da linhagem de descendência masculina. “Foram as drásticas mudanças sociais impostas pelas instituições da classe patriarcal, na forma de família, propriedade privada e Estado, o que conduziu ao derrocamento histórico do sexo feminino” (REED, 2008, p. 42). Ironicamente, veremos mais adiante, que as entrevistas realizadas com as mulheres sem teto e sem terra nos revela que é justamente a família, fonte precípua de sua histórica opressão na sociedade, o principal fator motivador para o seu engajamento na luta.</w:t>
      </w:r>
    </w:p>
    <w:p>
      <w:pPr>
        <w:suppressAutoHyphens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tal contexto, adotar-se-á o entendimento dos movimentos sociais a partir do escopo teórico em que ambos (MST e MSTB) se auto-identificam, que é o do referencial marxista. Apesar de Karl Marx não ter elaborado uma obra sobre os movimentos sociais, sua principal contribuição ao tema terá sido a definição do conceito de </w:t>
      </w:r>
      <w:r>
        <w:rPr>
          <w:rFonts w:ascii="Times New Roman" w:hAnsi="Times New Roman" w:cs="Times New Roman" w:eastAsia="Times New Roman"/>
          <w:i/>
          <w:color w:val="auto"/>
          <w:spacing w:val="0"/>
          <w:position w:val="0"/>
          <w:sz w:val="24"/>
          <w:shd w:fill="auto" w:val="clear"/>
        </w:rPr>
        <w:t xml:space="preserve">práxis</w:t>
      </w:r>
      <w:r>
        <w:rPr>
          <w:rFonts w:ascii="Times New Roman" w:hAnsi="Times New Roman" w:cs="Times New Roman" w:eastAsia="Times New Roman"/>
          <w:color w:val="auto"/>
          <w:spacing w:val="0"/>
          <w:position w:val="0"/>
          <w:sz w:val="24"/>
          <w:shd w:fill="auto" w:val="clear"/>
        </w:rPr>
        <w:t xml:space="preserve"> (em oposição à ação alienada), que é conceituada como “toda ação para transformação do social, desde que essa ação contenha um certo grau de consciência crítica” (SCHERER-WARREN, 1987, p. 15). Assim sendo, essa categoria relaciona-se com o reconhecimento de uma situação de opressão dada e a conseqüente conscientização da necessidade de articulação do movimento em si. Ela é fundamental para a transformação da sociedade e de uma situação de opressão e/ou carência econômica. Nas discussões teóricas sobre o tema, Scherer-Warren e  Krischke (1987) fazem uma distinção entre “movimentos sociais tradicionais” e os “novos movimentos sociais”, sendo que os primeiros</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 surgem como expressão típica da sociedade industrial (e de sua consciência), dividida em classes sociais, das quais uma delas – o proletariado – encontrava quase a totalidade de seu cotidiano submetido ao mundo da produção e exploração de sua força de trabalho. Os movimentos sociais expressavam essa contradição fundamental e o deseja da sua superação. [...] Os movimentos sociais propriamente ditos são o momento de integração da práxis com o projeto através de uma organização grupal (p. 36-37).  </w:t>
      </w: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Esses dois autores atribuem a mudança paradigmática na forma de organização popular a dois fatores precípuos: o reconhecimento do povo (numa noção ampliada, para além da classe operária) das condições materiais do capitalismo contemporâneo e de suas múltiplas dimensões de opressão; e ao processo de internacionalização de uma cultura crítica que vem penetrando os movimentos populares a partir da insatisfação quanto às formas de opressão e autoritarismo encontradas na sociedade e que passam pelos processos de criminalização da pobreza e dos movimentos sociais em geral. Em tal contexto:</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Estes novos movimentos se caracterizam por suas lutas para romper com os esquemas populistas do passado, para a criação de formas comunitárias de participação direta das bases ao nível da reflexão, da decisão e da execução, diminuindo ao mínimo a distância entre direção e base do movimento. Defendem sua autonomia frente ao Estado e Partidos, considerando a cidadania um direito do povo, numa situação de um capitalismo particularmente excludente. A defesa da autonomia não significa que o partido não poderá ser utilizado como um canal de encaminhamento das reivindicações dos movimentos sociais. [...] Essa prática, contudo, não se encontra isenta de ambigüidade, na medida em que freqüentemente o líder do novo movimento social é igualmente um líder partidário (SCHERER-WARREN, KRISCHKE, 1987, p. 42).</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Evidenciadas as bases teóricas e metodológicas adotadas nessa pesquisa, discorreremos mais detidamente a respeito da presença das mulheres e do caráter de sua participação nos movimentos sociais, a partir de uma síntese da questão fundiária no Brasil. Em seguida apresentaremos uma breve discussão sobre quem são as mulheres Sem Terra e Sem Teto e de como estas vivenciam a realidade da luta social no âmbito de seus coletivos, empreendendo-se, por fim, algumas ilações acerca do tema.</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BREVE HISTÓRICO DA QUESTÃO FUNDIÁRIA NO BRASIL</w:t>
      </w: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As lutas pela terra no Brasil do período de 1888 (abolição da escravatura) a 1964 (golpe militar) podem ser classificadas em três tipos e/ou etapas: as lutas messiânicas, que se deram entre 1888 e a década de 1930; as lutas radicais, localizadas e espontâneas, entre 1930 e 1954; as lutas organizadas, com caráter ideológico e de alcance nacional, entre 1950 e 1964 (MORISSAWA, 2001). Lembrando que é na primeira metade do século XX que se inicia, ainda timidamente, a industrialização brasileira, com uma tendência de crescimento das cidades e, portanto, uma intensificação do processo de ocupação do solo urbano que mais à frente irá se materializar no fenômeno da favelização, em função da migração rural-urbana. Para as mulheres dos interiores do país não é incomum serem deixadas para trás juntamente com os filhos por companheiros que partem do campo em busca de melhores oportunidades nas cidades. Tais elementos irão se somando ao longo dos anos para compor as bases do conflito fundiário rural e urbano. </w:t>
      </w:r>
    </w:p>
    <w:p>
      <w:pPr>
        <w:tabs>
          <w:tab w:val="left" w:pos="525"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Com a ditadura militar, o Estatuto da Terra (1964) pretendia trocar a palavra latifúndio por empresa agrícola como forma de acobertar as enormes extensões de terras nas mãos de uma minoria de proprietários e conter a luta no campo desfechada pelas Ligas Camponesas. </w:t>
      </w:r>
    </w:p>
    <w:p>
      <w:pPr>
        <w:tabs>
          <w:tab w:val="left" w:pos="525"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525"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1985 houve a tentativa de retomar o Estatuto da ditadura por meio do I Plano Nacional de Reforma Agrária (PNRA). Na fase seguinte não houveram políticas agrárias no Brasil, sendo a questão da terra (tanto no campo quanto na cidade) completamente ignorada. Em 1993 foi aprovada a Lei Agrária, que foi criada para controlar, pelo menos momentaneamente, as lutas pela reforma. Ressaltamos que, como bem colocam Morissawa (2001), Pereira (2008), Schwendler (2008) e Stédile (1994), é nesse ínterim, mais precisamente em 1992, que se encerra uma fase iniciada em 1979 e marcada por expressivas mobilizações populares em torno da questão fundiária.</w:t>
      </w:r>
    </w:p>
    <w:p>
      <w:pPr>
        <w:tabs>
          <w:tab w:val="left" w:pos="510" w:leader="none"/>
          <w:tab w:val="left" w:pos="1020" w:leader="none"/>
        </w:tabs>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Esse foi um momento de refluxo na luta pela terra depois de décadas de intensas ações dos movimentos sociais, quando a Policia Federal invadiu várias secretarias e prendeu diversas lideranças do MST. As ocupações de terras diminuíram, assim como o número de assentamentos implantados, significando um retrocesso para a luta pela reforma agrária e o agravamento do </w:t>
      </w:r>
      <w:r>
        <w:rPr>
          <w:rFonts w:ascii="Times New Roman" w:hAnsi="Times New Roman" w:cs="Times New Roman" w:eastAsia="Times New Roman"/>
          <w:i/>
          <w:color w:val="auto"/>
          <w:spacing w:val="0"/>
          <w:position w:val="0"/>
          <w:sz w:val="24"/>
          <w:shd w:fill="auto" w:val="clear"/>
        </w:rPr>
        <w:t xml:space="preserve">déficit </w:t>
      </w:r>
      <w:r>
        <w:rPr>
          <w:rFonts w:ascii="Times New Roman" w:hAnsi="Times New Roman" w:cs="Times New Roman" w:eastAsia="Times New Roman"/>
          <w:color w:val="auto"/>
          <w:spacing w:val="0"/>
          <w:position w:val="0"/>
          <w:sz w:val="24"/>
          <w:shd w:fill="auto" w:val="clear"/>
        </w:rPr>
        <w:t xml:space="preserve">habitacional urbano, com uma forte política de repressão às ocupações nas grandes metrópoles brasileiras. Todos esses mecanismos serviram para combater a reivindicação dos ocupantes e camponeses de reforma e reafirmar o poder da burguesia – fosse agrária ou urbana. Na leitura dos cinco séculos de história do Brasil é impossível dissociar as ocupações de terras da intensificação da concentração fundiária. Esses processos sempre se desenvolveram simultaneamente construindo um dos maiores problemas políticos nacionais: a questão fundiária. Assim, a ocupação do solo, seja rural ou urbano, se transfigura em forma e espaço de luta.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No que concerne à regularização fundiária, foi somente em 2003 que as mulheres foram de fato reconhecidas pelas políticas rurais, com o princípio expresso na norma do Instituto Nacional de Colonização e Reforma Agrária (INCRA), através da Portaria nº 979 de 30 de setembro de 2003, que tornou obrigatória a titulação conjunta de homens e mulheres, independentemente da condição civil. Nos casos de separação conjugal o INCRA incidirá sobre o direito de permanecer na parcela, dando prioridade para as mulheres, sendo que as restrições delas para tornarem-se beneficiárias da reforma agrária e do crédito aparecem diretamente associadas ao seu precário acesso aos documentos civis e trabalhistas. O governo também conseguiu a aprovação do II PNRA (II Plano Nacional da Reforma Agrária), o qual apresenta avanços políticos substanciais, também com destaque para o atendimento dos interesses das mulheres. Quanto à reforma urbana, esta avançou consideravelmente no plano jurídico, a partir da criação do Ministério das Cidades e da aprovação do Estatuto da Cidade, que agora conta com recursos do PAC (Plano de Aceleração do Crescimento) em todo país.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19"/>
          <w:shd w:fill="auto" w:val="clear"/>
        </w:rPr>
        <w:t xml:space="preserve"> </w:t>
      </w: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19"/>
          <w:shd w:fill="auto" w:val="clear"/>
        </w:rPr>
      </w:pPr>
      <w:r>
        <w:rPr>
          <w:rFonts w:ascii="Times New Roman" w:hAnsi="Times New Roman" w:cs="Times New Roman" w:eastAsia="Times New Roman"/>
          <w:color w:val="auto"/>
          <w:spacing w:val="0"/>
          <w:position w:val="0"/>
          <w:sz w:val="20"/>
          <w:shd w:fill="auto" w:val="clear"/>
        </w:rPr>
        <w:t xml:space="preserve">Cansadas de serem manipuladas as trabalhadoras rurais assim como as sem-teto têm resistido e participado na formulação de políticas públicas de inclusão da mulher, contribuindo, assim, para a diminuição da violência sexista no campo e na cidade entranhada nos lares do mundo; na participação efetiva dos programas governamentais a exemplo do PRONAF, e na renovação de uma outra consciência que possibilite a postura crítica constante e firmeza na posição para novas conquistas. [...] A emancipação da mulher, além de muito importante, traduz-se na possibilidade de se promover a formulação de uma política agrária/urbana que não deixe a mulher fora do processo de conquista da terra [...] (FERREIA, 2008, p. 5).</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 breve histórico acima apresentado é o resumo de uma luta que passa pela conquista da terra, da moradia, da educação, da saúde, mas passa, também, pela reconstrução das relações na família, na escola, no trabalho, nas lutas sociais, inclusive nas ocupações (SCHWENDLER, 2008). Para a mulher, seja sem terra ou sem teto, coloca-se um desafio ainda maior: assumir sua tarefa histórica como sujeito social que entra em cena ocupando também o espaço público, participando das instâncias decisórias para construir a luta com suas diferenças enquanto mulher. Esta paisagem é uma construção em movimento, no qual mulheres e homens redefinem papéis, reconstroem suas histórias, recriam a cultura, para a qual o aprendizado coletivo da luta pela terra muito já tem contribuído.  Este é o panorama no qual se situam as mulheres sem teto e sem terra, sobre as quais falaremos a seguir.</w:t>
        <w:tab/>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MULHERES SEM TERRA, MULHERES SEM TETO:</w:t>
      </w: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UNIDAS NO GÊNERO E NA LUTA</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Neste esforço de empreender uma comparação analítica entre o MST e o MSTB em termos de participação das mulheres nas lutas sociais, a partir da percepção de suas próprias integrantes e do posicionamento coletivo construído nos espaços deliberativos dos movimentos, traremos uma apresentação mais ampla de cada um dos coletivos e da participação das mulheres a partir das respostas apresentadas nas entrevistas realizadas, contrapondo assim elementos empíricos e aqueles auferidos nas fontes documentais.</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3.1. As Mulheres no Movimento dos Trabalhadores Rurais Sem Terra</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Em 1981, a Comissão Pastoral da Terra (CPT) começou a promover debates e encontros entre as diversas lideranças da luta pela terra no país, que constituiriam as bases da realização do 1° Encontro Nacional dos Sem Terra, que se deu entre os dias 20 e 22 de janeiro de 1984:</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As atividades iniciais do encontro foram voltadas a apresentar as principais lutas desenvolvidas pelos sem-terra e as políticas dos governos estaduais e federal  quanto à questão. Isso possibilitou a análise das diferentes realidades dos camponeses. As lições aprendidas até então no processo foram fundamentais para o encaminhamento de novas lutas (MORISSAWA, 2001, p. 138).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Deste encontro resultou o manifesto do 1° Encontro Nacional dos Sem-Terra, com o lema “A terra para quem nela trabalha e vive”, documento de uma página no qual ainda não são visíveis as questões das mulheres. Em 1985 foi realizado o 1° Congresso Nacional dos Sem-Terra, que promoveu a expansão do movimento pelo país e definiu sua nova palavra de ordem: “Ocupar é a única solução”. Nesta ocasião as mulheres estavam presentes na organização e iniciaram os trabalhos para formação da Comissão Nacional das Mulheres do MST. Já em março de 1986 conquistaram junto com outros movimentos ligados ao feminismo e às questões das mulheres, sua primeira grande vitória: o direito de receber lotes na implantação dos assentamentos, dando mais um passo no sentido de superar a condição de dependência em relação a pais, companheiros e irmãos.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partir daí emergem outras iniciativas, com as sem-terra de diversos estados se organizando e viabilizando encontros para refletir e avaliar suas formas de participação na luta. Mas é no ano de 1988, no 4° Encontro Nacional, que fica definida a necessidade de priorizar a organização dos jovens e mulheres em todos os níveis dos assentamentos. Em seu documento A Reforma Agrária Necessária, o movimento coloca como princípio fundamental contribuir para criar condições objetivas de participação igualitária da mulher na sociedade, garantindo-lhe direitos iguais.  O ano de 1989 foi um marco na história do MST, quando foi realizado o 5° Encontro Nacional do Movimento e se definiram as normas gerais dos assentamentos; escolheu-se o hino; marcou-se a data do 2° Congresso nacional; além da criação da nova palavra de ordem do movimento:</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“Ocupar, resistir, produzir”. Em 1995, durante o 3° Congresso Nacional dos Sem-Terra a problematização das questões das mulheres avançará através de uma das diversas organizações que participaram do evento: o MMTR (Movimento de Mulheres Trabalhadoras Rurais). O resultado foi a inclusão das mulheres na elaboração dos objetivos do movimento, tendo como um dos objetivos gerais a partir de então “Combater todas as formas de discriminação social e buscar a participação igualitária da mulher” (MST </w:t>
      </w:r>
      <w:r>
        <w:rPr>
          <w:rFonts w:ascii="Times New Roman" w:hAnsi="Times New Roman" w:cs="Times New Roman" w:eastAsia="Times New Roman"/>
          <w:i/>
          <w:color w:val="000000"/>
          <w:spacing w:val="0"/>
          <w:position w:val="0"/>
          <w:sz w:val="24"/>
          <w:shd w:fill="auto" w:val="clear"/>
        </w:rPr>
        <w:t xml:space="preserve">Apud </w:t>
      </w:r>
      <w:r>
        <w:rPr>
          <w:rFonts w:ascii="Times New Roman" w:hAnsi="Times New Roman" w:cs="Times New Roman" w:eastAsia="Times New Roman"/>
          <w:color w:val="000000"/>
          <w:spacing w:val="0"/>
          <w:position w:val="0"/>
          <w:sz w:val="24"/>
          <w:shd w:fill="auto" w:val="clear"/>
        </w:rPr>
        <w:t xml:space="preserve">MORISSAWA, 2001, p. 153).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Em agosto de 2000 ocorreu o 4° Congresso Nacional, quando a questão de gênero se consolida definitivamente, ganhando projeção com a participação integral das mulheres, que foi viabilizada pela realização de atividades educacionais e recreativas por cerca de 90 educadores/as do movimento junto as mais de 200 crianças que acompanhavam seus pais e mães. Nascia a Ciranda Infantil, uma das práticas do MST que viabiliza a participação qualitativa de pais, mas sobretudo de mães, oferecendo uma alternativa coletiva de cuidado e socialização de seus filhos e filhas. Ao completar 16 anos de existência torna-se evidente o amadurecimento e a complexificação do MST, bem como de suas pautas e práticas. O 4° Congresso resultou na incorporação das questões de gênero entre suas linhas e diretrizes políticas no documento Decisões Políticas: “[...] Resgatar e implementar em nossas linhas políticas e em todas as atividades do MST e na sociedade, a questão de gênero (as desigualdades entre o homem e a mulher)” (MST </w:t>
      </w:r>
      <w:r>
        <w:rPr>
          <w:rFonts w:ascii="Times New Roman" w:hAnsi="Times New Roman" w:cs="Times New Roman" w:eastAsia="Times New Roman"/>
          <w:i/>
          <w:color w:val="000000"/>
          <w:spacing w:val="0"/>
          <w:position w:val="0"/>
          <w:sz w:val="24"/>
          <w:shd w:fill="auto" w:val="clear"/>
        </w:rPr>
        <w:t xml:space="preserve">Apud </w:t>
      </w:r>
      <w:r>
        <w:rPr>
          <w:rFonts w:ascii="Times New Roman" w:hAnsi="Times New Roman" w:cs="Times New Roman" w:eastAsia="Times New Roman"/>
          <w:color w:val="000000"/>
          <w:spacing w:val="0"/>
          <w:position w:val="0"/>
          <w:sz w:val="24"/>
          <w:shd w:fill="auto" w:val="clear"/>
        </w:rPr>
        <w:t xml:space="preserve">MORISSAWA, 2001, p. 166).  Aqui observamos a prevalência da concepção de gênero problematizada anteriormente, que orienta a organização das mulheres sem terra, por influência de grupos feministas oriundos da academia e que historicamente atuaram junto ao movimento. A limitação desta abordagem está relacionada ao fato de que </w:t>
      </w:r>
      <w:r>
        <w:rPr>
          <w:rFonts w:ascii="Times New Roman" w:hAnsi="Times New Roman" w:cs="Times New Roman" w:eastAsia="Times New Roman"/>
          <w:color w:val="auto"/>
          <w:spacing w:val="0"/>
          <w:position w:val="0"/>
          <w:sz w:val="24"/>
          <w:shd w:fill="auto" w:val="clear"/>
        </w:rPr>
        <w:t xml:space="preserve">a categoria “gênero” ignora que as distinções de classe entre as mulheres transcendem sua identidade como sexo (ou gênero, como prefere algumas correntes feministas). Isto é certo principalmente na sociedade capitalista moderna, em que a polarização das forças sociais é mais forte, argumento assim apresentado por Reed:</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Historicamente, a luta entre os sexos fez parte do movimento feminista burguês do século passado. Tratava-se de um movimento reformista, levado a cabo dentro do sistema, e não contra o mesmo. Foi, sem dúvida, uma luta progressiva, uma vez que as mulheres se rebelaram contra o domínio quase total do homem. Com o movimento feminista, as mulheres obtiveram um número considerável de reformas. Mas aquele tipo de movimento feminista já fez seu trabalho, alcançou seus objetivos limitados, e os problemas que se nos apresentam devem ser situados no contexto da luta de classes. [...] Por isto, a emancipação das mulheres trabalhadoras não será obtida através de uma aliança com as mulheres da classe inimiga, mas sim ao contrário, com uma luta contra elas, como parte de uma luta total contra o capitalismo (2008, p. 88-89).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tab/>
        <w:t xml:space="preserve">Logo, percebemos que o avanço do debate relativo a participação das mulheres no MST caminham </w:t>
      </w:r>
      <w:r>
        <w:rPr>
          <w:rFonts w:ascii="Times New Roman" w:hAnsi="Times New Roman" w:cs="Times New Roman" w:eastAsia="Times New Roman"/>
          <w:i/>
          <w:color w:val="000000"/>
          <w:spacing w:val="0"/>
          <w:position w:val="0"/>
          <w:sz w:val="24"/>
          <w:shd w:fill="auto" w:val="clear"/>
        </w:rPr>
        <w:t xml:space="preserve">pari passu</w:t>
      </w:r>
      <w:r>
        <w:rPr>
          <w:rFonts w:ascii="Times New Roman" w:hAnsi="Times New Roman" w:cs="Times New Roman" w:eastAsia="Times New Roman"/>
          <w:color w:val="000000"/>
          <w:spacing w:val="0"/>
          <w:position w:val="0"/>
          <w:sz w:val="24"/>
          <w:shd w:fill="auto" w:val="clear"/>
        </w:rPr>
        <w:t xml:space="preserve"> com o próprio avanço das lutas deste coletivo, refletindo suas conquistas e eventuais contradições. As integrantes do movimento que têm mais de quinze anos no MST ou mesmo as que “nasceram” sem terra (que juntas totalizam nove das entrevistadas) reconhecem as dificuldades de empreender esse debate no seu cotidiano em assentamentos e acampamentos, em função das dificuldades em aproximar o discurso acadêmico sobre mulheres, gênero e feminismos das práticas dos movimentos sociais. Além disso, reconhecem o caráter limitado das “questões de gênero” e as contradições de classe inerentes a essa abordagem. Tais dificuldades são um desafio inclusive para as estudiosas do tema, como bem ressalta Sardenberg:</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No ano passado (2001), por ocasião do acampamento das mulheres do MST e de outras trabalhadoras rurais em Salvador, eu fui chamada para falar para 1.200 mulheres sobre o que é “gênero”. Como se queixou uma das lideranças: “O tempo todo está se falando de gênero: é gênero isso, gênero aquilo, mas, afinal, o que é gênero?” [...] Muitas vezes, para se explicar o que é gênero, acaba-se simplificando muito o conceito ou mesmo despolitizando-o. Por outro lado, a sofisticação de nossas teorizações e de nossas reflexões acabou por levar a um distanciamento entre movimento e academia que não havia nos anos 1960 e 1970 (SARDENBERG, 2004, p. 21).</w:t>
      </w:r>
    </w:p>
    <w:p>
      <w:pPr>
        <w:suppressAutoHyphens w:val="true"/>
        <w:spacing w:before="0" w:after="0" w:line="360"/>
        <w:ind w:right="0" w:left="226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Independente das limitações apontadas cabe reconhecer que o MST tem avançado significativamente na promoção da eqüidade entre homens e mulheres e na problematização de tais relações, que hoje perpassam todas as ações e atividades do movimento, ainda que seja notória a existência de um hiato entre as normas contidas no regimento e as práticas cotidianas, o que só será superado com o trabalho de base contínuo. Outro fato evidenciado é o de que não se discute feminismo no movimento em sentido geral, a não ser em grupos muito específicos (e minoritários) de militantes do MST que são também feministas.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organização interna dos assentamentos e acampamentos se dá através da constituição de núcleos (com 10 a 30 famílias), nos quais organizam-se os principais serviços e tarefas: alimentação, segurança, saúde, higiene, educação, religião, etc.;</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há ainda um sistema de coordenação geral do acampamento/assentamento. Estas estruturas são norteadas pelos princípios da divisão de tarefas e da direção coletiva. A fim de assegurar a participação das mulheres em todas as atividades (inclusive nas coordenações) o regimento do movimento determina que deva haver paridade em todos os núcleos, coordenações e brigadas. Em termos concretos, as mulheres organizadas no MST desenvolvem atividades ligadas a gênero tanto nos assentamentos e acampamentos como em eventos externos.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Educadas na tradição da diferenciação sexual dos espaços e papéis sociais, a maioria das assentadas, em que pese o relativo envolvimento com a luta social em suas trajetórias individuais e coletivas, entendem que as questões da política e da produção ainda são temas prioritariamente masculinos e na sua argumentação para a não participação reforçam as temáticas e encargos tradicionais da mulher. Demonstram, com isso, que acabaram por naturalizar as relações de dominação a que foram submetidas ao longo da construção do que chamam de “identidade de gênero”.</w:t>
      </w:r>
    </w:p>
    <w:p>
      <w:pPr>
        <w:suppressAutoHyphens w:val="true"/>
        <w:spacing w:before="0" w:after="0" w:line="360"/>
        <w:ind w:right="0" w:left="2268"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A idealização produzida e difundida pelo MST a respeito da construção de “novas relações de gênero” (MST, 1998) encontra no </w:t>
      </w:r>
      <w:r>
        <w:rPr>
          <w:rFonts w:ascii="Times New Roman" w:hAnsi="Times New Roman" w:cs="Times New Roman" w:eastAsia="Times New Roman"/>
          <w:i/>
          <w:color w:val="000000"/>
          <w:spacing w:val="0"/>
          <w:position w:val="0"/>
          <w:sz w:val="20"/>
          <w:shd w:fill="auto" w:val="clear"/>
        </w:rPr>
        <w:t xml:space="preserve">habitus </w:t>
      </w:r>
      <w:r>
        <w:rPr>
          <w:rFonts w:ascii="Times New Roman" w:hAnsi="Times New Roman" w:cs="Times New Roman" w:eastAsia="Times New Roman"/>
          <w:color w:val="000000"/>
          <w:spacing w:val="0"/>
          <w:position w:val="0"/>
          <w:sz w:val="20"/>
          <w:shd w:fill="auto" w:val="clear"/>
        </w:rPr>
        <w:t xml:space="preserve">tradicional do campesinato meridional a maior resistência: a conquista da terra, para a maior parte dos assentados e assentadas, significa a reorganização do cotidiano a partir dos valores que conformam o </w:t>
      </w:r>
      <w:r>
        <w:rPr>
          <w:rFonts w:ascii="Times New Roman" w:hAnsi="Times New Roman" w:cs="Times New Roman" w:eastAsia="Times New Roman"/>
          <w:i/>
          <w:color w:val="000000"/>
          <w:spacing w:val="0"/>
          <w:position w:val="0"/>
          <w:sz w:val="20"/>
          <w:shd w:fill="auto" w:val="clear"/>
        </w:rPr>
        <w:t xml:space="preserve">habitus </w:t>
      </w:r>
      <w:r>
        <w:rPr>
          <w:rFonts w:ascii="Times New Roman" w:hAnsi="Times New Roman" w:cs="Times New Roman" w:eastAsia="Times New Roman"/>
          <w:color w:val="000000"/>
          <w:spacing w:val="0"/>
          <w:position w:val="0"/>
          <w:sz w:val="20"/>
          <w:shd w:fill="auto" w:val="clear"/>
        </w:rPr>
        <w:t xml:space="preserve">do colono, (re)produzindo práticas culturais que circunscrevem às mulheres o destino histórica e socialmente construído para o gênero feminino (DELGADO, CAUME, 2008, p. 5).</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Presentes em todos os setores e instâncias políticas do movimento, elas têm sido fundamentais para o desenvolvimento das ações e conquistas em todos os níveis, mas apesar disso lamentam o não reconhecimento e o desprestígio que, por vezes não raras, é associado a sua participação. A experiência das mulheres nas ocupações, nos enfrentamentos e nas negociações, na lavoura, em suas casas ou barracos de lona, nas escolas, nas associações, nas cooperativas, nas secretarias, resultou, já no segundo ano de existência do movimento no Coletivo Nacional das Mulheres do MST, que se traduz em um espaço de debate permanente a respeito das ações das mulheres na luta pela terra e das relações sociais em suas diferentes dimensões (SCHWENDLER, 2008). Todas as entrevistadas fazem referência a esse fato e às demais conquistas obtidas a partir de então, quando as mulheres sem terra descobriram que unidas entre si elas poderiam lutar mais e melhor.</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3.2. As Mulheres no Movimento dos Sem Teto da Bahia</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Abordaremos o MSTB considerando a presença predominante das mulheres negras (que chega a mais de 70% em algumas ocupações) e identificando no próprio espaço do movimento um campo de reprodução das desigualdades presentes na sociedade. Cabe também reconhecer a existência de uma dificuldade concreta de apropriação da importância e do papel da mulher na luta por parte dos militantes (inclusive das próprias mulheres) que integram os movimentos sociais em geral como foi colocado anteriormente, o que se aplica tanto ao MSTB quanto ao MST, conforme observamos durantes as entrevistas.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No fim dos anos 90 Salvador contava com 360 favelas (a maioria em áreas públicas), habitadas por cerca de 600.000 pessoas. Resultado da produção do espaço da cidade, como conseqüência do lado perverso do processo de metropolização, com conseqüente periferização e precarização das áreas de ocupação recente das fronteiras ao norte da cidade, que passaram a contar com o aumento do contingente populacional. O quadro de demanda reprimida e falta de alternativas claras que apontassem para a resolução do problema histórico do </w:t>
      </w:r>
      <w:r>
        <w:rPr>
          <w:rFonts w:ascii="Times New Roman" w:hAnsi="Times New Roman" w:cs="Times New Roman" w:eastAsia="Times New Roman"/>
          <w:i/>
          <w:color w:val="000000"/>
          <w:spacing w:val="0"/>
          <w:position w:val="0"/>
          <w:sz w:val="24"/>
          <w:shd w:fill="auto" w:val="clear"/>
        </w:rPr>
        <w:t xml:space="preserve">déficit</w:t>
      </w:r>
      <w:r>
        <w:rPr>
          <w:rFonts w:ascii="Times New Roman" w:hAnsi="Times New Roman" w:cs="Times New Roman" w:eastAsia="Times New Roman"/>
          <w:color w:val="000000"/>
          <w:spacing w:val="0"/>
          <w:position w:val="0"/>
          <w:sz w:val="24"/>
          <w:shd w:fill="auto" w:val="clear"/>
        </w:rPr>
        <w:t xml:space="preserve">  habitacional em Salvador, levou a formação, no dia 20 de julho de 2003, do Movimento dos Sem Teto da Bahia, que foi se expandindo ao longo dos anos, numa dinâmica de ocupações bastante intensa e com inúmeras conquistas significativas. A identidade deste movimento está forjada no documento Quem Somos:</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A existência do MSTB, de brancos pobres e de descendentes de homens e mulheres “batizados” a ferro e fogo como “indígenas” se entrelaça com cores, traços e gestos de uma fortíssima presença de negras e negros, formando um conjunto simbólico que desde o período colonial tentou realizar sonhos de justiça e igualdade social (MSTB</w:t>
      </w:r>
      <w:r>
        <w:rPr>
          <w:rFonts w:ascii="Times New Roman" w:hAnsi="Times New Roman" w:cs="Times New Roman" w:eastAsia="Times New Roman"/>
          <w:i/>
          <w:color w:val="000000"/>
          <w:spacing w:val="0"/>
          <w:position w:val="0"/>
          <w:sz w:val="20"/>
          <w:shd w:fill="auto" w:val="clear"/>
        </w:rPr>
        <w:t xml:space="preserve"> Apud </w:t>
      </w:r>
      <w:r>
        <w:rPr>
          <w:rFonts w:ascii="Times New Roman" w:hAnsi="Times New Roman" w:cs="Times New Roman" w:eastAsia="Times New Roman"/>
          <w:color w:val="000000"/>
          <w:spacing w:val="0"/>
          <w:position w:val="0"/>
          <w:sz w:val="20"/>
          <w:shd w:fill="auto" w:val="clear"/>
        </w:rPr>
        <w:t xml:space="preserve">CLOUX, 2007, p. 55).</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Atualmente o MSTB está organizado em estruturas que propõem a descentralização e o empoderamento dos militantes de sua base, com as chamadas ocupações, núcleos e comunidades que possuem funções não muito rígidas, pois diante da necessidade de sustentar suas famílias através de atividades informais (uma vez que mais de 90% dos integrantes do movimento são desempregados ou não possuem vínculo empregatício formal), existe um grupo relativamente pequeno de coordenadores/as que acabam sobrecarregados/as por conta da dificuldade de participação da maioria dos integrantes do movimento. Ao longo do presente ano, o MSTB tem empreendido o esforço coletivo de construir um espaço de formação política para seus integrantes, dividido mensalmente em módulos (que incluiu um módulo com a temática de gênero,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também orientado para a problemática concepção “culturalista” do termo, supracitada). O objetivo precípuo deste curso é o de formar lideranças e dirimir as desigualdades entre os militantes como um todo, o que inclui a desigualdade de participação quantitativa e qualitativa entre homens e mulheres.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realização desta pesquisa junto às militantes do MSTB revelou a dimensão das graves distorções dessas relações: ainda que sejam maioria nas ocupações do movimento, as mulheres não ocupam proporcionalmente funções na coordenação estadual ou mesmo dentro das ocupações, reproduzindo o que Michael Kimmel (</w:t>
      </w:r>
      <w:r>
        <w:rPr>
          <w:rFonts w:ascii="Times New Roman" w:hAnsi="Times New Roman" w:cs="Times New Roman" w:eastAsia="Times New Roman"/>
          <w:i/>
          <w:color w:val="000000"/>
          <w:spacing w:val="0"/>
          <w:position w:val="0"/>
          <w:sz w:val="24"/>
          <w:shd w:fill="auto" w:val="clear"/>
        </w:rPr>
        <w:t xml:space="preserve">Apud</w:t>
      </w:r>
      <w:r>
        <w:rPr>
          <w:rFonts w:ascii="Times New Roman" w:hAnsi="Times New Roman" w:cs="Times New Roman" w:eastAsia="Times New Roman"/>
          <w:color w:val="000000"/>
          <w:spacing w:val="0"/>
          <w:position w:val="0"/>
          <w:sz w:val="24"/>
          <w:shd w:fill="auto" w:val="clear"/>
        </w:rPr>
        <w:t xml:space="preserve"> SARDENBERG, 2004, p. 18) se refere como sendo “o privilégio da masculinidade, privilégios que os homens sempre desfrutaram”, a exemplo do exercício do poder, o que se torna mais gritante quando comparamos a realidade do MSTB com a do MST, no qual estas distorções são atenuadas pelas diretrizes de eqüidade estabelecidas já no segundo ano de existência do movimento.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Tais desafios levaram as mulheres do MSTB a criar em 2007 o grupo Guerreiras Sem Teto, por considerar que se fazia necessário mobilizar as mulheres do MSTB para combater a dupla opressão que enfrentam: dentro do movimento e na luta pela moradia na esfera pública; e dentro de seus lares, nas relações inter-pessoais, na esfera privada. Nesse grupo de mulheres, que se reúne regularmente e articula atividades políticas junto a todas as ocupações do movimento, são discutidas desde questões menores referentes aos problemas cotidianos observados nas ocupações em geral, até as políticas públicas de caráter estrutural que lhes interessa, passando pelo debate político dos dissensos internos pertinentes ao MSTB. Em um dos documentos produzidos por este grupo de mulheres, elas concluem que: </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12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Cinco anos se passaram e em Salvador [...] a situação dos “sem tetos” continua a mesma ou pouco mudou; poucas casas, em vista do </w:t>
      </w:r>
      <w:r>
        <w:rPr>
          <w:rFonts w:ascii="Times New Roman" w:hAnsi="Times New Roman" w:cs="Times New Roman" w:eastAsia="Times New Roman"/>
          <w:i/>
          <w:color w:val="auto"/>
          <w:spacing w:val="0"/>
          <w:position w:val="0"/>
          <w:sz w:val="20"/>
          <w:shd w:fill="auto" w:val="clear"/>
        </w:rPr>
        <w:t xml:space="preserve">déficit</w:t>
      </w:r>
      <w:r>
        <w:rPr>
          <w:rFonts w:ascii="Times New Roman" w:hAnsi="Times New Roman" w:cs="Times New Roman" w:eastAsia="Times New Roman"/>
          <w:color w:val="auto"/>
          <w:spacing w:val="0"/>
          <w:position w:val="0"/>
          <w:sz w:val="20"/>
          <w:shd w:fill="auto" w:val="clear"/>
        </w:rPr>
        <w:t xml:space="preserve"> habitacional, que nós do movimento acreditamos ser de 150.000, foram construídas; poucas famílias foram abrigadas; quase nenhuma política habitacional para resolver o problema das famílias que têm renda mensal abaixo de 1 salário mínimo foi implementada. E aí vale falar do PSH – Programa de Subsídio Habitacional – ao qual muito poucos têm acesso, e do Crédito Solidário que é um programa que não serve para quem é “sem teto”, já que sabemos que um dos nossos grandes problemas é também sermos “sem emprego”, e ele exige uma renda mensal fixa de, no mínimo, 1 salário mínimo. Então, continuamos na luta pela Reforma Urbana. QUEREMOS TETO! Mas, também queremos, acima de tudo, decidir sobre a política urbanística, sobre o nosso cadastramento, sobre a nossa gente, sobre os nossos projetos de comunidade, e exigimos disponibilidade de infra-estrutura, serviços urbanos, equipamentos, respeito [...] (MSTB, 2007, p. 3). </w:t>
      </w:r>
    </w:p>
    <w:p>
      <w:pPr>
        <w:suppressAutoHyphens w:val="true"/>
        <w:spacing w:before="0" w:after="120" w:line="360"/>
        <w:ind w:right="0" w:left="0" w:firstLine="0"/>
        <w:jc w:val="left"/>
        <w:rPr>
          <w:rFonts w:ascii="Times New Roman" w:hAnsi="Times New Roman" w:cs="Times New Roman" w:eastAsia="Times New Roman"/>
          <w:color w:val="auto"/>
          <w:spacing w:val="0"/>
          <w:position w:val="0"/>
          <w:sz w:val="20"/>
          <w:shd w:fill="auto" w:val="clear"/>
        </w:rPr>
      </w:pPr>
    </w:p>
    <w:p>
      <w:pPr>
        <w:suppressAutoHyphens w:val="true"/>
        <w:spacing w:before="0" w:after="120" w:line="360"/>
        <w:ind w:right="0" w:left="0" w:firstLine="0"/>
        <w:jc w:val="left"/>
        <w:rPr>
          <w:rFonts w:ascii="Times New Roman" w:hAnsi="Times New Roman" w:cs="Times New Roman" w:eastAsia="Times New Roman"/>
          <w:color w:val="auto"/>
          <w:spacing w:val="0"/>
          <w:position w:val="0"/>
          <w:sz w:val="20"/>
          <w:shd w:fill="auto" w:val="clear"/>
        </w:rPr>
      </w:pPr>
    </w:p>
    <w:p>
      <w:pPr>
        <w:suppressAutoHyphens w:val="true"/>
        <w:spacing w:before="0" w:after="120" w:line="360"/>
        <w:ind w:right="0" w:left="0" w:firstLine="0"/>
        <w:jc w:val="left"/>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As militantes têm construído um projeto das mulheres, na perspectiva de gênero porém, em nenhum momento se reconhecem ou se colocam enquanto “feministas” - assim com as mulheres sem terra - dentro do projeto mais amplo do movimento.  Para elas não se trata de empreender ações “paralelas” aos objetivos coletivos do MSTB ou promover qualquer tipo de lógica separatista em relação aos homens. Pelo contrário, trata-se de complementar o projeto político do MSTB, com base em um hiato que sempre as incomodou: apesar de serem maioria no movimento isto não se reflete na coordenação do mesmo. O que as Guerreiras Sem Teto colocam é que para além da bandeira de luta pela moradia, o movimento se constitui hoje num espaço de formação para todos e todas que dele fazem parte; mas, é, sobretudo, para as mulheres, que ele vem se configurando como um espaço emancipatório. Tendo em conta que as mesmas são educadas para o repetitivo trabalho doméstico, estar atualmente disputando a hegemonia na vida pública e nas estruturas de poder, requer um profundo entendimento do sentido da luta feminista, da história dos movimentos populares, da luta de classes e, sobretudo, da história das mulheres e das suas lutas emancipatórias.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partir da luta e do tensionamento empreendido pelas militantes em prol da efetiva participação das mulheres dentro do movimento, os integrantes do mesmo passam a entender que a mulher pode se tornar uma importante aliada nas mais diversas atividades. Elas são integradas nos mutirões de construção, nas cooperativas de auto-gestão, nos espaços deliberativos do movimento e nas esferas públicas de discussão das políticas sociais. Todavia, aos mecanismos constrangedores à participação se somam práticas de resistência das próprias militantes, que em circunstâncias não raras, defendem as prioridades da esfera doméstica em relação à participação política. </w:t>
      </w:r>
    </w:p>
    <w:p>
      <w:pPr>
        <w:suppressAutoHyphens w:val="true"/>
        <w:spacing w:before="0" w:after="12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Claro está para as integrantes do MSTB que a discussão em torno da participação da mulher é central no movimento, no que diz respeito principalmente à sua organização política, à materialização em sentido amplo dos objetivos do movimento e que vem se efetivando através da construção de uma cultura política de horizontalidade e da simbologia inspirada nas lutas de </w:t>
      </w:r>
      <w:r>
        <w:rPr>
          <w:rFonts w:ascii="Times New Roman" w:hAnsi="Times New Roman" w:cs="Times New Roman" w:eastAsia="Times New Roman"/>
          <w:i/>
          <w:color w:val="auto"/>
          <w:spacing w:val="0"/>
          <w:position w:val="0"/>
          <w:sz w:val="24"/>
          <w:shd w:fill="auto" w:val="clear"/>
        </w:rPr>
        <w:t xml:space="preserve">Conselheiros </w:t>
      </w:r>
      <w:r>
        <w:rPr>
          <w:rFonts w:ascii="Times New Roman" w:hAnsi="Times New Roman" w:cs="Times New Roman" w:eastAsia="Times New Roman"/>
          <w:color w:val="auto"/>
          <w:spacing w:val="0"/>
          <w:position w:val="0"/>
          <w:sz w:val="24"/>
          <w:shd w:fill="auto" w:val="clear"/>
        </w:rPr>
        <w:t xml:space="preserve">sim, mas também nas de </w:t>
      </w:r>
      <w:r>
        <w:rPr>
          <w:rFonts w:ascii="Times New Roman" w:hAnsi="Times New Roman" w:cs="Times New Roman" w:eastAsia="Times New Roman"/>
          <w:i/>
          <w:color w:val="auto"/>
          <w:spacing w:val="0"/>
          <w:position w:val="0"/>
          <w:sz w:val="24"/>
          <w:shd w:fill="auto" w:val="clear"/>
        </w:rPr>
        <w:t xml:space="preserve">Zeferinas</w:t>
      </w:r>
      <w:r>
        <w:rPr>
          <w:rFonts w:ascii="Times New Roman" w:hAnsi="Times New Roman" w:cs="Times New Roman" w:eastAsia="Times New Roman"/>
          <w:color w:val="auto"/>
          <w:spacing w:val="0"/>
          <w:position w:val="0"/>
          <w:sz w:val="24"/>
          <w:shd w:fill="auto" w:val="clear"/>
        </w:rPr>
        <w:t xml:space="preserve">. As Guerreiras Sem Teto estão construindo um processo coletivo de transformação da prática política de exclusão e não reconhecimento das mulheres nos movimentos sociais. Enfim, lutam para ampliar sua luta, de modo que ela traga grandes mudanças na atual estrutura da sociedade. </w:t>
      </w:r>
    </w:p>
    <w:p>
      <w:pPr>
        <w:suppressAutoHyphens w:val="true"/>
        <w:spacing w:before="0" w:after="12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suas próprias palavras: “Queremos que a nossa LUTA que se iniciou por “um teto”, venha a mover outras lutas, assim como aconteceu na década de 40, quando através das mobilizações populares por moradia, começaram a surgir a organização da Uniões Feministas” (MONTENEGRO, 2002, p. 67). </w:t>
      </w:r>
    </w:p>
    <w:p>
      <w:pPr>
        <w:suppressAutoHyphens w:val="true"/>
        <w:spacing w:before="0" w:after="12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0"/>
          <w:shd w:fill="auto" w:val="clear"/>
        </w:rPr>
        <w:tab/>
      </w:r>
      <w:r>
        <w:rPr>
          <w:rFonts w:ascii="Times New Roman" w:hAnsi="Times New Roman" w:cs="Times New Roman" w:eastAsia="Times New Roman"/>
          <w:color w:val="000000"/>
          <w:spacing w:val="0"/>
          <w:position w:val="0"/>
          <w:sz w:val="24"/>
          <w:shd w:fill="auto" w:val="clear"/>
        </w:rPr>
        <w:t xml:space="preserve">Sendo este, indubitavelmente, um dos aspectos mais marcantes na dinâmica do MSTB, é preocupante a constatação obtida através das entrevistas: apesar de maioria as militantes, além da luta por habitação, enfrentam ainda o machismo e o androcentrismo dentro do movimento, muitas são vítimas de violência doméstica; sendo que uma parcela considerável delas afirma enfrentar problemas de saúde (inclusive depressão) em decorrência de separações conjugais traumáticas e da solidão imposta pelo papel de mães solteiras e únicas responsáveis pelas suas famílias, o que lhes inflige uma dupla e  árdua jornada de trabalho: em casa nas atividades domésticas familiares; e na rua, para sustentarem suas famílias. Muitas destas mulheres começaram a trabalhar ainda na infância como empregadas domésticas, o que evidencia outra questão social seriíssima: a exploração do trabalho infantil feminino em atividades domésticas e em condições precárias. Toda essa gama de complexas questões se une para enriquecer a luta dessas mulheres que, segundo suas próprias palavras, sonham com muito mais do que um teto.</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POSSÍVEIS CONCLUSÕES</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Da realidade desses dois coletivos e da vivência de suas mulheres, observamos que para além da dicotomia rural/urbano, o fato das sem terra caminharem sobre vinte e cinco anos de história de luta coletiva as coloca em certa vantagem diante das sem teto baianas que se organizaram a pouco mais de três anos, o que, de forma alguma desvaloriza os esforços destas últimas. Em comum trazem a desidentificação com as feministas e com o feminismo enquanto bandeira de luta, ainda que contraditoriamente bebam em muitas de suas fontes, e preservam a valorização da família enquanto elemento central - para a maioria delas, a principal motivação para estarem no movimento, o que do ponto de vista da história encerra uma contradição já que se encontra na família (e na propriedade privada) a origem de sua opressão.</w:t>
      </w:r>
    </w:p>
    <w:p>
      <w:pPr>
        <w:suppressAutoHyphens w:val="true"/>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Ainda assim, na luta pela terra, desde os trabalhos de base, portanto antes mesmo da ocupação, predomina a participação da família tanto em meio urbano quanto rural. Sendo a coesão uma condição básica na organização das lutas em movimentos populares,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atuação e organização das mulheres militantes no sentido de romper com os padrões tradicionais hegemônicos de sociedades classistas e androcêntricas longe de se constituir tarefa fácil, é, antes de tudo, um desafio indispensável para assegurar o espaço das mulheres e a eqüidade na luta.</w:t>
      </w:r>
      <w:r>
        <w:rPr>
          <w:rFonts w:ascii="Times New Roman" w:hAnsi="Times New Roman" w:cs="Times New Roman" w:eastAsia="Times New Roman"/>
          <w:color w:val="auto"/>
          <w:spacing w:val="0"/>
          <w:position w:val="0"/>
          <w:sz w:val="24"/>
          <w:shd w:fill="auto" w:val="clear"/>
        </w:rPr>
        <w:t xml:space="preserve"> Estudos (REED, 2008; ENGELS, 1995) revelam que as raízes da opressão da mulher estão fincadas na propriedade privada e mostram que na maior parte do tempo desde que a humanidade existe sobre a terra, as mulheres não apenas não eram o sexo oprimido, mas desempenhavam papel preponderante: a sociedade se construiu sobre o matriarcado, no qual as relações sociais, culturais e sexuais eram igualitárias. Logo, a opressão da mulher surge junto com a monogamia, sendo fruto da sociedade de classes. Nasce junto com a exploração, a propriedade privada, o Estado, a família, sendo, portanto produto social e histórico e não natural, biológico ou divino. Apontamos ao longo dessas páginas alguns dos limites da chamada “questão de gênero” (e as teorias que lhe dão suporte) e sublinhamos que se por um lado esta pesquisa constatou que em ambos os movimentos, MST e MSTB, existe um projeto político específico das mulheres por conta do reconhecimento de sua importância para a luta e ao mesmo tempo da necessidade de fomentar uma maior participação das mesmas; por outro lado, é necessário que ambos os movimentos reavaliem as escolhas teóricas que orientam tais projetos políticos, uma vez que durante todas as entrevistas as militantes encontraram dificuldades em articular a concepção liberal-burguesa (e reformista) de gênero com a pauta política mais ampla de ambos os movimentos. Ou seja, existe uma contradição entre a teoria adotada e a prática empreendida que, para nós, se constitui no principal obstáculo ao avanço da luta dessas mulheres. </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Ao deslocar a luta pela emancipação da mulher de um projeto mais amplo, profundo e estrutural, relacionado com a transformação radical da sociedade, as teorias feministas e os movimentos feministas e de mulheres cujo fundamento estrutural é o conceito de gênero, parecem não perceber ou ignorar que enfraquecem o projeto revolucionário e as suas próprias lutas ao afastarem-se dos princípios socialistas.</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Realmente, a igualdade das mulheres, em sentido não-unilateral, parece ter limites bem concretos, no âmbito da sociedade capitalista e da democracia burguesa. Contudo, a superação de todas as desigualdades culturais, sociais, psicológicas, sexuais e da própria divisão natural do trabalho, não pode ser considerada tão-somente uma utopia adiada para uma hipotética sociedade socialista do futuro. Sob nossos olhos, concretamente, muitas vezes, já foi e é iniciada a superação, mais ampla, da desigualdade feminina. Ali onde a negação revolucionária da sociedade capitalista é iniciada, percebem-se claros avanços nas relações cotidianas entre mulheres e homens, no sentido de uma sempre crescente igualdade democrático-socialista (BENOIT, 2000, p. 87).</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uppressAutoHyphens w:val="true"/>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Além disso, a circunscrição às tarefas cotidianamente desempenhadas na família coloca a indagação a respeito da participação feminina na organização das lutas pela terra, que em geral se restringem às equipes de alimentação, higiene, saúde, educação – e nas diversas manifestações organizadas para pressionar o governo e sensibilizar a sociedade. Como vimos, a participação feminina é assídua, porém existem fatores limitantes que eventualmente interferem, como o fato de precisarem cuidar das crianças ou em função de uma gravidez. Todavia, um trabalho sistemático e disciplinar voltado à inserção da mulher nas diferentes instâncias organizativas tem sido realizado nos movimentos sociais de luta pela terra, seja no campo (onde o MST é o exemplo mais marcante) ou nas cidades. Como alerta, apesar da expressa deliberação do MST supracitada, para que todas as “coordenações de núcleos de base” sejam exercidas, obrigatoriamente, por um homem e por uma mulher, ressaltamos que pesquisas (</w:t>
      </w:r>
      <w:r>
        <w:rPr>
          <w:rFonts w:ascii="Times New Roman" w:hAnsi="Times New Roman" w:cs="Times New Roman" w:eastAsia="Times New Roman"/>
          <w:color w:val="231F20"/>
          <w:spacing w:val="0"/>
          <w:position w:val="0"/>
          <w:sz w:val="24"/>
          <w:shd w:fill="auto" w:val="clear"/>
        </w:rPr>
        <w:t xml:space="preserve">DEERE</w:t>
      </w:r>
      <w:r>
        <w:rPr>
          <w:rFonts w:ascii="Times New Roman" w:hAnsi="Times New Roman" w:cs="Times New Roman" w:eastAsia="Times New Roman"/>
          <w:color w:val="000000"/>
          <w:spacing w:val="0"/>
          <w:position w:val="0"/>
          <w:sz w:val="24"/>
          <w:shd w:fill="auto" w:val="clear"/>
        </w:rPr>
        <w:t xml:space="preserve">, 2004; DELGADO, CAUME, 2008) revelam que a existência de uma coordenadora em alguns casos é meramente formal, o que demonstra que a prática é menos derivada de uma orientação externa do que da ratificação de formas de pensar e comportamentos sociais já incorporados e subjetivados pelos próprios integrantes de movimentos. O objetivo, entretanto, é válido: pretendem fazer com que as mulheres atuem decisivamente no movimento. Por fim, encerramos este texto com uma reflexão que sintetiza nossos objetivos enquanto feministas, militantes das causas sociais, mulheres sem terra, mulheres sem teto e serve como um incentivo para o exercício da auto-crítica e para reconhecer a consistência da luta:</w:t>
      </w:r>
    </w:p>
    <w:p>
      <w:pPr>
        <w:suppressAutoHyphen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240"/>
        <w:ind w:right="0" w:left="226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0"/>
          <w:shd w:fill="auto" w:val="clear"/>
        </w:rPr>
        <w:t xml:space="preserve">Atualmente, os movimentos populares da América Latina, na concreticidade de práticas político-revolucionárias cotidianas, recolocam a questão democrático-socialista das mulheres. [...] nos acampamentos do MST, no processo de luta social, as mulheres trabalhadoras adquirem consciência política e direitos que a sociedade burguesa lhes nega. Também em momentos mais esporádicos de luta, por exemplo em grandes greves, as mulheres trabalhadoras, freqüentemente, já ali vivem a experiência da igualdade que está contida na própria oposição operária à exploração burguesa da força de trabalho (BENOIT, 2000, p. 87-88).</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uppressAutoHyphens w:val="true"/>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BAHIA. </w:t>
      </w:r>
      <w:r>
        <w:rPr>
          <w:rFonts w:ascii="Times New Roman" w:hAnsi="Times New Roman" w:cs="Times New Roman" w:eastAsia="Times New Roman"/>
          <w:b/>
          <w:color w:val="auto"/>
          <w:spacing w:val="0"/>
          <w:position w:val="0"/>
          <w:sz w:val="24"/>
          <w:shd w:fill="auto" w:val="clear"/>
        </w:rPr>
        <w:t xml:space="preserve">Relatório Síntese. Conflitos pela terra: dados urbanos e rurais para o Estado da Bahia. </w:t>
      </w:r>
      <w:r>
        <w:rPr>
          <w:rFonts w:ascii="Times New Roman" w:hAnsi="Times New Roman" w:cs="Times New Roman" w:eastAsia="Times New Roman"/>
          <w:color w:val="auto"/>
          <w:spacing w:val="0"/>
          <w:position w:val="0"/>
          <w:sz w:val="24"/>
          <w:shd w:fill="auto" w:val="clear"/>
        </w:rPr>
        <w:t xml:space="preserve">Salvador: SEI, 2006, Mimeografado.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BENOIT, Lelita Oliveira. Feminismo, gênero e revolução. </w:t>
      </w:r>
      <w:r>
        <w:rPr>
          <w:rFonts w:ascii="Times New Roman" w:hAnsi="Times New Roman" w:cs="Times New Roman" w:eastAsia="Times New Roman"/>
          <w:b/>
          <w:color w:val="auto"/>
          <w:spacing w:val="0"/>
          <w:position w:val="0"/>
          <w:sz w:val="24"/>
          <w:shd w:fill="auto" w:val="clear"/>
        </w:rPr>
        <w:t xml:space="preserve">Dossiê Crítica Marxista</w:t>
      </w:r>
      <w:r>
        <w:rPr>
          <w:rFonts w:ascii="Times New Roman" w:hAnsi="Times New Roman" w:cs="Times New Roman" w:eastAsia="Times New Roman"/>
          <w:color w:val="auto"/>
          <w:spacing w:val="0"/>
          <w:position w:val="0"/>
          <w:sz w:val="24"/>
          <w:shd w:fill="auto" w:val="clear"/>
        </w:rPr>
        <w:t xml:space="preserve">, n. 11, p. 76-88, 2000.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Secretaria Especial dos Direitos Humanos da Presidência da República.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Programa Nacional de Direitos Humanos (PNDH-3)</w:t>
      </w:r>
      <w:r>
        <w:rPr>
          <w:rFonts w:ascii="Times New Roman" w:hAnsi="Times New Roman" w:cs="Times New Roman" w:eastAsia="Times New Roman"/>
          <w:color w:val="auto"/>
          <w:spacing w:val="0"/>
          <w:position w:val="0"/>
          <w:sz w:val="24"/>
          <w:shd w:fill="auto" w:val="clear"/>
        </w:rPr>
        <w:t xml:space="preserve">. Brasília: Secretaria Especial dos Direitos Humanos da Presidência da República (SEDH/PR), 2010.</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Lei nº 8.629, de 25 de fevereiro de 1993. Dispõe sobre a regulamentação dos dispositivos constitucionais relativos à reforma agrária, previstos no Capítulo III, Título VII, da Constituição Federal. </w:t>
      </w:r>
      <w:r>
        <w:rPr>
          <w:rFonts w:ascii="Times New Roman" w:hAnsi="Times New Roman" w:cs="Times New Roman" w:eastAsia="Times New Roman"/>
          <w:b/>
          <w:color w:val="auto"/>
          <w:spacing w:val="0"/>
          <w:position w:val="0"/>
          <w:sz w:val="24"/>
          <w:shd w:fill="auto" w:val="clear"/>
        </w:rPr>
        <w:t xml:space="preserve">Diário Oficial da União</w:t>
      </w:r>
      <w:r>
        <w:rPr>
          <w:rFonts w:ascii="Times New Roman" w:hAnsi="Times New Roman" w:cs="Times New Roman" w:eastAsia="Times New Roman"/>
          <w:color w:val="auto"/>
          <w:spacing w:val="0"/>
          <w:position w:val="0"/>
          <w:sz w:val="24"/>
          <w:shd w:fill="auto" w:val="clear"/>
        </w:rPr>
        <w:t xml:space="preserve">, Brasília, 26 fev. 1993.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CARVALHO, Maria Eulina Pessoa de. </w:t>
      </w:r>
      <w:r>
        <w:rPr>
          <w:rFonts w:ascii="Times New Roman" w:hAnsi="Times New Roman" w:cs="Times New Roman" w:eastAsia="Times New Roman"/>
          <w:b/>
          <w:color w:val="auto"/>
          <w:spacing w:val="0"/>
          <w:position w:val="0"/>
          <w:sz w:val="24"/>
          <w:shd w:fill="auto" w:val="clear"/>
        </w:rPr>
        <w:t xml:space="preserve">Consciência de gênero na escola. </w:t>
      </w:r>
      <w:r>
        <w:rPr>
          <w:rFonts w:ascii="Times New Roman" w:hAnsi="Times New Roman" w:cs="Times New Roman" w:eastAsia="Times New Roman"/>
          <w:color w:val="auto"/>
          <w:spacing w:val="0"/>
          <w:position w:val="0"/>
          <w:sz w:val="24"/>
          <w:shd w:fill="auto" w:val="clear"/>
        </w:rPr>
        <w:t xml:space="preserve">João Pessoa: Ed. Universitária, 2000.</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CASTRO, Mary Garcia. Alquimia de categorias sociais na produção de sujeitos políticos. </w:t>
      </w:r>
      <w:r>
        <w:rPr>
          <w:rFonts w:ascii="Times New Roman" w:hAnsi="Times New Roman" w:cs="Times New Roman" w:eastAsia="Times New Roman"/>
          <w:b/>
          <w:color w:val="auto"/>
          <w:spacing w:val="0"/>
          <w:position w:val="0"/>
          <w:sz w:val="24"/>
          <w:shd w:fill="auto" w:val="clear"/>
        </w:rPr>
        <w:t xml:space="preserve">Revista Estudos Feministas</w:t>
      </w:r>
      <w:r>
        <w:rPr>
          <w:rFonts w:ascii="Times New Roman" w:hAnsi="Times New Roman" w:cs="Times New Roman" w:eastAsia="Times New Roman"/>
          <w:color w:val="auto"/>
          <w:spacing w:val="0"/>
          <w:position w:val="0"/>
          <w:sz w:val="24"/>
          <w:shd w:fill="auto" w:val="clear"/>
        </w:rPr>
        <w:t xml:space="preserve">, Florianópolis, vol. 0, nº 0, 1992, p. 57-73.</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CLOUX, Raphael Fontes. </w:t>
      </w:r>
      <w:r>
        <w:rPr>
          <w:rFonts w:ascii="Times New Roman" w:hAnsi="Times New Roman" w:cs="Times New Roman" w:eastAsia="Times New Roman"/>
          <w:b/>
          <w:color w:val="auto"/>
          <w:spacing w:val="0"/>
          <w:position w:val="0"/>
          <w:sz w:val="24"/>
          <w:shd w:fill="auto" w:val="clear"/>
        </w:rPr>
        <w:t xml:space="preserve">MSTB: A trajetória do Movimento dos Sem Teto de Salvador/Bahia.</w:t>
      </w:r>
      <w:r>
        <w:rPr>
          <w:rFonts w:ascii="Times New Roman" w:hAnsi="Times New Roman" w:cs="Times New Roman" w:eastAsia="Times New Roman"/>
          <w:color w:val="auto"/>
          <w:spacing w:val="0"/>
          <w:position w:val="0"/>
          <w:sz w:val="24"/>
          <w:shd w:fill="auto" w:val="clear"/>
        </w:rPr>
        <w:t xml:space="preserve"> Salvador: Ed. do Autor, 2008.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CRUZ, Fábio Souza da. </w:t>
      </w:r>
      <w:r>
        <w:rPr>
          <w:rFonts w:ascii="Times New Roman" w:hAnsi="Times New Roman" w:cs="Times New Roman" w:eastAsia="Times New Roman"/>
          <w:b/>
          <w:color w:val="auto"/>
          <w:spacing w:val="0"/>
          <w:position w:val="0"/>
          <w:sz w:val="24"/>
          <w:shd w:fill="auto" w:val="clear"/>
        </w:rPr>
        <w:t xml:space="preserve">A cultura da mídia no Rio Grande do Sul: O caso MST e Jornal do Almoço. </w:t>
      </w:r>
      <w:r>
        <w:rPr>
          <w:rFonts w:ascii="Times New Roman" w:hAnsi="Times New Roman" w:cs="Times New Roman" w:eastAsia="Times New Roman"/>
          <w:color w:val="auto"/>
          <w:spacing w:val="0"/>
          <w:position w:val="0"/>
          <w:sz w:val="24"/>
          <w:shd w:fill="auto" w:val="clear"/>
        </w:rPr>
        <w:t xml:space="preserve">2006. 227 f. Tese (Doutorado em Comunicação Social) - Pontifícia Universidade Católica do Rio Grande do Sul, Porto Alegre, 2006.</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CASTEELE, Sylvie Van; VOLEMAN, Danielle. Fuentes orales para la história de las mujeres. </w:t>
      </w:r>
      <w:r>
        <w:rPr>
          <w:rFonts w:ascii="Times New Roman" w:hAnsi="Times New Roman" w:cs="Times New Roman" w:eastAsia="Times New Roman"/>
          <w:i/>
          <w:color w:val="auto"/>
          <w:spacing w:val="0"/>
          <w:position w:val="0"/>
          <w:sz w:val="24"/>
          <w:shd w:fill="auto" w:val="clear"/>
        </w:rPr>
        <w:t xml:space="preserve">In</w:t>
      </w:r>
      <w:r>
        <w:rPr>
          <w:rFonts w:ascii="Times New Roman" w:hAnsi="Times New Roman" w:cs="Times New Roman" w:eastAsia="Times New Roman"/>
          <w:color w:val="auto"/>
          <w:spacing w:val="0"/>
          <w:position w:val="0"/>
          <w:sz w:val="24"/>
          <w:shd w:fill="auto" w:val="clear"/>
        </w:rPr>
        <w:t xml:space="preserve">: ESCANDÓN, Carmem Ramos (Org). </w:t>
      </w:r>
      <w:r>
        <w:rPr>
          <w:rFonts w:ascii="Times New Roman" w:hAnsi="Times New Roman" w:cs="Times New Roman" w:eastAsia="Times New Roman"/>
          <w:b/>
          <w:color w:val="auto"/>
          <w:spacing w:val="0"/>
          <w:position w:val="0"/>
          <w:sz w:val="24"/>
          <w:shd w:fill="auto" w:val="clear"/>
        </w:rPr>
        <w:t xml:space="preserve">Género e História. </w:t>
      </w:r>
      <w:r>
        <w:rPr>
          <w:rFonts w:ascii="Times New Roman" w:hAnsi="Times New Roman" w:cs="Times New Roman" w:eastAsia="Times New Roman"/>
          <w:color w:val="auto"/>
          <w:spacing w:val="0"/>
          <w:position w:val="0"/>
          <w:sz w:val="24"/>
          <w:shd w:fill="auto" w:val="clear"/>
        </w:rPr>
        <w:t xml:space="preserve">México: Instituto Mora/UAM, 1992, p. 99-109.</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DEERE, Carmen Diana. Os direitos da mulher à terra e os movimentos sociais rurais na reforma agrária brasileira. </w:t>
      </w:r>
      <w:r>
        <w:rPr>
          <w:rFonts w:ascii="Times New Roman" w:hAnsi="Times New Roman" w:cs="Times New Roman" w:eastAsia="Times New Roman"/>
          <w:b/>
          <w:color w:val="auto"/>
          <w:spacing w:val="0"/>
          <w:position w:val="0"/>
          <w:sz w:val="24"/>
          <w:shd w:fill="auto" w:val="clear"/>
        </w:rPr>
        <w:t xml:space="preserve">Revista Estudos Feministas</w:t>
      </w:r>
      <w:r>
        <w:rPr>
          <w:rFonts w:ascii="Times New Roman" w:hAnsi="Times New Roman" w:cs="Times New Roman" w:eastAsia="Times New Roman"/>
          <w:color w:val="auto"/>
          <w:spacing w:val="0"/>
          <w:position w:val="0"/>
          <w:sz w:val="24"/>
          <w:shd w:fill="auto" w:val="clear"/>
        </w:rPr>
        <w:t xml:space="preserve">, Florianópolis, v. 12, nº 1, janeiro-abril 2004, p. 175-204.</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DELGADO, Andréa; CAUME, David. </w:t>
      </w:r>
      <w:r>
        <w:rPr>
          <w:rFonts w:ascii="Times New Roman" w:hAnsi="Times New Roman" w:cs="Times New Roman" w:eastAsia="Times New Roman"/>
          <w:b/>
          <w:color w:val="auto"/>
          <w:spacing w:val="0"/>
          <w:position w:val="0"/>
          <w:sz w:val="24"/>
          <w:shd w:fill="auto" w:val="clear"/>
        </w:rPr>
        <w:t xml:space="preserve">Relações de gênero na luta pela terra: narrativas femininas do assentamento 16 de março (Pontão-RS). </w:t>
      </w:r>
      <w:r>
        <w:rPr>
          <w:rFonts w:ascii="Times New Roman" w:hAnsi="Times New Roman" w:cs="Times New Roman" w:eastAsia="Times New Roman"/>
          <w:color w:val="auto"/>
          <w:spacing w:val="0"/>
          <w:position w:val="0"/>
          <w:sz w:val="24"/>
          <w:shd w:fill="auto" w:val="clear"/>
        </w:rPr>
        <w:t xml:space="preserve">Disponível em: &lt;</w:t>
      </w:r>
      <w:hyperlink xmlns:r="http://schemas.openxmlformats.org/officeDocument/2006/relationships" r:id="docRId213">
        <w:r>
          <w:rPr>
            <w:rFonts w:ascii="Times New Roman" w:hAnsi="Times New Roman" w:cs="Times New Roman" w:eastAsia="Times New Roman"/>
            <w:color w:val="0000FF"/>
            <w:spacing w:val="0"/>
            <w:position w:val="0"/>
            <w:sz w:val="24"/>
            <w:u w:val="single"/>
            <w:shd w:fill="auto" w:val="clear"/>
          </w:rPr>
          <w:t xml:space="preserve">http://www.proec.ufg.br/revista_ufg/agro/L15_genero.html</w:t>
        </w:r>
      </w:hyperlink>
      <w:r>
        <w:rPr>
          <w:rFonts w:ascii="Times New Roman" w:hAnsi="Times New Roman" w:cs="Times New Roman" w:eastAsia="Times New Roman"/>
          <w:color w:val="auto"/>
          <w:spacing w:val="0"/>
          <w:position w:val="0"/>
          <w:sz w:val="24"/>
          <w:shd w:fill="auto" w:val="clear"/>
        </w:rPr>
        <w:t xml:space="preserve">&gt;. Acesso em: 07 jun. 2008.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DEL PRIORE, Mary (Org.). </w:t>
      </w:r>
      <w:r>
        <w:rPr>
          <w:rFonts w:ascii="Times New Roman" w:hAnsi="Times New Roman" w:cs="Times New Roman" w:eastAsia="Times New Roman"/>
          <w:b/>
          <w:color w:val="auto"/>
          <w:spacing w:val="0"/>
          <w:position w:val="0"/>
          <w:sz w:val="24"/>
          <w:shd w:fill="auto" w:val="clear"/>
        </w:rPr>
        <w:t xml:space="preserve">História das mulheres no Brasil.</w:t>
      </w:r>
      <w:r>
        <w:rPr>
          <w:rFonts w:ascii="Times New Roman" w:hAnsi="Times New Roman" w:cs="Times New Roman" w:eastAsia="Times New Roman"/>
          <w:color w:val="auto"/>
          <w:spacing w:val="0"/>
          <w:position w:val="0"/>
          <w:sz w:val="24"/>
          <w:shd w:fill="auto" w:val="clear"/>
        </w:rPr>
        <w:t xml:space="preserve"> São Paulo: Contexto, 1997.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DIAS, Maria Odila Leite da Silva. Novas subjetividades na pesquisa histórica feminista: uma hermenêutica das diferenças.</w:t>
      </w:r>
      <w:r>
        <w:rPr>
          <w:rFonts w:ascii="Times New Roman" w:hAnsi="Times New Roman" w:cs="Times New Roman" w:eastAsia="Times New Roman"/>
          <w:b/>
          <w:color w:val="auto"/>
          <w:spacing w:val="0"/>
          <w:position w:val="0"/>
          <w:sz w:val="24"/>
          <w:shd w:fill="auto" w:val="clear"/>
        </w:rPr>
        <w:t xml:space="preserve"> Estudos Feministas</w:t>
      </w:r>
      <w:r>
        <w:rPr>
          <w:rFonts w:ascii="Times New Roman" w:hAnsi="Times New Roman" w:cs="Times New Roman" w:eastAsia="Times New Roman"/>
          <w:color w:val="auto"/>
          <w:spacing w:val="0"/>
          <w:position w:val="0"/>
          <w:sz w:val="24"/>
          <w:shd w:fill="auto" w:val="clear"/>
        </w:rPr>
        <w:t xml:space="preserve">, v. 2, nº 2, 1994, p. 373-386.</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ENGELS, Friedrich. </w:t>
      </w:r>
      <w:r>
        <w:rPr>
          <w:rFonts w:ascii="Times New Roman" w:hAnsi="Times New Roman" w:cs="Times New Roman" w:eastAsia="Times New Roman"/>
          <w:b/>
          <w:color w:val="auto"/>
          <w:spacing w:val="0"/>
          <w:position w:val="0"/>
          <w:sz w:val="24"/>
          <w:shd w:fill="auto" w:val="clear"/>
        </w:rPr>
        <w:t xml:space="preserve">A Origem da Família, da Propriedade Privada e do Estado. </w:t>
      </w:r>
      <w:r>
        <w:rPr>
          <w:rFonts w:ascii="Times New Roman" w:hAnsi="Times New Roman" w:cs="Times New Roman" w:eastAsia="Times New Roman"/>
          <w:color w:val="auto"/>
          <w:spacing w:val="0"/>
          <w:position w:val="0"/>
          <w:sz w:val="24"/>
          <w:shd w:fill="auto" w:val="clear"/>
        </w:rPr>
        <w:t xml:space="preserve">Rio de Janeiro: Civilização Brasileira, 1995.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FARIA, Vilmar. Pobreza urbana, sistema urbano e marginalidade.</w:t>
      </w:r>
      <w:r>
        <w:rPr>
          <w:rFonts w:ascii="Times New Roman" w:hAnsi="Times New Roman" w:cs="Times New Roman" w:eastAsia="Times New Roman"/>
          <w:b/>
          <w:color w:val="auto"/>
          <w:spacing w:val="0"/>
          <w:position w:val="0"/>
          <w:sz w:val="24"/>
          <w:shd w:fill="auto" w:val="clear"/>
        </w:rPr>
        <w:t xml:space="preserve"> Estudos CEBRAP</w:t>
      </w:r>
      <w:r>
        <w:rPr>
          <w:rFonts w:ascii="Times New Roman" w:hAnsi="Times New Roman" w:cs="Times New Roman" w:eastAsia="Times New Roman"/>
          <w:color w:val="auto"/>
          <w:spacing w:val="0"/>
          <w:position w:val="0"/>
          <w:sz w:val="24"/>
          <w:shd w:fill="auto" w:val="clear"/>
        </w:rPr>
        <w:t xml:space="preserve">, São Paulo,</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nº 9, p.131-151, 1974.</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FERNANDES, Bernardo Mançano. </w:t>
      </w:r>
      <w:r>
        <w:rPr>
          <w:rFonts w:ascii="Times New Roman" w:hAnsi="Times New Roman" w:cs="Times New Roman" w:eastAsia="Times New Roman"/>
          <w:b/>
          <w:color w:val="auto"/>
          <w:spacing w:val="0"/>
          <w:position w:val="0"/>
          <w:sz w:val="24"/>
          <w:shd w:fill="auto" w:val="clear"/>
        </w:rPr>
        <w:t xml:space="preserve">A formação do MST no Brasil.</w:t>
      </w:r>
      <w:r>
        <w:rPr>
          <w:rFonts w:ascii="Times New Roman" w:hAnsi="Times New Roman" w:cs="Times New Roman" w:eastAsia="Times New Roman"/>
          <w:color w:val="auto"/>
          <w:spacing w:val="0"/>
          <w:position w:val="0"/>
          <w:sz w:val="24"/>
          <w:shd w:fill="auto" w:val="clear"/>
        </w:rPr>
        <w:t xml:space="preserve"> Petropólis: Vozes, 2000.</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FERREIA, Leandra Cristina da Silva. </w:t>
      </w:r>
      <w:r>
        <w:rPr>
          <w:rFonts w:ascii="Times New Roman" w:hAnsi="Times New Roman" w:cs="Times New Roman" w:eastAsia="Times New Roman"/>
          <w:b/>
          <w:color w:val="auto"/>
          <w:spacing w:val="0"/>
          <w:position w:val="0"/>
          <w:sz w:val="24"/>
          <w:shd w:fill="auto" w:val="clear"/>
        </w:rPr>
        <w:t xml:space="preserve">Agricultoras, familiares e a reforma agrária. </w:t>
      </w:r>
      <w:r>
        <w:rPr>
          <w:rFonts w:ascii="Times New Roman" w:hAnsi="Times New Roman" w:cs="Times New Roman" w:eastAsia="Times New Roman"/>
          <w:color w:val="auto"/>
          <w:spacing w:val="0"/>
          <w:position w:val="0"/>
          <w:sz w:val="24"/>
          <w:shd w:fill="auto" w:val="clear"/>
        </w:rPr>
        <w:t xml:space="preserve">Disponível em: &lt;</w:t>
      </w:r>
      <w:hyperlink xmlns:r="http://schemas.openxmlformats.org/officeDocument/2006/relationships" r:id="docRId214">
        <w:r>
          <w:rPr>
            <w:rFonts w:ascii="Times New Roman" w:hAnsi="Times New Roman" w:cs="Times New Roman" w:eastAsia="Times New Roman"/>
            <w:color w:val="0000FF"/>
            <w:spacing w:val="0"/>
            <w:position w:val="0"/>
            <w:sz w:val="24"/>
            <w:u w:val="single"/>
            <w:shd w:fill="auto" w:val="clear"/>
          </w:rPr>
          <w:t xml:space="preserve">http://meuartigo.brasilescola.com/brasil/agricultoras-familiares-reforma-agraria.htm</w:t>
        </w:r>
      </w:hyperlink>
      <w:r>
        <w:rPr>
          <w:rFonts w:ascii="Times New Roman" w:hAnsi="Times New Roman" w:cs="Times New Roman" w:eastAsia="Times New Roman"/>
          <w:color w:val="auto"/>
          <w:spacing w:val="0"/>
          <w:position w:val="0"/>
          <w:sz w:val="24"/>
          <w:shd w:fill="auto" w:val="clear"/>
        </w:rPr>
        <w:t xml:space="preserve">&gt;. Acesso em: 02 jun. 2008.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MARICATO, Ermínia. A cidade é um grande negócio. </w:t>
      </w:r>
      <w:r>
        <w:rPr>
          <w:rFonts w:ascii="Times New Roman" w:hAnsi="Times New Roman" w:cs="Times New Roman" w:eastAsia="Times New Roman"/>
          <w:b/>
          <w:color w:val="auto"/>
          <w:spacing w:val="0"/>
          <w:position w:val="0"/>
          <w:sz w:val="24"/>
          <w:shd w:fill="auto" w:val="clear"/>
        </w:rPr>
        <w:t xml:space="preserve">Teoria e Debate</w:t>
      </w:r>
      <w:r>
        <w:rPr>
          <w:rFonts w:ascii="Times New Roman" w:hAnsi="Times New Roman" w:cs="Times New Roman" w:eastAsia="Times New Roman"/>
          <w:color w:val="auto"/>
          <w:spacing w:val="0"/>
          <w:position w:val="0"/>
          <w:sz w:val="24"/>
          <w:shd w:fill="auto" w:val="clear"/>
        </w:rPr>
        <w:t xml:space="preserve">, nº 3, junho de 1988.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MARTINS, José de Souza. </w:t>
      </w:r>
      <w:r>
        <w:rPr>
          <w:rFonts w:ascii="Times New Roman" w:hAnsi="Times New Roman" w:cs="Times New Roman" w:eastAsia="Times New Roman"/>
          <w:b/>
          <w:color w:val="auto"/>
          <w:spacing w:val="0"/>
          <w:position w:val="0"/>
          <w:sz w:val="24"/>
          <w:shd w:fill="auto" w:val="clear"/>
        </w:rPr>
        <w:t xml:space="preserve">Reforma Agrária: o Impossível Diálogo.</w:t>
      </w:r>
      <w:r>
        <w:rPr>
          <w:rFonts w:ascii="Times New Roman" w:hAnsi="Times New Roman" w:cs="Times New Roman" w:eastAsia="Times New Roman"/>
          <w:color w:val="auto"/>
          <w:spacing w:val="0"/>
          <w:position w:val="0"/>
          <w:sz w:val="24"/>
          <w:shd w:fill="auto" w:val="clear"/>
        </w:rPr>
        <w:t xml:space="preserve"> São Paulo: EDUSP, 2001.</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MORISSAWA, Mitsue. </w:t>
      </w:r>
      <w:r>
        <w:rPr>
          <w:rFonts w:ascii="Times New Roman" w:hAnsi="Times New Roman" w:cs="Times New Roman" w:eastAsia="Times New Roman"/>
          <w:b/>
          <w:color w:val="auto"/>
          <w:spacing w:val="0"/>
          <w:position w:val="0"/>
          <w:sz w:val="24"/>
          <w:shd w:fill="auto" w:val="clear"/>
        </w:rPr>
        <w:t xml:space="preserve">A história da luta pela terra e o MST. </w:t>
      </w:r>
      <w:r>
        <w:rPr>
          <w:rFonts w:ascii="Times New Roman" w:hAnsi="Times New Roman" w:cs="Times New Roman" w:eastAsia="Times New Roman"/>
          <w:color w:val="auto"/>
          <w:spacing w:val="0"/>
          <w:position w:val="0"/>
          <w:sz w:val="24"/>
          <w:shd w:fill="auto" w:val="clear"/>
        </w:rPr>
        <w:t xml:space="preserve">São Paulo: Expressão Popular, 2001.</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Movimento dos Sem Teto da Bahia (MSTB). </w:t>
      </w:r>
      <w:r>
        <w:rPr>
          <w:rFonts w:ascii="Times New Roman" w:hAnsi="Times New Roman" w:cs="Times New Roman" w:eastAsia="Times New Roman"/>
          <w:b/>
          <w:color w:val="auto"/>
          <w:spacing w:val="0"/>
          <w:position w:val="0"/>
          <w:sz w:val="24"/>
          <w:shd w:fill="auto" w:val="clear"/>
        </w:rPr>
        <w:t xml:space="preserve">Mulheres, moradia e outras lutas.</w:t>
      </w:r>
      <w:r>
        <w:rPr>
          <w:rFonts w:ascii="Times New Roman" w:hAnsi="Times New Roman" w:cs="Times New Roman" w:eastAsia="Times New Roman"/>
          <w:color w:val="auto"/>
          <w:spacing w:val="0"/>
          <w:position w:val="0"/>
          <w:sz w:val="24"/>
          <w:shd w:fill="auto" w:val="clear"/>
        </w:rPr>
        <w:t xml:space="preserve"> Salvador, 2007. Mimeografado.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PEREIRA, Hamilton. </w:t>
      </w:r>
      <w:r>
        <w:rPr>
          <w:rFonts w:ascii="Times New Roman" w:hAnsi="Times New Roman" w:cs="Times New Roman" w:eastAsia="Times New Roman"/>
          <w:b/>
          <w:color w:val="auto"/>
          <w:spacing w:val="0"/>
          <w:position w:val="0"/>
          <w:sz w:val="24"/>
          <w:shd w:fill="auto" w:val="clear"/>
        </w:rPr>
        <w:t xml:space="preserve">Reforma agrária. </w:t>
      </w:r>
      <w:r>
        <w:rPr>
          <w:rFonts w:ascii="Times New Roman" w:hAnsi="Times New Roman" w:cs="Times New Roman" w:eastAsia="Times New Roman"/>
          <w:color w:val="auto"/>
          <w:spacing w:val="0"/>
          <w:position w:val="0"/>
          <w:sz w:val="24"/>
          <w:shd w:fill="auto" w:val="clear"/>
        </w:rPr>
        <w:t xml:space="preserve">Disponível em:</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t>
      </w:r>
      <w:hyperlink xmlns:r="http://schemas.openxmlformats.org/officeDocument/2006/relationships" r:id="docRId215">
        <w:r>
          <w:rPr>
            <w:rFonts w:ascii="Times New Roman" w:hAnsi="Times New Roman" w:cs="Times New Roman" w:eastAsia="Times New Roman"/>
            <w:color w:val="0000FF"/>
            <w:spacing w:val="0"/>
            <w:position w:val="0"/>
            <w:sz w:val="24"/>
            <w:u w:val="single"/>
            <w:shd w:fill="auto" w:val="clear"/>
          </w:rPr>
          <w:t xml:space="preserve">http://www2.fpa.org.br/portal/modules/news/article.php?storyid=846</w:t>
        </w:r>
      </w:hyperlink>
      <w:r>
        <w:rPr>
          <w:rFonts w:ascii="Times New Roman" w:hAnsi="Times New Roman" w:cs="Times New Roman" w:eastAsia="Times New Roman"/>
          <w:color w:val="auto"/>
          <w:spacing w:val="0"/>
          <w:position w:val="0"/>
          <w:sz w:val="24"/>
          <w:shd w:fill="auto" w:val="clear"/>
        </w:rPr>
        <w:t xml:space="preserve">&gt;. Acesso em: 12 maio 2008.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PERROT, Michelle. </w:t>
      </w:r>
      <w:r>
        <w:rPr>
          <w:rFonts w:ascii="Times New Roman" w:hAnsi="Times New Roman" w:cs="Times New Roman" w:eastAsia="Times New Roman"/>
          <w:b/>
          <w:color w:val="auto"/>
          <w:spacing w:val="0"/>
          <w:position w:val="0"/>
          <w:sz w:val="24"/>
          <w:shd w:fill="auto" w:val="clear"/>
        </w:rPr>
        <w:t xml:space="preserve">Os excluídos da história: operários, mulheres e prisioneiros. </w:t>
      </w:r>
      <w:r>
        <w:rPr>
          <w:rFonts w:ascii="Times New Roman" w:hAnsi="Times New Roman" w:cs="Times New Roman" w:eastAsia="Times New Roman"/>
          <w:color w:val="auto"/>
          <w:spacing w:val="0"/>
          <w:position w:val="0"/>
          <w:sz w:val="24"/>
          <w:shd w:fill="auto" w:val="clear"/>
        </w:rPr>
        <w:t xml:space="preserve">Rio de Janeiro: Paz e Terra, 1988.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Práticas da memória feminina. </w:t>
      </w:r>
      <w:r>
        <w:rPr>
          <w:rFonts w:ascii="Times New Roman" w:hAnsi="Times New Roman" w:cs="Times New Roman" w:eastAsia="Times New Roman"/>
          <w:b/>
          <w:color w:val="auto"/>
          <w:spacing w:val="0"/>
          <w:position w:val="0"/>
          <w:sz w:val="24"/>
          <w:shd w:fill="auto" w:val="clear"/>
        </w:rPr>
        <w:t xml:space="preserve">Revista Brasileira de História</w:t>
      </w:r>
      <w:r>
        <w:rPr>
          <w:rFonts w:ascii="Times New Roman" w:hAnsi="Times New Roman" w:cs="Times New Roman" w:eastAsia="Times New Roman"/>
          <w:color w:val="auto"/>
          <w:spacing w:val="0"/>
          <w:position w:val="0"/>
          <w:sz w:val="24"/>
          <w:shd w:fill="auto" w:val="clear"/>
        </w:rPr>
        <w:t xml:space="preserve">, nº 18, São Paulo, p. 9-18.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REED, Evelyn. </w:t>
      </w:r>
      <w:r>
        <w:rPr>
          <w:rFonts w:ascii="Times New Roman" w:hAnsi="Times New Roman" w:cs="Times New Roman" w:eastAsia="Times New Roman"/>
          <w:b/>
          <w:color w:val="auto"/>
          <w:spacing w:val="0"/>
          <w:position w:val="0"/>
          <w:sz w:val="24"/>
          <w:shd w:fill="auto" w:val="clear"/>
        </w:rPr>
        <w:t xml:space="preserve">Sexo contra sexo ou classe contra classe.</w:t>
      </w:r>
      <w:r>
        <w:rPr>
          <w:rFonts w:ascii="Times New Roman" w:hAnsi="Times New Roman" w:cs="Times New Roman" w:eastAsia="Times New Roman"/>
          <w:color w:val="auto"/>
          <w:spacing w:val="0"/>
          <w:position w:val="0"/>
          <w:sz w:val="24"/>
          <w:shd w:fill="auto" w:val="clear"/>
        </w:rPr>
        <w:t xml:space="preserve"> São Paulo: Ed. Instituto José Luís e Rosa Sundermann, 2008.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SARDA, Amparo Moreno. Em torno al androcentrismo en la história. </w:t>
      </w:r>
      <w:r>
        <w:rPr>
          <w:rFonts w:ascii="Times New Roman" w:hAnsi="Times New Roman" w:cs="Times New Roman" w:eastAsia="Times New Roman"/>
          <w:b/>
          <w:color w:val="auto"/>
          <w:spacing w:val="0"/>
          <w:position w:val="0"/>
          <w:sz w:val="24"/>
          <w:shd w:fill="auto" w:val="clear"/>
        </w:rPr>
        <w:t xml:space="preserve">Cuadernos inacabados. El arquétipo viril protagonista de la história. Exercícios de lecturas no andocentricas. </w:t>
      </w:r>
      <w:r>
        <w:rPr>
          <w:rFonts w:ascii="Times New Roman" w:hAnsi="Times New Roman" w:cs="Times New Roman" w:eastAsia="Times New Roman"/>
          <w:color w:val="auto"/>
          <w:spacing w:val="0"/>
          <w:position w:val="0"/>
          <w:sz w:val="24"/>
          <w:shd w:fill="auto" w:val="clear"/>
        </w:rPr>
        <w:t xml:space="preserve">Barcelona: La Sal, 1987.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SARDENBERG, Cecília Maria B. Estudos feministas: um esboço crítico. </w:t>
      </w:r>
      <w:r>
        <w:rPr>
          <w:rFonts w:ascii="Times New Roman" w:hAnsi="Times New Roman" w:cs="Times New Roman" w:eastAsia="Times New Roman"/>
          <w:i/>
          <w:color w:val="auto"/>
          <w:spacing w:val="0"/>
          <w:position w:val="0"/>
          <w:sz w:val="24"/>
          <w:shd w:fill="auto" w:val="clear"/>
        </w:rPr>
        <w:t xml:space="preserve">In: </w:t>
      </w:r>
      <w:r>
        <w:rPr>
          <w:rFonts w:ascii="Times New Roman" w:hAnsi="Times New Roman" w:cs="Times New Roman" w:eastAsia="Times New Roman"/>
          <w:color w:val="auto"/>
          <w:spacing w:val="0"/>
          <w:position w:val="0"/>
          <w:sz w:val="24"/>
          <w:shd w:fill="auto" w:val="clear"/>
        </w:rPr>
        <w:t xml:space="preserve">GURGEL, Célia (Org.). </w:t>
      </w:r>
      <w:r>
        <w:rPr>
          <w:rFonts w:ascii="Times New Roman" w:hAnsi="Times New Roman" w:cs="Times New Roman" w:eastAsia="Times New Roman"/>
          <w:b/>
          <w:color w:val="auto"/>
          <w:spacing w:val="0"/>
          <w:position w:val="0"/>
          <w:sz w:val="24"/>
          <w:shd w:fill="auto" w:val="clear"/>
        </w:rPr>
        <w:t xml:space="preserve">Teoria e práxis dos enfoques de gênero. </w:t>
      </w:r>
      <w:r>
        <w:rPr>
          <w:rFonts w:ascii="Times New Roman" w:hAnsi="Times New Roman" w:cs="Times New Roman" w:eastAsia="Times New Roman"/>
          <w:color w:val="auto"/>
          <w:spacing w:val="0"/>
          <w:position w:val="0"/>
          <w:sz w:val="24"/>
          <w:shd w:fill="auto" w:val="clear"/>
        </w:rPr>
        <w:t xml:space="preserve">Salvador: REDOR-NEGIF, 2004, p. 17-40.</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SARDENBERG, Cecília M. B.; COSTA, Ana Alice A.. </w:t>
      </w:r>
      <w:r>
        <w:rPr>
          <w:rFonts w:ascii="Times New Roman" w:hAnsi="Times New Roman" w:cs="Times New Roman" w:eastAsia="Times New Roman"/>
          <w:b/>
          <w:color w:val="auto"/>
          <w:spacing w:val="0"/>
          <w:position w:val="0"/>
          <w:sz w:val="24"/>
          <w:shd w:fill="auto" w:val="clear"/>
        </w:rPr>
        <w:t xml:space="preserve">Feminismos, feministas e movimentos sociais. </w:t>
      </w:r>
      <w:r>
        <w:rPr>
          <w:rFonts w:ascii="Times New Roman" w:hAnsi="Times New Roman" w:cs="Times New Roman" w:eastAsia="Times New Roman"/>
          <w:i/>
          <w:color w:val="auto"/>
          <w:spacing w:val="0"/>
          <w:position w:val="0"/>
          <w:sz w:val="24"/>
          <w:shd w:fill="auto" w:val="clear"/>
        </w:rPr>
        <w:t xml:space="preserve">In: </w:t>
      </w:r>
      <w:r>
        <w:rPr>
          <w:rFonts w:ascii="Times New Roman" w:hAnsi="Times New Roman" w:cs="Times New Roman" w:eastAsia="Times New Roman"/>
          <w:color w:val="auto"/>
          <w:spacing w:val="0"/>
          <w:position w:val="0"/>
          <w:sz w:val="24"/>
          <w:shd w:fill="auto" w:val="clear"/>
        </w:rPr>
        <w:t xml:space="preserve">BRANDÃO, Margarida; BINGHEMER, Maria Clara (Orgs.). Mulher e relações de gênero. São Paulo: Loyola, 1994.</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SCHERER-WARREN, Ilse. </w:t>
      </w:r>
      <w:r>
        <w:rPr>
          <w:rFonts w:ascii="Times New Roman" w:hAnsi="Times New Roman" w:cs="Times New Roman" w:eastAsia="Times New Roman"/>
          <w:b/>
          <w:color w:val="auto"/>
          <w:spacing w:val="0"/>
          <w:position w:val="0"/>
          <w:sz w:val="24"/>
          <w:shd w:fill="auto" w:val="clear"/>
        </w:rPr>
        <w:t xml:space="preserve">Movimentos sociais: um ensaio de interpretação sociológica. </w:t>
      </w:r>
      <w:r>
        <w:rPr>
          <w:rFonts w:ascii="Times New Roman" w:hAnsi="Times New Roman" w:cs="Times New Roman" w:eastAsia="Times New Roman"/>
          <w:color w:val="auto"/>
          <w:spacing w:val="0"/>
          <w:position w:val="0"/>
          <w:sz w:val="24"/>
          <w:shd w:fill="auto" w:val="clear"/>
        </w:rPr>
        <w:t xml:space="preserve">Florianópolis: Editora da UFSC, 1987.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SCHERER-WARREN, Ilse; KRISCHKE, Paulo (Org.). </w:t>
      </w:r>
      <w:r>
        <w:rPr>
          <w:rFonts w:ascii="Times New Roman" w:hAnsi="Times New Roman" w:cs="Times New Roman" w:eastAsia="Times New Roman"/>
          <w:b/>
          <w:color w:val="auto"/>
          <w:spacing w:val="0"/>
          <w:position w:val="0"/>
          <w:sz w:val="24"/>
          <w:shd w:fill="auto" w:val="clear"/>
        </w:rPr>
        <w:t xml:space="preserve">Uma revolução no cotidiano? </w:t>
      </w:r>
      <w:r>
        <w:rPr>
          <w:rFonts w:ascii="Times New Roman" w:hAnsi="Times New Roman" w:cs="Times New Roman" w:eastAsia="Times New Roman"/>
          <w:color w:val="auto"/>
          <w:spacing w:val="0"/>
          <w:position w:val="0"/>
          <w:sz w:val="24"/>
          <w:shd w:fill="auto" w:val="clear"/>
        </w:rPr>
        <w:t xml:space="preserve">Os novos movimentos sociais na América do Sul.</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 Paulo: Brasiliense, 1987.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SCHWENDLER, Sônia Fátima. </w:t>
      </w:r>
      <w:r>
        <w:rPr>
          <w:rFonts w:ascii="Times New Roman" w:hAnsi="Times New Roman" w:cs="Times New Roman" w:eastAsia="Times New Roman"/>
          <w:b/>
          <w:color w:val="auto"/>
          <w:spacing w:val="0"/>
          <w:position w:val="0"/>
          <w:sz w:val="24"/>
          <w:shd w:fill="auto" w:val="clear"/>
        </w:rPr>
        <w:t xml:space="preserve">A construção do feminino na luta pela terra e na recriação social do assentamento. </w:t>
      </w:r>
      <w:r>
        <w:rPr>
          <w:rFonts w:ascii="Times New Roman" w:hAnsi="Times New Roman" w:cs="Times New Roman" w:eastAsia="Times New Roman"/>
          <w:color w:val="auto"/>
          <w:spacing w:val="0"/>
          <w:position w:val="0"/>
          <w:sz w:val="24"/>
          <w:shd w:fill="auto" w:val="clear"/>
        </w:rPr>
        <w:t xml:space="preserve">Disponível em: &lt;</w:t>
      </w:r>
      <w:hyperlink xmlns:r="http://schemas.openxmlformats.org/officeDocument/2006/relationships" r:id="docRId216">
        <w:r>
          <w:rPr>
            <w:rFonts w:ascii="Times New Roman" w:hAnsi="Times New Roman" w:cs="Times New Roman" w:eastAsia="Times New Roman"/>
            <w:color w:val="0000FF"/>
            <w:spacing w:val="0"/>
            <w:position w:val="0"/>
            <w:sz w:val="24"/>
            <w:u w:val="single"/>
            <w:shd w:fill="auto" w:val="clear"/>
          </w:rPr>
          <w:t xml:space="preserve">http://www.landless-voices.org/vieira/archive-05.phtml?rd=CONSTRUC567&amp;ng=p&amp;sc=3&amp;th=42&amp;se=0</w:t>
        </w:r>
      </w:hyperlink>
      <w:r>
        <w:rPr>
          <w:rFonts w:ascii="Times New Roman" w:hAnsi="Times New Roman" w:cs="Times New Roman" w:eastAsia="Times New Roman"/>
          <w:color w:val="auto"/>
          <w:spacing w:val="0"/>
          <w:position w:val="0"/>
          <w:sz w:val="24"/>
          <w:shd w:fill="auto" w:val="clear"/>
        </w:rPr>
        <w:t xml:space="preserve">&gt;. Acesso em: 23 maio 2008.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STÉDILE, João Pedro. </w:t>
      </w:r>
      <w:r>
        <w:rPr>
          <w:rFonts w:ascii="Times New Roman" w:hAnsi="Times New Roman" w:cs="Times New Roman" w:eastAsia="Times New Roman"/>
          <w:b/>
          <w:color w:val="auto"/>
          <w:spacing w:val="0"/>
          <w:position w:val="0"/>
          <w:sz w:val="24"/>
          <w:shd w:fill="auto" w:val="clear"/>
        </w:rPr>
        <w:t xml:space="preserve">O MST e a luta pela terra. </w:t>
      </w:r>
      <w:r>
        <w:rPr>
          <w:rFonts w:ascii="Times New Roman" w:hAnsi="Times New Roman" w:cs="Times New Roman" w:eastAsia="Times New Roman"/>
          <w:color w:val="auto"/>
          <w:spacing w:val="0"/>
          <w:position w:val="0"/>
          <w:sz w:val="24"/>
          <w:shd w:fill="auto" w:val="clear"/>
        </w:rPr>
        <w:t xml:space="preserve">Disponível em:</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&lt;www2.fpa.org.br/portal/modules/news/article.php?storyid=1153&gt;. Acesso em: 21 abr. 2008.</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w:t>
      </w:r>
      <w:r>
        <w:rPr>
          <w:rFonts w:ascii="Times New Roman" w:hAnsi="Times New Roman" w:cs="Times New Roman" w:eastAsia="Times New Roman"/>
          <w:b/>
          <w:color w:val="auto"/>
          <w:spacing w:val="0"/>
          <w:position w:val="0"/>
          <w:sz w:val="24"/>
          <w:shd w:fill="auto" w:val="clear"/>
        </w:rPr>
        <w:t xml:space="preserve">A questão agrária no Brasil. </w:t>
      </w:r>
      <w:r>
        <w:rPr>
          <w:rFonts w:ascii="Times New Roman" w:hAnsi="Times New Roman" w:cs="Times New Roman" w:eastAsia="Times New Roman"/>
          <w:color w:val="auto"/>
          <w:spacing w:val="0"/>
          <w:position w:val="0"/>
          <w:sz w:val="24"/>
          <w:shd w:fill="auto" w:val="clear"/>
        </w:rPr>
        <w:t xml:space="preserve">São Paulo: Atual, 1994.</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8580" w:leader="none"/>
        </w:tabs>
        <w:suppressAutoHyphens w:val="true"/>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36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QUESTÃO DO GÊNERO NAS POLÍTICAS PÚBLICAS DE ESPORTE E LAZER DE FLORIANÓPOLIS</w:t>
      </w:r>
    </w:p>
    <w:p>
      <w:pPr>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Verônica Werle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Mestranda do Curso de Pós Graduação em Educação Física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Universidade Federal de Santa Catarina</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Bolsista CNPq</w:t>
      </w:r>
    </w:p>
    <w:p>
      <w:pPr>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Maria do Carmo Saraiva</w:t>
      </w:r>
    </w:p>
    <w:p>
      <w:pPr>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Professora Doutora do Curso de Pós Graduação em Educação Física </w:t>
      </w:r>
    </w:p>
    <w:p>
      <w:pPr>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Universidade Federal de Santa Catarina</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estudo sobre as políticas públicas de esporte e lazer na perspectiva de gênero </w:t>
      </w:r>
      <w:r>
        <w:rPr>
          <w:rFonts w:ascii="Times New Roman" w:hAnsi="Times New Roman" w:cs="Times New Roman" w:eastAsia="Times New Roman"/>
          <w:color w:val="auto"/>
          <w:spacing w:val="0"/>
          <w:position w:val="0"/>
          <w:sz w:val="24"/>
          <w:shd w:fill="auto" w:val="clear"/>
        </w:rPr>
        <w:t xml:space="preserve">apresenta a dissertação desenvolvida no mestrado do programa de Pós Graduação em Educação Física da Universidade Federal de Santa Catarina</w:t>
      </w:r>
      <w:r>
        <w:rPr>
          <w:rFonts w:ascii="Times New Roman" w:hAnsi="Times New Roman" w:cs="Times New Roman" w:eastAsia="Times New Roman"/>
          <w:color w:val="000000"/>
          <w:spacing w:val="0"/>
          <w:position w:val="0"/>
          <w:sz w:val="24"/>
          <w:shd w:fill="auto" w:val="clear"/>
        </w:rPr>
        <w:t xml:space="preserve">. A emergência dos estudos na área das políticas públicas se dá em decorrência da ausência de princípios e objetivos nacionais para orientar e efetivar o esporte e lazer como direitos, o que faz com que governos locais estabeleçam diretrizes próprias e muitas vezes de forma frágil. Estes argumentos fazem refletir sobre em que medida as práticas políticas estão atentas às diferenças e às desigualdades e, no caso deste estudo, às desigualdades de gênero. Na perspectiva de gênero entende-se que os papéis atribuídos aos sexos são construções sociais, rejeitando a idéia de determinismo biológico. Portanto, as identidades, as práticas e instituições sociais constituem e são constituídas pelo gênero. Assim, o objetivo da presente pesquisa é compreender de que forma a perspectiva de gênero é, ou não, incorporada nas políticas de esporte e lazer da Fundação Municipal de Esportes de Florianópolis, Santa Catarina. Para tanto, definiu-se os seguintes perguntas norteadoras: </w:t>
      </w:r>
      <w:r>
        <w:rPr>
          <w:rFonts w:ascii="Times New Roman" w:hAnsi="Times New Roman" w:cs="Times New Roman" w:eastAsia="Times New Roman"/>
          <w:color w:val="auto"/>
          <w:spacing w:val="0"/>
          <w:position w:val="0"/>
          <w:sz w:val="24"/>
          <w:shd w:fill="auto" w:val="clear"/>
        </w:rPr>
        <w:t xml:space="preserve">a) de que formas as questões de gênero estão contempladas ou referidas nos documentos oficiais? b) quais as representações de gênero dos sujeitos de pesquisa sobre as políticas públicas desenvolvidas pela Fundação? e c) como homens e mulheres são contemplados no atendimento da Fundação? há igualdade no atendimento?</w:t>
      </w:r>
      <w:r>
        <w:rPr>
          <w:rFonts w:ascii="Times New Roman" w:hAnsi="Times New Roman" w:cs="Times New Roman" w:eastAsia="Times New Roman"/>
          <w:color w:val="000000"/>
          <w:spacing w:val="0"/>
          <w:position w:val="0"/>
          <w:sz w:val="24"/>
          <w:shd w:fill="auto" w:val="clear"/>
        </w:rPr>
        <w:t xml:space="preserve">A pesquisa de caráter qualitativo abordou a realidade de forma empírica e descritiva, tendo como participantes 8 sujeitos que integram a área técnica e a superintendência da Fundação. Os instrumentos de coleta de dados foram as entrevistas semi-estruturadas e a análise documental. </w:t>
      </w:r>
      <w:r>
        <w:rPr>
          <w:rFonts w:ascii="Times New Roman" w:hAnsi="Times New Roman" w:cs="Times New Roman" w:eastAsia="Times New Roman"/>
          <w:color w:val="auto"/>
          <w:spacing w:val="0"/>
          <w:position w:val="0"/>
          <w:sz w:val="24"/>
          <w:shd w:fill="auto" w:val="clear"/>
        </w:rPr>
        <w:t xml:space="preserve">De forma pontual é possível destacar as seguintes considerações: a) as ações políticas da FME são orientadas quase exclusivamente para uma única dimensão esportiva e pautadas no princípio da igualdade sem o reconhecimento da diferença, o que não favorece que ambos os sexos consigam acessar igualmente o direito ao esporte e ao lazer, b) os discurso dos gestores sugerem e defendem a igualdade entre homens e mulheres, porém as disparidades evidentes no que se refere ao atendimento como beneficiários/as das políticas, são justificadas mais por uma naturalização dos aspectos culturais do que por uma compreensão destes como fatores em constantes modificações e, c) as orientações políticas e as perspectivas dos gestores ainda bastante afinadas com representações vigentes encaminham para que a incorporação e implementação do gênero nas políticas púbicas de esporte e lazer seja pouco cogitada, apesar de indicações de avanços. </w:t>
      </w:r>
      <w:r>
        <w:rPr>
          <w:rFonts w:ascii="Times New Roman" w:hAnsi="Times New Roman" w:cs="Times New Roman" w:eastAsia="Times New Roman"/>
          <w:color w:val="000000"/>
          <w:spacing w:val="0"/>
          <w:position w:val="0"/>
          <w:sz w:val="24"/>
          <w:shd w:fill="auto" w:val="clear"/>
        </w:rPr>
        <w:t xml:space="preserve">As considerações mostram que os avanços das representações de gênero na sociedade sobre as práticas corporais não são suficientes para que as políticas tornem-se sensíveis ao gênero em vez de políticas generalizantes. </w:t>
        <w:br/>
      </w:r>
      <w:r>
        <w:rPr>
          <w:rFonts w:ascii="Times New Roman" w:hAnsi="Times New Roman" w:cs="Times New Roman" w:eastAsia="Times New Roman"/>
          <w:b/>
          <w:color w:val="auto"/>
          <w:spacing w:val="0"/>
          <w:position w:val="0"/>
          <w:sz w:val="24"/>
          <w:shd w:fill="auto" w:val="clear"/>
        </w:rPr>
        <w:t xml:space="preserve">Palavras chave</w:t>
      </w:r>
      <w:r>
        <w:rPr>
          <w:rFonts w:ascii="Times New Roman" w:hAnsi="Times New Roman" w:cs="Times New Roman" w:eastAsia="Times New Roman"/>
          <w:color w:val="auto"/>
          <w:spacing w:val="0"/>
          <w:position w:val="0"/>
          <w:sz w:val="24"/>
          <w:shd w:fill="auto" w:val="clear"/>
        </w:rPr>
        <w:t xml:space="preserve">: políticas públicas, gênero, esporte, lazer</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INTRODUÇÃO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trabalho apresenta a dissertação desenvolvida no mestrado do programa de Pós Graduação em Educação Física da Universidade Federal de Santa Catarina e que envolve duas temáticas que vem ganhando espaço acadêmico e social na área da educação física, principalmente a partir da década de 1980, trata-se das políticas públicas e do gênero. O contexto investigado é a Fundação Municipal de Esportes (FME) da cidade de Florianópolis, estado de Santa Cataria.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 relevância cultural e social adquirida pelo esporte e pelo lazer como manifestações corporais, foi o respaldo legal, por meio da Constituição de 1988, que formalizou a garantia destes bens como direitos sociais, demandando, consequentemente, a ação do Estado por meio de políticas públicas para sua concretização. Por política pública entende-se o conjunto de estratégias e intervenções do Estado com e para a população a fim de alcançar determinados resultados que deveriam abarcar a afirmação da cidadania de tod@s. Todavia, concorda-se com Telma Menicucci (2006), quando explica que as políticas públicas não se caracterizam apenas pelos atos de uma autoridade pública, mas também pelos seus “não atos”. Com isso, a autora indica que a atividade política pressupõe escolhas, decisões e interesses diversos, imersos em relações de poder desiguais e por isso geram questionamentos em relação a elaboração e consequências da ação governamental.</w:t>
      </w:r>
    </w:p>
    <w:p>
      <w:pPr>
        <w:spacing w:before="0" w:after="0" w:line="240"/>
        <w:ind w:right="0" w:left="283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do pressuposto de que políticas públicas envolvem escolhas, mesmo que constrangidas por diferentes fatores, particularmente os de ordem institucional, as políticas públicas não são casualidades nem respondem a necessidades inelutáveis dos governos. Em conseqüência, o fato de que algumas questões (e não outras) passem a ser objeto de decisões e ações públicas é algo que precisa ser explicado em cada situação específica e está relacionado à construção social de propostas no âmbito societário e ou governamental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(MENICUCCI, 2006, p.143-144).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Tendo em vista a complexidade e as influências que permeiam as decisões públicas para o esporte e o lazer, o gênero e as relações que se estabelecem a partir dele, surgem como categoria de análise necessária, visto que tanto o contexto político como o esportivo foram histórica e culturalmente definidos como espaços masculinos, gerando desigualdades para ambos os sexos.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área do esporte e lazer, a emergência de estudos sobre políticas públicas aumenta em decorrência da ausência de princípios e objetivos nacionais, diferentemente do que ocorre na educação e na saúde, para efetivação destes direitos, o que faz com que governos locais estabeleçam diretrizes próprias e muitas vezes de forma frágil (MENICUCCI, 2008).</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este estudo se apresenta como uma tentativa inicial e necessária para compreender em que medida as questões de gênero estão incorporadas as políticas públicas de esporte e lazer, tendo o contexto da Fundação Municipal de Florianópolis, bem como um estímulo para que tanto estudos como as próprias ações políticas tenham a perspectiva de gênero como alternativa para diminuir as desigualdades. Assim, a investigação foi organizada a partir das seguintes questões: a) De que formas as questões de gênero estão contempladas ou referidas nos documentos oficiais? b) Quais as representações de gênero dos sujeitos de pesquisa sobre as políticas públicas desenvolvidas pela Fundação? c) Como homens e mulheres são contemplados no atendimento da Fundação? há igualdade no atendimento?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estudos de gênero na área da Educação Física/Ciência do Esporte ganharam espaço a partir da década de 1990, quando se apropriaram das novas perspectivas de gênero surgidas na década anterior (LUZ JÚNIOR, 2003), as quais rejeitavam o determinismo biológico dos modos de ser masculino e feminino, entendendo o gênero como “</w:t>
      </w:r>
      <w:r>
        <w:rPr>
          <w:rFonts w:ascii="Times New Roman" w:hAnsi="Times New Roman" w:cs="Times New Roman" w:eastAsia="Times New Roman"/>
          <w:i/>
          <w:color w:val="auto"/>
          <w:spacing w:val="0"/>
          <w:position w:val="0"/>
          <w:sz w:val="24"/>
          <w:shd w:fill="auto" w:val="clear"/>
        </w:rPr>
        <w:t xml:space="preserve">categoria social imposta sobre o corpo sexuado”</w:t>
      </w:r>
      <w:r>
        <w:rPr>
          <w:rFonts w:ascii="Times New Roman" w:hAnsi="Times New Roman" w:cs="Times New Roman" w:eastAsia="Times New Roman"/>
          <w:color w:val="auto"/>
          <w:spacing w:val="0"/>
          <w:position w:val="0"/>
          <w:sz w:val="24"/>
          <w:shd w:fill="auto" w:val="clear"/>
        </w:rPr>
        <w:t xml:space="preserve"> (SCOTT, 1990, p.3). Os estudos sobre políticas públicas de esporte e lazer também são recentes, tendo sido impulsionados inicialmente pela inclusão destas manifestações corporais como direitos constitucionais e pela criação do Ministério do Esporte em 2003. Os programas federais desenvolvidos pelo Ministério têm sido simultaneamente tomados como veículo de disseminação de políticas sociais de esporte e lazer e objeto de estudo de pesquisador@s e grupos da Educação Física.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o estudo de políticas púbicas de esporte e lazer na perspectiva do gênero mostra-se bastante incomum enquanto que em outras áreas já é possível ver alguns importantes movimentos, tanto na produção científica como em ações concretas. Assim como nos esportes, a criação de um órgão federal dedicado às questões de gênero, a Secretaria Especial de Política para as Mulheres em 2003 muito tem contribuído para o desenvolvimento do segmento.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estudo de políticas púbicas de esporte e lazer na perspectiva do gênero mostra-se bastante necessário em virtude tanto pela importância que as práticas corporais assumem na construção das identidades de gênero quanto pelo modo como o Estado interfere nestas relações.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conjunto de discursos e práticas que se acomodam nos corpos, o constrói e reconstrói em acordo com os estereótipos de gênero de modo sutil e muitas vezes despercebidos. </w:t>
      </w:r>
    </w:p>
    <w:p>
      <w:pPr>
        <w:spacing w:before="0" w:after="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Os gestos, as musculaturas, as roupas, os acessórios, os suplementos alimentares carregam consigo significados que, na nossa sociedade e no nosso tempo, estão também associados ao feminino e ao masculino. Essas marcas produzem efeitos e, não raras vezes, são reclamadas para justificar a inserção, adesão e permanência de homens e mulheres em diferentes práticas corporais e esportivas (GOELLNER, 2007, p.184).</w:t>
      </w:r>
    </w:p>
    <w:p>
      <w:pPr>
        <w:spacing w:before="0" w:after="0" w:line="240"/>
        <w:ind w:right="0" w:left="2832"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Enquanto que a construção de masculinidades por meio do esporte se deu mais pela participação e incentivo dos homens, as feminilidades deram-se muito mais devido as restrições à prática, já que os esportes na sua forma moderna constituíram-se genuinamente como expressão e símbolo da masculinidade tradicional (DUNNING E MAGUIRE, 1997), exigindo das mulheres estratégias variada para sua inserção. Pode-se dizer que, por outro lado, outras práticas em menor quantidade, como a dança e a ginástica foram e são concebidas como expressão de feminilidade e por muito tempo negadas aos homens, que também enfrentaram barreiras para sua inserção.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estereótipos sexuais e os preconceitos reforçados pela educação física ao longo da história e evidenciados nos primeiros estudos de gênero na área resultaram em menos experiências de movimentos para meninos e meninas e, como afirma Maria do Carmo Saraiva (2002) no impedimento de uma aprendizagem intercultural nas práticas esportivas. Assim, o gênero surge como uma categoria analítica importante nos estudos da educação física e das práticas corporais como uma forma de esclarecimento dos professores e profissionais da área e na elaboração de alternativas pedagógicas que possibilitem mudanças nas relações de poder que se estabelecem entre os sexos (SARAIVA, 2002).</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na perspectiva de gênero, entende-se que os papéis atribuídos aos sexos são construções sociais que constituem as identidades do sujeito, entende-se também que as instituições e práticas sociais também constituem e são constituídas pelo gênero. </w:t>
      </w:r>
    </w:p>
    <w:p>
      <w:pPr>
        <w:spacing w:before="0" w:after="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Busca-se compreender que a justiça, a igreja, as práticas educativas ou de governo, a política, etc. são atravessadas pelo gênero: essas instâncias, práticas ou espaços sociais são </w:t>
      </w:r>
      <w:r>
        <w:rPr>
          <w:rFonts w:ascii="Times New Roman" w:hAnsi="Times New Roman" w:cs="Times New Roman" w:eastAsia="Times New Roman"/>
          <w:i/>
          <w:color w:val="auto"/>
          <w:spacing w:val="0"/>
          <w:position w:val="0"/>
          <w:sz w:val="20"/>
          <w:shd w:fill="auto" w:val="clear"/>
        </w:rPr>
        <w:t xml:space="preserve">generificados</w:t>
      </w:r>
      <w:r>
        <w:rPr>
          <w:rFonts w:ascii="Times New Roman" w:hAnsi="Times New Roman" w:cs="Times New Roman" w:eastAsia="Times New Roman"/>
          <w:color w:val="auto"/>
          <w:spacing w:val="0"/>
          <w:position w:val="0"/>
          <w:sz w:val="20"/>
          <w:shd w:fill="auto" w:val="clear"/>
        </w:rPr>
        <w:t xml:space="preserve"> – produzem-se, ou </w:t>
      </w:r>
      <w:r>
        <w:rPr>
          <w:rFonts w:ascii="Times New Roman" w:hAnsi="Times New Roman" w:cs="Times New Roman" w:eastAsia="Times New Roman"/>
          <w:i/>
          <w:color w:val="auto"/>
          <w:spacing w:val="0"/>
          <w:position w:val="0"/>
          <w:sz w:val="20"/>
          <w:shd w:fill="auto" w:val="clear"/>
        </w:rPr>
        <w:t xml:space="preserve">engendram-se</w:t>
      </w:r>
      <w:r>
        <w:rPr>
          <w:rFonts w:ascii="Times New Roman" w:hAnsi="Times New Roman" w:cs="Times New Roman" w:eastAsia="Times New Roman"/>
          <w:color w:val="auto"/>
          <w:spacing w:val="0"/>
          <w:position w:val="0"/>
          <w:sz w:val="20"/>
          <w:shd w:fill="auto" w:val="clear"/>
        </w:rPr>
        <w:t xml:space="preserve">, a partir das relações de gênero (mas não apenas a partir dessas relações e sim, também, das relações de classe, étnicas, etc.) (LOURO, 1997 p. 25).</w:t>
      </w:r>
    </w:p>
    <w:p>
      <w:pPr>
        <w:spacing w:before="0" w:after="0" w:line="360"/>
        <w:ind w:right="0" w:left="2832"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o Estado enquanto instituição generificada e generificante tem produzido discursos e práticas que interferem nas representações de gênero. As diferenças corporais que geraram as diferenciações entre homens e mulheres e justificavam as desigualdades em muitas instâncias, foram em muitas situações orientadas e orientadoras dos setores públicos vinculados ao esporte e a educação física ao longo da história do Brasil. O exemplo máximo desta intervenção fica bastante ilustrativo quando olharmos o passado sob a perspectiva regulatória: por meio do Decreto-Lei N. 3.199/1941 e da Deliberação nº 07 em 1965 foi proibida a pratica de modalidades como lutas, saltos e futebol para as mulheres, alegando que eram incompatíveis com a sua natureza. O referido Decreto foi revogado somente em 1979.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das novas concepções resultantes de toda uma teorização e discussões socias. acerca das questões de gênero, dos discursos políticos e politicamente corretos em favor da igualdade de gênero, e da incorporação dos direitos para homens e mulheres sob a mesma perspectiva de cidadãos e cidadãs concorda-se com Goellner (2005) que a inserção da participação feminina nos setores esportivos deve-se mais á esforços e iniciativas próprias que por apoio e ou incentivos políticos.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Joana Pedro e Carla Pinsky (2003) acreditam que ainda não é possível afirmar que as mulheres conquistaram uma cidadania plena, pois:</w:t>
      </w:r>
    </w:p>
    <w:p>
      <w:pPr>
        <w:spacing w:before="0" w:after="0" w:line="240"/>
        <w:ind w:right="0" w:left="212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percurso cheio de idas e vindas, os tropeços e os recuos, tem mostrado uma luta por direitos instáveis, constantemente ameaçados, como se, do fundo dos tempos históricos, mitos dos tempos antigos teimassem em retornar, renovados a cada momento, vestidos com nova roupagem, visando assombrar as mínimas conquistas (p. 294).   </w:t>
      </w:r>
    </w:p>
    <w:p>
      <w:pPr>
        <w:spacing w:before="0" w:after="0" w:line="360"/>
        <w:ind w:right="0" w:left="2832"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Tanto é autêntica tal afirmação, que recentes pesquisas têm mostrado que, por exemplo, a entrada da mulher no mercado de trabalho não diminui o seu tempo de dedicação às atividades domésticas (IPEA, 2010), e que, mesmo tendo mais tempo de escolaridade, 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rendimento das mulheres trabalhadoras continua sendo inferior (IBGE, 2010). Os dados mostram que a atribuição dos cuidados com a casa e com a família às mulheres permanece naturalizada, tendo influência em diferentes instâncias, tanto na entrada e ascensão no mercado de trabalho, já que possuem menos disponibilidade, como nas próprias atividades de esporte e lazer, o que foi observado no estudo realizado por Silvana Goellner e colaboradoras (2009).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estudo, realizado em parques municipais da cidade de Porto Alegre aponta a divisão social do trabalho como principal fator de impedimento das mulheres iniciarem e continuarem uma atividade esportiva ou de lazer. O próprio entendimento de lazer para as mulheres está relacionado com o descanso, com atividades em família e no espaço doméstico, sendo que a justificativa para sua não participação nas atividades esportivas e de lazer é a falta de tempo e o cansaço advindo das tarefas domésticas. Para os homens, ao contrário, o lazer está ligado à diversão, à atividades fora da rotina e realizadas em locais públicos e a justificativa masculina, mesmo sendo números bem menores de não participantes, era a falta de tempo em virtude do trabalho ou devido a algum problema de saúde (GOELLNER et al, 2009). As autoras reforçaram a necessidade dos gestores das políticas de esporte e lazer estarem atentos a questão do gênero “</w:t>
      </w:r>
      <w:r>
        <w:rPr>
          <w:rFonts w:ascii="Times New Roman" w:hAnsi="Times New Roman" w:cs="Times New Roman" w:eastAsia="Times New Roman"/>
          <w:i/>
          <w:color w:val="auto"/>
          <w:spacing w:val="0"/>
          <w:position w:val="0"/>
          <w:sz w:val="24"/>
          <w:shd w:fill="auto" w:val="clear"/>
        </w:rPr>
        <w:t xml:space="preserve">pois este marcador identitário interfere, sim, na adesão e na permanência de homens e mulheres de formas distintas e desiguais</w:t>
      </w:r>
      <w:r>
        <w:rPr>
          <w:rFonts w:ascii="Times New Roman" w:hAnsi="Times New Roman" w:cs="Times New Roman" w:eastAsia="Times New Roman"/>
          <w:color w:val="auto"/>
          <w:spacing w:val="0"/>
          <w:position w:val="0"/>
          <w:sz w:val="24"/>
          <w:shd w:fill="auto" w:val="clear"/>
        </w:rPr>
        <w:t xml:space="preserve">” (GOELLNER et al, 2009, p.60). </w:t>
      </w:r>
    </w:p>
    <w:p>
      <w:pPr>
        <w:spacing w:before="0" w:after="200" w:line="360"/>
        <w:ind w:right="0" w:left="0" w:firstLine="709"/>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METODOLOGIA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Feitas as observações iniciais e considerando que os caminhos práticos para abordar a realidade levam em consideração que a técnica é a própria teoria em ação (GAMBOA, 1995), o presente estudo se ajusta às características do modelo qualitativo de investigação.</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pesquisa qualitativa aborda a realidade de forma empírica e descritiva. Portanto, a busca das informações realizou-se a partir dos próprios sujeitos de pesquisa, que vivem o contexto e que atribuem sentidos e significados ao problema. Assim, procurou-se responder as indagações sobre a incorporação da perspectiva de gênero nas políticas públicas de esporte e lazer da Fundação Municipal de Esportes (FME) de Florianópolis. A escolha pela esfera municipal deu-se pela intervenção mais direta que esta possui junto à população. </w:t>
      </w:r>
    </w:p>
    <w:p>
      <w:pPr>
        <w:tabs>
          <w:tab w:val="left" w:pos="142" w:leader="none"/>
        </w:tabs>
        <w:spacing w:before="0" w:after="200" w:line="360"/>
        <w:ind w:right="34"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A Fundação Municipal de Esporte foi oficialmente instituída em 1987 pela lei n° 2600, que apresenta o objetivo de “</w:t>
      </w:r>
      <w:r>
        <w:rPr>
          <w:rFonts w:ascii="Times New Roman" w:hAnsi="Times New Roman" w:cs="Times New Roman" w:eastAsia="Times New Roman"/>
          <w:i/>
          <w:color w:val="auto"/>
          <w:spacing w:val="0"/>
          <w:position w:val="0"/>
          <w:sz w:val="24"/>
          <w:shd w:fill="auto" w:val="clear"/>
        </w:rPr>
        <w:t xml:space="preserve">executar a política de esportes do Município de Florianópolis</w:t>
      </w:r>
      <w:r>
        <w:rPr>
          <w:rFonts w:ascii="Times New Roman" w:hAnsi="Times New Roman" w:cs="Times New Roman" w:eastAsia="Times New Roman"/>
          <w:color w:val="auto"/>
          <w:spacing w:val="0"/>
          <w:position w:val="0"/>
          <w:sz w:val="24"/>
          <w:shd w:fill="auto" w:val="clear"/>
        </w:rPr>
        <w:t xml:space="preserve">” e rege sobre a organização e regulamentação administrativa e financeira da entidade. Especificações e ou aprofundamento em relação a políticas esportivas e de lazer aparecem somente quando da aprovação da lei que dispõe sobre a Política Municipal de Esporte (Lei n° 7279/2007). O documento amplia as competências da Fundação incluindo, além do incentivo ao esporte amador, o lazer, os projetos sociais, o esporte educacional, as ciências do esporte e a garantia de acesso a eles. </w:t>
        <w:tab/>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a finalidade de mediar a abordagem teórico-metodológica com a realidade do contexto (MINAYO, 2006) e levando em consideração o modelo de pesquisa qualitativa e os objetivos da investigação foram escolhidas a análise documental e a entrevista semi estruturada como instrumentos de trabalho de campo.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Bogdan e Biklen (2003) é a análise de documentos que permite o acesso à perspectiva oficial da instituição, bem como a maneira como são comunicadas estas perspectivas. Por meio do sistema de busca on-line do site da Câmara Municipal de Florianópolis foram encontrados 127 documentos tendo como filtro as palavras esporte e lazer, com a leitura dos mesmos foram selecionados para análise 13 deles, que se referiam a leis que instituíram a FME e órgão anteriores a ela como responsáveis pelo esporte no município e regulamentam suas atividades.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grupo de documentos analisados foram os relatórios das atividades correspondentes ao ano de 2009, perfazendo um total de 9. Os relatórios correspondem a balanços anuais das atividades de Fundação, a participação das equipes representativas do município em campeonatos e a um projeto de lazer.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relatórios referentes aos eventos não foram disponibilizados e para informações quanto aos projetos sociais foram repassados os contatos telefônicos dos responsáveis.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compreender a perspectiva dos sujeitos sobre a relação entre as políticas que elaboram e as questões de gênero, foram realizadas entrevistas semi estruturadas  individualmente, com questões fechadas e também abertas para permitir respostas abrangentes. O registro foi feito por gravação com consentimento do entrevistado. Após a transcrição, as entrevistas foram encaminhadas para os respectivos entrevistados que as devolveram com as alterações que acharam pertinentes.  Participaram da pesquisa 8 sujeitos pertencentes às áreas técnicas ou da superintendência da FME e portanto, atuam na elaboração e implementação das políticas. Os sujeitos selecionados são todos homens, já que não há nenhum cargo diretivo ocupado por mulheres. Sobre este aspecto, constatou-se por documentos e pelas entrevistas realizadas que, desde sua instituição, apenas uma mulher acessou um cargo técnico/diretivo.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importante destacar que a pesquisa foi aprovada pelo Comitê de Ética e Pesquisa com Seres Humanos da Universidade Federal de Santa Catarina. Desta forma, todos os procedimentos éticos foram seguidos, incluindo a declaração de autorização da FME e as declarações de consentimento livre e esclarecidas assinados pelos sujeitos entrevistados, na qual fica garantido seu direito ao anonimato por meio do uso de nomes fictícios.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Tendo como apoio os estudos de Laville e Dionne (1999) optou-se pela análise de conteúdo como forma de análise dos dados. A fim de alcançar o sentido profundo e as idéias essenciais, o procedimento iniciou com o recorte e organização do conteúdo em categorias, em função do tema e da significação das informações, constituindo as unidades de análise.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RESULTADOS E ANÁLISES</w:t>
      </w:r>
    </w:p>
    <w:p>
      <w:pPr>
        <w:spacing w:before="0" w:after="20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Os dados encontrados transversalizados com a ótica da autora permitiu o reconhecimento e análise de três grandes categorias compostas por unidades de análise internas menores que formam o que pode ser entendido como um “enredo analítico” que dá sustentação à pesquisa por meio do encadeamento temático concretizado por: a) orientações políticas da FME – o esporte de rendimento e a “política igualitária” b) o atendimento de homens e mulheres e c) traçando caminhos.</w:t>
      </w:r>
    </w:p>
    <w:p>
      <w:pPr>
        <w:spacing w:before="0" w:after="200" w:line="360"/>
        <w:ind w:right="0" w:left="-142"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142" w:firstLine="709"/>
        <w:jc w:val="both"/>
        <w:rPr>
          <w:rFonts w:ascii="Times New Roman" w:hAnsi="Times New Roman" w:cs="Times New Roman" w:eastAsia="Times New Roman"/>
          <w:i/>
          <w:color w:val="auto"/>
          <w:spacing w:val="0"/>
          <w:position w:val="0"/>
          <w:sz w:val="24"/>
          <w:shd w:fill="auto" w:val="clear"/>
        </w:rPr>
      </w:pPr>
    </w:p>
    <w:p>
      <w:pPr>
        <w:spacing w:before="0" w:after="0" w:line="360"/>
        <w:ind w:right="0" w:left="-142" w:firstLine="709"/>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Orientações políticas da FME – o esporte de rendimento e a “política igualitária”</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Nesta categoria será abordada duas direções políticas que observou-se serem tomadas e desenvolvidas pela Fundação e que, analisadas pela perspectiva do gênero, podem refletir nestas relações: tratata-se da prioridade conferida ao esporte na sua dimenção de rendimento e das políticas igualitárias.</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esporte de rendiemento é uma das formas pelas quais hoje o esporte se manifesta, juntamente com o esporte entendido enquanto atividade de lazer (BRACHT, 2009). O autor explica que enquanto o primeiro se aproxima de característica ligadas ao espetáculo esportivo e ao mundo do trabalho, sendo pautado nos sentidos de vitória/derrota, racionalização dos meios e maximização dos resultados, o segundo orienta suas ações no sentido do prazer, da sociabilidade e da saúde.  </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esporte de rendimento apareceu como uma característica marcante das políticas desenvolvida pela FME. Conforme os sujeitos investigados, com excessão de um, todos entendem que esta manifestação esportiva é a prioridade da FME, ou como muitas vezes se referem, esporte de representatividade, devido ao objetivo central que é a representação do municicípio por atletas que participam de campeonats estaduais e nacionais. Apesar de nem sempre estarem de acordo com esta orientadação político esportiva, os sujeitos a justificam devido ao fato de que esta dimensão esportiva é a que legitima e confere reconhecimento para Fundação. Por isso, a meu ver, aparece como enraizada na cultura político esportiva de Florianópolis.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A prioridade é a representatividade da cidade. A formação de equipes para representar o município. É a prioridade principal pelo valor que tem pelo lado da socialização e busca de resultados em nível de estado. O que se busca é uma melhor representatividade da cidade nos jogos do estado porque já está sólida no estado a prática dos esportes</w:t>
      </w:r>
      <w:r>
        <w:rPr>
          <w:rFonts w:ascii="Times New Roman" w:hAnsi="Times New Roman" w:cs="Times New Roman" w:eastAsia="Times New Roman"/>
          <w:color w:val="auto"/>
          <w:spacing w:val="0"/>
          <w:position w:val="0"/>
          <w:sz w:val="24"/>
          <w:shd w:fill="auto" w:val="clear"/>
        </w:rPr>
        <w:t xml:space="preserve">” (Entrevista de João em 06/07/2010).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Infelizmente dentro da nossa política o desporto de rendimento é o que te dá a grande visão e a maior parcela do orçamento...”</w:t>
      </w:r>
      <w:r>
        <w:rPr>
          <w:rFonts w:ascii="Times New Roman" w:hAnsi="Times New Roman" w:cs="Times New Roman" w:eastAsia="Times New Roman"/>
          <w:color w:val="auto"/>
          <w:spacing w:val="0"/>
          <w:position w:val="0"/>
          <w:sz w:val="24"/>
          <w:shd w:fill="auto" w:val="clear"/>
        </w:rPr>
        <w:t xml:space="preserve"> (Entrevista de Pedro em 16/06/2010).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prioridade é] “</w:t>
      </w:r>
      <w:r>
        <w:rPr>
          <w:rFonts w:ascii="Times New Roman" w:hAnsi="Times New Roman" w:cs="Times New Roman" w:eastAsia="Times New Roman"/>
          <w:i/>
          <w:color w:val="auto"/>
          <w:spacing w:val="0"/>
          <w:position w:val="0"/>
          <w:sz w:val="24"/>
          <w:shd w:fill="auto" w:val="clear"/>
        </w:rPr>
        <w:t xml:space="preserve">Os eventos da FESPORTE, o esporte de representação, a maior parte do investimento vai nisso</w:t>
      </w:r>
      <w:r>
        <w:rPr>
          <w:rFonts w:ascii="Times New Roman" w:hAnsi="Times New Roman" w:cs="Times New Roman" w:eastAsia="Times New Roman"/>
          <w:color w:val="auto"/>
          <w:spacing w:val="0"/>
          <w:position w:val="0"/>
          <w:sz w:val="24"/>
          <w:shd w:fill="auto" w:val="clear"/>
        </w:rPr>
        <w:t xml:space="preserve">” (Entrevista de Caio em 08/07/2010).</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falas são importantes para que se tenha a real dimensão da força e da hegemonia com a qual o esporte de rendimento se estabeleceu nas políticas públicas da Fundação, porém, por motivos da delimitação temática desta pesquisa não ater-se-á a argumentar e discutir sobre o rendimento em si, mas sim, sobre como esta orientação política pode implicar nos aspectos que se referem ao acesso e aos interesses de homens e mulheres nas práticas corporais. Positivamente falando, ao mesmo tempo que o esporte, particularmente o de rendimento, pode representar mais um espaço de empoderamento feminino, no qual a afirmação de corpos fortes e livres possam contribuir para desestabilizar padrões estabelecidos de feminilidade  (ADELMAN, 2003), a visibilidade das atletas pode ser considerada um motivador e encorajador da participação de novos adeptos e especialmente adeptas destas práticas.  </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a problemática que vislumbramos é a centralidade, ou a quase exclusividade,  de esforços e investimentos destinados a esta dimensão esportiva, especialmente no que se refere aos jogos da FESPORTE, o que acontece, segundo os própios entrevistados, devido aos retornos que proporciona em reconhecimento e prestígio para a Fundação e para o município. Esta centralidade não parece contribuir para minimizar as desigualdades de gênero, já que, por exemplo, as modalidades femininas em que não há competições a nível estadual, como é exemplo o futebol e o cilcismo, também não são promovidas a nível de formação de equipes ou de práticas educativas ou de lazer. No caso dos homens, também há prejuízos, por exemplo, no que se refere à ginástica rítmica: apesar de ainda ser oficialmente um esporte exclusivamente feminino, já existem experiências destas práticas com o público masculino (GAIA e SANTOS, 2010). </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de entendermos necessário desenvolver modalidades femininas e masculinas que não abarquem as competições representativas,  é preciso ampliar a promoção de práticas inseridas nas dimensões de lazer, esportivas ou não, cujos sentidos e significados podem ser diversificados e plurais,  não modelando-se ao rendimento (BRACHT, 2008), impedindo uma “monocultura” esportiva e implicando consequentemente na contemplação de uma maior diversidade de público e interesses esportivos e de lazer, como também afirma Meily Linhales (2008), e onde pode-se incluir mais enfaticamente as mulheres, aspecto que será bordado também na terceira categoria.</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 direção política orientada para o rendimento foi considerada aqui como um elemento influenciador nas relações de gênero nas políticas esportivas, a orientação política pautada numa suposta igualdade de gênero aparece não mais como influenciadora, mas definidora destas relações.</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serem perguntados sobre como percebiam a organização/formulação e as ações políticas da FME no que se refere ao gênero, os sujeitos expressaram que o acesso e a participão de homens e mulheres é igualmente promovido pela Fundação e por sua política como mostram as seguintes falas: </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“O incentivo a equipes femininas e masculinas é igual, o que eu quero é que todos pratiquem”.</w:t>
      </w:r>
      <w:r>
        <w:rPr>
          <w:rFonts w:ascii="Times New Roman" w:hAnsi="Times New Roman" w:cs="Times New Roman" w:eastAsia="Times New Roman"/>
          <w:color w:val="auto"/>
          <w:spacing w:val="0"/>
          <w:position w:val="0"/>
          <w:sz w:val="24"/>
          <w:shd w:fill="auto" w:val="clear"/>
        </w:rPr>
        <w:t xml:space="preserve"> (Entrevista de João em 06/07/2010).</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“Não tem esta questão de sexo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 É aberto para todos, às vezes os ingressos para elas é até mais barato”</w:t>
      </w:r>
      <w:r>
        <w:rPr>
          <w:rFonts w:ascii="Times New Roman" w:hAnsi="Times New Roman" w:cs="Times New Roman" w:eastAsia="Times New Roman"/>
          <w:color w:val="auto"/>
          <w:spacing w:val="0"/>
          <w:position w:val="0"/>
          <w:sz w:val="24"/>
          <w:shd w:fill="auto" w:val="clear"/>
        </w:rPr>
        <w:t xml:space="preserve"> (Entrevista de Caio em 08/07/2010).</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todo mundo é igual, todo mundo tem acesso livre”</w:t>
      </w:r>
      <w:r>
        <w:rPr>
          <w:rFonts w:ascii="Times New Roman" w:hAnsi="Times New Roman" w:cs="Times New Roman" w:eastAsia="Times New Roman"/>
          <w:color w:val="auto"/>
          <w:spacing w:val="0"/>
          <w:position w:val="0"/>
          <w:sz w:val="24"/>
          <w:shd w:fill="auto" w:val="clear"/>
        </w:rPr>
        <w:t xml:space="preserve"> (Entrevista de Lucas em 22/06/2010).</w:t>
      </w:r>
    </w:p>
    <w:p>
      <w:pPr>
        <w:spacing w:before="0" w:after="0" w:line="360"/>
        <w:ind w:right="0" w:left="-142"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forma enfática como os sujeitos defendem a igualdade promovida pela Fundação pode supor uma desconsideração no que se refere as diferenças culturais, o que remete a um antigo debate entre as categorias igualdade e diferença (SCOTT, 1999). No seu clássico texto, a autora mostra os problemas de se eleger uma destas categoria como estratégia política pois “</w:t>
      </w:r>
      <w:r>
        <w:rPr>
          <w:rFonts w:ascii="Times New Roman" w:hAnsi="Times New Roman" w:cs="Times New Roman" w:eastAsia="Times New Roman"/>
          <w:i/>
          <w:color w:val="auto"/>
          <w:spacing w:val="0"/>
          <w:position w:val="0"/>
          <w:sz w:val="24"/>
          <w:shd w:fill="auto" w:val="clear"/>
        </w:rPr>
        <w:t xml:space="preserve">a própria antítese esconde a interdependência dos dois termos, já que igualdade não é a eliminação da diferença, e a diferença não exclui a igualdade</w:t>
      </w:r>
      <w:r>
        <w:rPr>
          <w:rFonts w:ascii="Times New Roman" w:hAnsi="Times New Roman" w:cs="Times New Roman" w:eastAsia="Times New Roman"/>
          <w:color w:val="auto"/>
          <w:spacing w:val="0"/>
          <w:position w:val="0"/>
          <w:sz w:val="24"/>
          <w:shd w:fill="auto" w:val="clear"/>
        </w:rPr>
        <w:t xml:space="preserve">” (p.209).  Eleger a igualdade desconsiderando as diferenças sexuais e as construções culturais produzidas a partir delas pode implicar em polítcas supostamente neutras, dificultando a diminuição das desigualdades de gênero geradas histórica e culturalmente sobre as práticas corporais.  Por outro lado, eleger a diferença e sentar as políticas de esporte e lazer sobre elas, pode significar o reforço aos estereótipos da área. Concordando com a alternativa apontada por Joan Scott, entendemos que a igualdade, neste caso a equidade de gênero nas políticas públicas de esporte e lazer, depende do reconhecimento e da inclusão da diferença. Marta Farah (2003) esclarece a real dimenção desta diferença ao explicar que “</w:t>
      </w:r>
      <w:r>
        <w:rPr>
          <w:rFonts w:ascii="Times New Roman" w:hAnsi="Times New Roman" w:cs="Times New Roman" w:eastAsia="Times New Roman"/>
          <w:i/>
          <w:color w:val="auto"/>
          <w:spacing w:val="0"/>
          <w:position w:val="0"/>
          <w:sz w:val="24"/>
          <w:shd w:fill="auto" w:val="clear"/>
        </w:rPr>
        <w:t xml:space="preserve">Trata-se de reconhecer a diversidade e a diferença – entre homens e mulheres – mas atribuindo a ambos ‘”igual valor”, reconhecendo, portanto, que suas necessidades “específicas” e nem sempre “iguais” devem ser igualmente contempladas pela sociedade e pelo Estado</w:t>
      </w:r>
      <w:r>
        <w:rPr>
          <w:rFonts w:ascii="Times New Roman" w:hAnsi="Times New Roman" w:cs="Times New Roman" w:eastAsia="Times New Roman"/>
          <w:color w:val="auto"/>
          <w:spacing w:val="0"/>
          <w:position w:val="0"/>
          <w:sz w:val="24"/>
          <w:shd w:fill="auto" w:val="clear"/>
        </w:rPr>
        <w:t xml:space="preserve">” (p. 1).</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suposta igualdade ou neutralidade também foi evidenciada na análise da legislação, a qual é redigida na forma masculina genérica tanto na referência ao/a beneficiári@ dos serviços da FME, quanto na referencia ao/a quadro de funcionári@s e seus/suas representantes. São exemplos: “fomentar práticas desportivas formais e não formais como direito de cada </w:t>
      </w:r>
      <w:r>
        <w:rPr>
          <w:rFonts w:ascii="Times New Roman" w:hAnsi="Times New Roman" w:cs="Times New Roman" w:eastAsia="Times New Roman"/>
          <w:i/>
          <w:color w:val="auto"/>
          <w:spacing w:val="0"/>
          <w:position w:val="0"/>
          <w:sz w:val="24"/>
          <w:shd w:fill="auto" w:val="clear"/>
        </w:rPr>
        <w:t xml:space="preserve">um</w:t>
      </w:r>
      <w:r>
        <w:rPr>
          <w:rFonts w:ascii="Times New Roman" w:hAnsi="Times New Roman" w:cs="Times New Roman" w:eastAsia="Times New Roman"/>
          <w:color w:val="auto"/>
          <w:spacing w:val="0"/>
          <w:position w:val="0"/>
          <w:sz w:val="24"/>
          <w:shd w:fill="auto" w:val="clear"/>
        </w:rPr>
        <w:t xml:space="preserve">”; “respeitando o interesse e as potencialidades d</w:t>
      </w:r>
      <w:r>
        <w:rPr>
          <w:rFonts w:ascii="Times New Roman" w:hAnsi="Times New Roman" w:cs="Times New Roman" w:eastAsia="Times New Roman"/>
          <w:i/>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cidad</w:t>
      </w:r>
      <w:r>
        <w:rPr>
          <w:rFonts w:ascii="Times New Roman" w:hAnsi="Times New Roman" w:cs="Times New Roman" w:eastAsia="Times New Roman"/>
          <w:i/>
          <w:color w:val="auto"/>
          <w:spacing w:val="0"/>
          <w:position w:val="0"/>
          <w:sz w:val="24"/>
          <w:shd w:fill="auto" w:val="clear"/>
        </w:rPr>
        <w:t xml:space="preserve">ão</w:t>
      </w:r>
      <w:r>
        <w:rPr>
          <w:rFonts w:ascii="Times New Roman" w:hAnsi="Times New Roman" w:cs="Times New Roman" w:eastAsia="Times New Roman"/>
          <w:color w:val="auto"/>
          <w:spacing w:val="0"/>
          <w:position w:val="0"/>
          <w:sz w:val="24"/>
          <w:shd w:fill="auto" w:val="clear"/>
        </w:rPr>
        <w:t xml:space="preserve">”; “valorização da inter-relação </w:t>
      </w:r>
      <w:r>
        <w:rPr>
          <w:rFonts w:ascii="Times New Roman" w:hAnsi="Times New Roman" w:cs="Times New Roman" w:eastAsia="Times New Roman"/>
          <w:i/>
          <w:color w:val="auto"/>
          <w:spacing w:val="0"/>
          <w:position w:val="0"/>
          <w:sz w:val="24"/>
          <w:shd w:fill="auto" w:val="clear"/>
        </w:rPr>
        <w:t xml:space="preserve">homem</w:t>
      </w:r>
      <w:r>
        <w:rPr>
          <w:rFonts w:ascii="Times New Roman" w:hAnsi="Times New Roman" w:cs="Times New Roman" w:eastAsia="Times New Roman"/>
          <w:color w:val="auto"/>
          <w:spacing w:val="0"/>
          <w:position w:val="0"/>
          <w:sz w:val="24"/>
          <w:shd w:fill="auto" w:val="clear"/>
        </w:rPr>
        <w:t xml:space="preserve">/sociedade”; “</w:t>
      </w:r>
      <w:r>
        <w:rPr>
          <w:rFonts w:ascii="Times New Roman" w:hAnsi="Times New Roman" w:cs="Times New Roman" w:eastAsia="Times New Roman"/>
          <w:i/>
          <w:color w:val="auto"/>
          <w:spacing w:val="0"/>
          <w:position w:val="0"/>
          <w:sz w:val="24"/>
          <w:shd w:fill="auto" w:val="clear"/>
        </w:rPr>
        <w:t xml:space="preserve">um</w:t>
      </w:r>
      <w:r>
        <w:rPr>
          <w:rFonts w:ascii="Times New Roman" w:hAnsi="Times New Roman" w:cs="Times New Roman" w:eastAsia="Times New Roman"/>
          <w:color w:val="auto"/>
          <w:spacing w:val="0"/>
          <w:position w:val="0"/>
          <w:sz w:val="24"/>
          <w:shd w:fill="auto" w:val="clear"/>
        </w:rPr>
        <w:t xml:space="preserve"> representant</w:t>
      </w:r>
      <w:r>
        <w:rPr>
          <w:rFonts w:ascii="Times New Roman" w:hAnsi="Times New Roman" w:cs="Times New Roman" w:eastAsia="Times New Roman"/>
          <w:i/>
          <w:color w:val="auto"/>
          <w:spacing w:val="0"/>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 d</w:t>
      </w:r>
      <w:r>
        <w:rPr>
          <w:rFonts w:ascii="Times New Roman" w:hAnsi="Times New Roman" w:cs="Times New Roman" w:eastAsia="Times New Roman"/>
          <w:i/>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Prefeito Municipal, que será </w:t>
      </w:r>
      <w:r>
        <w:rPr>
          <w:rFonts w:ascii="Times New Roman" w:hAnsi="Times New Roman" w:cs="Times New Roman" w:eastAsia="Times New Roman"/>
          <w:i/>
          <w:color w:val="auto"/>
          <w:spacing w:val="0"/>
          <w:position w:val="0"/>
          <w:sz w:val="24"/>
          <w:shd w:fill="auto" w:val="clear"/>
        </w:rPr>
        <w:t xml:space="preserve">seu</w:t>
      </w:r>
      <w:r>
        <w:rPr>
          <w:rFonts w:ascii="Times New Roman" w:hAnsi="Times New Roman" w:cs="Times New Roman" w:eastAsia="Times New Roman"/>
          <w:color w:val="auto"/>
          <w:spacing w:val="0"/>
          <w:position w:val="0"/>
          <w:sz w:val="24"/>
          <w:shd w:fill="auto" w:val="clear"/>
        </w:rPr>
        <w:t xml:space="preserve"> presidente”; “tod</w:t>
      </w:r>
      <w:r>
        <w:rPr>
          <w:rFonts w:ascii="Times New Roman" w:hAnsi="Times New Roman" w:cs="Times New Roman" w:eastAsia="Times New Roman"/>
          <w:i/>
          <w:color w:val="auto"/>
          <w:spacing w:val="0"/>
          <w:position w:val="0"/>
          <w:sz w:val="24"/>
          <w:shd w:fill="auto" w:val="clear"/>
        </w:rPr>
        <w:t xml:space="preserve">os</w:t>
      </w:r>
      <w:r>
        <w:rPr>
          <w:rFonts w:ascii="Times New Roman" w:hAnsi="Times New Roman" w:cs="Times New Roman" w:eastAsia="Times New Roman"/>
          <w:color w:val="auto"/>
          <w:spacing w:val="0"/>
          <w:position w:val="0"/>
          <w:sz w:val="24"/>
          <w:shd w:fill="auto" w:val="clear"/>
        </w:rPr>
        <w:t xml:space="preserve"> nomead</w:t>
      </w:r>
      <w:r>
        <w:rPr>
          <w:rFonts w:ascii="Times New Roman" w:hAnsi="Times New Roman" w:cs="Times New Roman" w:eastAsia="Times New Roman"/>
          <w:i/>
          <w:color w:val="auto"/>
          <w:spacing w:val="0"/>
          <w:position w:val="0"/>
          <w:sz w:val="24"/>
          <w:shd w:fill="auto" w:val="clear"/>
        </w:rPr>
        <w:t xml:space="preserve">os</w:t>
      </w:r>
      <w:r>
        <w:rPr>
          <w:rFonts w:ascii="Times New Roman" w:hAnsi="Times New Roman" w:cs="Times New Roman" w:eastAsia="Times New Roman"/>
          <w:color w:val="auto"/>
          <w:spacing w:val="0"/>
          <w:position w:val="0"/>
          <w:sz w:val="24"/>
          <w:shd w:fill="auto" w:val="clear"/>
        </w:rPr>
        <w:t xml:space="preserve"> pel</w:t>
      </w:r>
      <w:r>
        <w:rPr>
          <w:rFonts w:ascii="Times New Roman" w:hAnsi="Times New Roman" w:cs="Times New Roman" w:eastAsia="Times New Roman"/>
          <w:i/>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Chefe do poder Executivo Municipal”; “</w:t>
      </w:r>
      <w:r>
        <w:rPr>
          <w:rFonts w:ascii="Times New Roman" w:hAnsi="Times New Roman" w:cs="Times New Roman" w:eastAsia="Times New Roman"/>
          <w:i/>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superintendente da Fundação prestará contas </w:t>
      </w:r>
      <w:r>
        <w:rPr>
          <w:rFonts w:ascii="Times New Roman" w:hAnsi="Times New Roman" w:cs="Times New Roman" w:eastAsia="Times New Roman"/>
          <w:i/>
          <w:color w:val="auto"/>
          <w:spacing w:val="0"/>
          <w:position w:val="0"/>
          <w:sz w:val="24"/>
          <w:shd w:fill="auto" w:val="clear"/>
        </w:rPr>
        <w:t xml:space="preserve">ao</w:t>
      </w:r>
      <w:r>
        <w:rPr>
          <w:rFonts w:ascii="Times New Roman" w:hAnsi="Times New Roman" w:cs="Times New Roman" w:eastAsia="Times New Roman"/>
          <w:color w:val="auto"/>
          <w:spacing w:val="0"/>
          <w:position w:val="0"/>
          <w:sz w:val="24"/>
          <w:shd w:fill="auto" w:val="clear"/>
        </w:rPr>
        <w:t xml:space="preserve"> Prefeit</w:t>
      </w:r>
      <w:r>
        <w:rPr>
          <w:rFonts w:ascii="Times New Roman" w:hAnsi="Times New Roman" w:cs="Times New Roman" w:eastAsia="Times New Roman"/>
          <w:i/>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Municipal”.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aceita a justificativa de ajuste às normas da língua portuguesa que estabelece o masculino como neutro, cabe questionar, porém, se o uso da língua na neutralidade passa, não apenas pela generalização, mas também por representações que incluem, por exemplo, certa incredulidade da possibilidade de uma mulher acessar os cargos diretivos.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 documentos também há referências a grupos sociais específicos, como idosos, portadores de necessidades especiais e classes sociais, mas não há menção às diversidades ou diferenças concernentes ao gênero. Sobre esta questão concorda-se com Claudia Vianna e Sandra Unbehaum (2004), que também observaram ênfase nesta forma de linguagem nas legislações da área da educação, quando afirmam que </w:t>
      </w:r>
    </w:p>
    <w:p>
      <w:pPr>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se trata da defesa de um texto que mantenha necessariamente o uso “o/a” (o que dificulta a leitura), mas da menção indispensável aos direitos entre ambos os sexos, pois, se queremos construir novos significados para a prática social, precisamos reconstruir nossa linguagem, despojá-la da ideologia androcêntrica (p. 90).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O atendimento de homens e mulheres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Se, por um lado, como foi apresentado, os sujeitos consideraram que a política da Fundação é igualitária, sem terem a perspectiva da diferença, por outro, concordam que de uma maneira geral há mais homens sendo atendidos como beneficiários destas políticas.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do reconhecimento de maior atendimento masculino nas atividades de um modo geral, os sujetos observam algumas diferenças entre os sexos. Referem-se à maior participação masculina em eventos competitivos e em modalidades como remo, futebol, ciclismo, corridas e lutas, enquanto que a maior participação feminina é relacionada às atividades de cunho mais cooperativo, como nas ginásticas, nas atividades para terceira idade e nos eventos, participando, assistindo ou levando os filhos. Considerando que, no caso da ginástica ou atividades para a terceira idade, o que existe na FME são as academias da saúde e os Jogos Abertos da Terceira Idade,  que caracteriza-se por um evento anual, presume-se que haja um menor atendimento às mulheres.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este entendimento fica evidenciado quando da observação do quadro que expõe o número de atendimentos de homens e mulheres em algumas atividades como as competições e os projetos sociais. </w:t>
      </w:r>
    </w:p>
    <w:p>
      <w:pPr>
        <w:spacing w:before="0" w:after="200" w:line="276"/>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TABELA 01 – Quantidade de atendimentos de homens e mulheres pela FME.</w:t>
      </w:r>
    </w:p>
    <w:tbl>
      <w:tblPr/>
      <w:tblGrid>
        <w:gridCol w:w="6204"/>
        <w:gridCol w:w="1701"/>
        <w:gridCol w:w="1701"/>
      </w:tblGrid>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Atividades</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Mulheres</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Homens</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Projeto Samba Filho da Lua</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Projeto Karatê Cidadania  </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195</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305</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Projeto de Integração pelo Esporte (PIPE)</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69</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84</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Abertos de Santa Catarina (JASC)</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191</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Joguinhos Abertos de Santa Catarina</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167</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184</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Olimpíadas Estudantl Catarinense (OLESC)</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Jogos Abertos Paradesportivos de Santa Catarina (Parajasc)</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Olimpíada Estudantil de Florianópolis (OLESF)</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772</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1003</w:t>
            </w:r>
          </w:p>
        </w:tc>
      </w:tr>
      <w:tr>
        <w:trPr>
          <w:trHeight w:val="1" w:hRule="atLeast"/>
          <w:jc w:val="left"/>
        </w:trPr>
        <w:tc>
          <w:tcPr>
            <w:tcW w:w="6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142"/>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Moleque Bom de Bola</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1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r>
    </w:tbl>
    <w:p>
      <w:pPr>
        <w:spacing w:before="0" w:after="200" w:line="276"/>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Tabela expressa somente as informações as quais se teve acesso, não representa portato a totalidade de atendimentos. Os números, por si só, já são reveladores de uma realidade na qual existe desigualdades de gênero, porém as perspectivas dos sujeitos trazem contribuições ainda mais significativas quando ora apontam para representaçoes sociais de modelos hegemônicos naturalizadas, portanto reforçam estas desigualdade, ora quando apontam fatores culturais.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que fica mais evidente na grande maioria das falas dos sujeitos é a centralidade nos estereótipos e no que se pode chamar de naturalização dos aspectos culturais para justificar diferenças/desigualdades entre os sexos.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“Mas é </w:t>
      </w:r>
      <w:r>
        <w:rPr>
          <w:rFonts w:ascii="Times New Roman" w:hAnsi="Times New Roman" w:cs="Times New Roman" w:eastAsia="Times New Roman"/>
          <w:i/>
          <w:color w:val="auto"/>
          <w:spacing w:val="0"/>
          <w:position w:val="0"/>
          <w:sz w:val="24"/>
          <w:u w:val="single"/>
          <w:shd w:fill="auto" w:val="clear"/>
        </w:rPr>
        <w:t xml:space="preserve">natural</w:t>
      </w:r>
      <w:r>
        <w:rPr>
          <w:rFonts w:ascii="Times New Roman" w:hAnsi="Times New Roman" w:cs="Times New Roman" w:eastAsia="Times New Roman"/>
          <w:i/>
          <w:color w:val="auto"/>
          <w:spacing w:val="0"/>
          <w:position w:val="0"/>
          <w:sz w:val="24"/>
          <w:shd w:fill="auto" w:val="clear"/>
        </w:rPr>
        <w:t xml:space="preserve"> que tenham mais homens, até porque tem mais modalidades masculinas, por exemplo, no tiro só participa homem, remo também. Claro que tem o campeonato estadual de remo feminino, tiro também, mas é uma modalidade cara, só quem vai fazer isso geralmente é só depois dos 40 anos de idade e a mulher geralmente não participa, não sei por que, não tem tradição. [...] Acho que homens têm mais disposição. </w:t>
      </w:r>
      <w:r>
        <w:rPr>
          <w:rFonts w:ascii="Times New Roman" w:hAnsi="Times New Roman" w:cs="Times New Roman" w:eastAsia="Times New Roman"/>
          <w:i/>
          <w:color w:val="auto"/>
          <w:spacing w:val="0"/>
          <w:position w:val="0"/>
          <w:sz w:val="24"/>
          <w:u w:val="single"/>
          <w:shd w:fill="auto" w:val="clear"/>
        </w:rPr>
        <w:t xml:space="preserve">Ele tem mais energia</w:t>
      </w:r>
      <w:r>
        <w:rPr>
          <w:rFonts w:ascii="Times New Roman" w:hAnsi="Times New Roman" w:cs="Times New Roman" w:eastAsia="Times New Roman"/>
          <w:i/>
          <w:color w:val="auto"/>
          <w:spacing w:val="0"/>
          <w:position w:val="0"/>
          <w:sz w:val="24"/>
          <w:shd w:fill="auto" w:val="clear"/>
        </w:rPr>
        <w:t xml:space="preserve">, eu acho. [...] não é nada de machismo, mas tem esse lado aí, uma </w:t>
      </w:r>
      <w:r>
        <w:rPr>
          <w:rFonts w:ascii="Times New Roman" w:hAnsi="Times New Roman" w:cs="Times New Roman" w:eastAsia="Times New Roman"/>
          <w:i/>
          <w:color w:val="auto"/>
          <w:spacing w:val="0"/>
          <w:position w:val="0"/>
          <w:sz w:val="24"/>
          <w:u w:val="single"/>
          <w:shd w:fill="auto" w:val="clear"/>
        </w:rPr>
        <w:t xml:space="preserve">predisposição</w:t>
      </w:r>
      <w:r>
        <w:rPr>
          <w:rFonts w:ascii="Times New Roman" w:hAnsi="Times New Roman" w:cs="Times New Roman" w:eastAsia="Times New Roman"/>
          <w:i/>
          <w:color w:val="auto"/>
          <w:spacing w:val="0"/>
          <w:position w:val="0"/>
          <w:sz w:val="24"/>
          <w:shd w:fill="auto" w:val="clear"/>
        </w:rPr>
        <w:t xml:space="preserve"> para determinadas situações”</w:t>
      </w:r>
      <w:r>
        <w:rPr>
          <w:rFonts w:ascii="Times New Roman" w:hAnsi="Times New Roman" w:cs="Times New Roman" w:eastAsia="Times New Roman"/>
          <w:color w:val="auto"/>
          <w:spacing w:val="0"/>
          <w:position w:val="0"/>
          <w:sz w:val="24"/>
          <w:shd w:fill="auto" w:val="clear"/>
        </w:rPr>
        <w:t xml:space="preserve"> (Entrevista de Matias em 24/06/2010).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“Tem evento que ela tem mais </w:t>
      </w:r>
      <w:r>
        <w:rPr>
          <w:rFonts w:ascii="Times New Roman" w:hAnsi="Times New Roman" w:cs="Times New Roman" w:eastAsia="Times New Roman"/>
          <w:i/>
          <w:color w:val="auto"/>
          <w:spacing w:val="0"/>
          <w:position w:val="0"/>
          <w:sz w:val="24"/>
          <w:u w:val="single"/>
          <w:shd w:fill="auto" w:val="clear"/>
        </w:rPr>
        <w:t xml:space="preserve">identificação</w:t>
      </w:r>
      <w:r>
        <w:rPr>
          <w:rFonts w:ascii="Times New Roman" w:hAnsi="Times New Roman" w:cs="Times New Roman" w:eastAsia="Times New Roman"/>
          <w:i/>
          <w:color w:val="auto"/>
          <w:spacing w:val="0"/>
          <w:position w:val="0"/>
          <w:sz w:val="24"/>
          <w:shd w:fill="auto" w:val="clear"/>
        </w:rPr>
        <w:t xml:space="preserve">, no vôlei elas vão para verem os jogadores bonitões, famosos”</w:t>
      </w:r>
      <w:r>
        <w:rPr>
          <w:rFonts w:ascii="Times New Roman" w:hAnsi="Times New Roman" w:cs="Times New Roman" w:eastAsia="Times New Roman"/>
          <w:color w:val="auto"/>
          <w:spacing w:val="0"/>
          <w:position w:val="0"/>
          <w:sz w:val="24"/>
          <w:shd w:fill="auto" w:val="clear"/>
        </w:rPr>
        <w:t xml:space="preserve"> (Entrevista de Caio em 08/07/2010).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relação especificamente ao futebol, a justificativa para não haver atendimento para as mulheres está vinculada à falta de incentivos, pouca visibilidade, mas também a histórica relação desta modalidade com a homossexualidade feminina: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Eu não sei, acho que ainda está muito no inconsciente coletivo que mulher que joga futebol é homem...[...] Só que, se eu trabalhar com pessoas que, dentro de um grupo eu tenha pessoas voltadas para este lado, eu que trabalho com crianças e adolescentes, certamente eles vão dar em cima destas meninas, então estas meninas vão se tornar mais uma pessoa do lado, do caso, do homossexualismo[...]. Então o futebol feminino é o que me preocupa</w:t>
      </w:r>
      <w:r>
        <w:rPr>
          <w:rFonts w:ascii="Times New Roman" w:hAnsi="Times New Roman" w:cs="Times New Roman" w:eastAsia="Times New Roman"/>
          <w:color w:val="auto"/>
          <w:spacing w:val="0"/>
          <w:position w:val="0"/>
          <w:sz w:val="24"/>
          <w:shd w:fill="auto" w:val="clear"/>
        </w:rPr>
        <w:t xml:space="preserve">” (Entrevista de João em 06/07/2010).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são positivas algumas considerações feitas sobre o reconhecimento dos incentivos e processos educacionais diferenciados para meninos e meninas e até a divisão sexual do trabalho como fatores influenciadores para o acesso e participação desigual.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Mas no esporte eu acho que a participação ainda é maior do homem. Eu atribuo isso a todo início do processo, quando tem as escolinhas, a família leva o filho [...], porque a menina tem que estudar, tem que ajudar a mãe nos afazeres domésticos, já os meninos podem jogar futebol, lutas, mas as meninas também podem, mas as famílias não incentivam...”</w:t>
      </w:r>
      <w:r>
        <w:rPr>
          <w:rFonts w:ascii="Times New Roman" w:hAnsi="Times New Roman" w:cs="Times New Roman" w:eastAsia="Times New Roman"/>
          <w:color w:val="auto"/>
          <w:spacing w:val="0"/>
          <w:position w:val="0"/>
          <w:sz w:val="24"/>
          <w:shd w:fill="auto" w:val="clear"/>
        </w:rPr>
        <w:t xml:space="preserve"> (Entrevista de Pedro em 16/06/2010).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“Acaba que o pai e a mãe são responsáveis para cuidar dos filhos, mas acaba ficando muito nas costas da mãe. Por mais que ela acabe trabalhando como o homem, não tem diferenciação, às vezes sustenta a casa, mas é aquela coisa que o homem acaba tendo mais facilidade de sair de casa para jogar uma bola e as mulheres às vezes....”</w:t>
      </w:r>
      <w:r>
        <w:rPr>
          <w:rFonts w:ascii="Times New Roman" w:hAnsi="Times New Roman" w:cs="Times New Roman" w:eastAsia="Times New Roman"/>
          <w:color w:val="auto"/>
          <w:spacing w:val="0"/>
          <w:position w:val="0"/>
          <w:sz w:val="24"/>
          <w:shd w:fill="auto" w:val="clear"/>
        </w:rPr>
        <w:t xml:space="preserve"> (Entrevista de Lucas em 22/06/2010).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Pela forma como foi dita as primeiras citações e pelo uso de termos como “predisposição” e “identificação”, as entrevistas indicam a defesa de certa naturalização de práticas e formas de ser homens e mulheres que na verdade são construídas pelos processos sociais.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corporalidade e as práticas esportivas e de lazer, assim como outras instâncias de ação, por muito tempo tem sido definidas por padrões de feminilidade e masculinidade originários das diferenças corporais. As prática esportivas foram frequentemente condicionadas às representações dominates, seja associadas ao papel da mulher como mãe ou a padrões corporais de feminilidade e beleza (GOELLNER, 2001), de modo que a suposta masculinização que o esporte provocaria no corpo feminino aparece como forte barreira social.  Este último aspecto foi e ainda é, como apareceu em uma entrevista, associado não só com a aparência, mas com a identidade sexual das atletas, tal como apontaram Fabiano Devide e Sebastião Votre (2005).</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 entendimento de que tais estereótipos e representações constituem a natureza da mulher, juntamente com a manutenção da sua responsabilização familiar tem sido fatores que dificultam o acesso e a permanência de mulheres nas práticas corporais. Ao conjeturar que “</w:t>
      </w:r>
      <w:r>
        <w:rPr>
          <w:rFonts w:ascii="Times New Roman" w:hAnsi="Times New Roman" w:cs="Times New Roman" w:eastAsia="Times New Roman"/>
          <w:i/>
          <w:color w:val="auto"/>
          <w:spacing w:val="0"/>
          <w:position w:val="0"/>
          <w:sz w:val="24"/>
          <w:shd w:fill="auto" w:val="clear"/>
        </w:rPr>
        <w:t xml:space="preserve">de fato, não existe uma determinação natural dos comportamentos de homens e mulheres, apesar das inúmeras regras sociais calcadas numa suposta determinação biológica diferencial dos sexos”</w:t>
      </w:r>
      <w:r>
        <w:rPr>
          <w:rFonts w:ascii="Times New Roman" w:hAnsi="Times New Roman" w:cs="Times New Roman" w:eastAsia="Times New Roman"/>
          <w:color w:val="auto"/>
          <w:spacing w:val="0"/>
          <w:position w:val="0"/>
          <w:sz w:val="24"/>
          <w:shd w:fill="auto" w:val="clear"/>
        </w:rPr>
        <w:t xml:space="preserve"> (GROSSI, 1998, p.4), entende-se que o conceito de gênero tem permitido que as desigualdades sejam reduzidas em diversos espaços e mesmo em políticas públicas de áreas como educação e saúde (FARAH, 2003). Podem, assim, ser pensadas também no âmbito do esporte e do lazer.</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isso, é fundamental reconhecer-se que muitas diferenças no que se refere a incentivos e interesses femininos na área provem de processos culturais como informaram dois sujeitos. Porém, a desigualdade só se concretizará se este entendimento for levado em conta no momento da elaboração e implementação das políticas.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Traçando caminhos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terceiro momento reflete a questão: Relações mais equitativas e democráticas entre homens e mulheres seriam possíveis no terreno das políticas públicas de esporte e lazer? Para responder a isso parte-se do campo empírico e articula-se com ele contribuições de outras áreas que já se debruçaram e já produziram conhecimentos sobre análise de gênero nas políticas públicas.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Primeiramente é importante ressaltar que por mais crítica que seja a postura adotada frente às políticas públicas de esporte e lazer, entende-se que há limitações e dificuldades de diversas ordens para que se estabeleça uma política como se almeja, ou deseja. Por isso, considerou-se importante ouvir dos sujeitos quais os anseios que tem para o tempo presente e futuro no que se refere à temática abordada.  </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Pelo que foi apresentado ao longo do texto, incluindo a crença dos sujeitos numa política supostamente “igualitária”, a maioria das justificativas sobre as desigualdades nos atendimentos pautarem-se numa suposta natureza do ser, são elementos que já anunciava que a maioria não percebe necessidade de mudanças no que se refere às relações de gênero na FME:</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“Eu acho que o problema não é da Fundação, o problema ta na mulher mesmo. Talvez se a FME tivesse mais equipamentos, mais estruturas, poderia ter mais treinos”</w:t>
      </w:r>
      <w:r>
        <w:rPr>
          <w:rFonts w:ascii="Times New Roman" w:hAnsi="Times New Roman" w:cs="Times New Roman" w:eastAsia="Times New Roman"/>
          <w:color w:val="auto"/>
          <w:spacing w:val="0"/>
          <w:position w:val="0"/>
          <w:sz w:val="24"/>
          <w:shd w:fill="auto" w:val="clear"/>
        </w:rPr>
        <w:t xml:space="preserve"> (Entrevista de Matias em 24/06/2010).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“É aberto para todos, às vezes os ingressos para elas é até mais barato” </w:t>
      </w:r>
      <w:r>
        <w:rPr>
          <w:rFonts w:ascii="Times New Roman" w:hAnsi="Times New Roman" w:cs="Times New Roman" w:eastAsia="Times New Roman"/>
          <w:color w:val="auto"/>
          <w:spacing w:val="0"/>
          <w:position w:val="0"/>
          <w:sz w:val="24"/>
          <w:shd w:fill="auto" w:val="clear"/>
        </w:rPr>
        <w:t xml:space="preserve">(Entrevista de Caio em 08/07/2010).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Em função disso [relações de gênero] eu acho que não porque está sendo contemplado tanto homens quanto mulheres, não há disparidades</w:t>
      </w:r>
      <w:r>
        <w:rPr>
          <w:rFonts w:ascii="Times New Roman" w:hAnsi="Times New Roman" w:cs="Times New Roman" w:eastAsia="Times New Roman"/>
          <w:color w:val="auto"/>
          <w:spacing w:val="0"/>
          <w:position w:val="0"/>
          <w:sz w:val="24"/>
          <w:shd w:fill="auto" w:val="clear"/>
        </w:rPr>
        <w:t xml:space="preserve">” (Entrevista de João em 06/07/2010).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 mudança que eu gostaria que a Fundação fizesse independe para questão homem e mulher. A mudança que eu gostaria de ver a Fundação fazendo é atender homens e mulheres nas comunidades. Indo para a comunidade. Visualizar homens e mulheres sob o ponto de vista lúdico e depois competitivo”</w:t>
      </w:r>
      <w:r>
        <w:rPr>
          <w:rFonts w:ascii="Times New Roman" w:hAnsi="Times New Roman" w:cs="Times New Roman" w:eastAsia="Times New Roman"/>
          <w:color w:val="auto"/>
          <w:spacing w:val="0"/>
          <w:position w:val="0"/>
          <w:sz w:val="24"/>
          <w:shd w:fill="auto" w:val="clear"/>
        </w:rPr>
        <w:t xml:space="preserve"> (Entrevista de Davi em 01/07/2010).</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Mesmo Davi entendendo que não se trata de uma questão de gênero, acredita-se que a mudança que ele propõe poderia contribuir para minimizar as desigualdades, incluindo-se a de gênero. Além dos aspectos comentados na discussão realizada na primeira categoria, o lazer, no amplo âmbito das suas atividades, incluindo-se o esporte, é uma prática que permite uma maior democratização de acesso à cultura corporal de movimento: por possuir características como não exigir desempenho, poder acontecer em horários e locais mais flexíveis e acessíveis, pelo maior envolvimento e consequente capacidade de motivar a comunidade, além do próprio fator expresso por alguns sujeitos, que há mais interesse das mulheres em atividades deste caráter. É preciso deixar claro que entendemos que estes interesses são frutos de construções culturais, mas que são expressões de interesses reais e por isso devem ser igualmente atendidos.  </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Outros avanços são constatados como no exemplo de João, que apesar de expressar que não nota necessidade de mudanças na FME no que se refere ao gênero, em outro momento explica: “</w:t>
      </w:r>
      <w:r>
        <w:rPr>
          <w:rFonts w:ascii="Times New Roman" w:hAnsi="Times New Roman" w:cs="Times New Roman" w:eastAsia="Times New Roman"/>
          <w:i/>
          <w:color w:val="auto"/>
          <w:spacing w:val="0"/>
          <w:position w:val="0"/>
          <w:sz w:val="24"/>
          <w:shd w:fill="auto" w:val="clear"/>
        </w:rPr>
        <w:t xml:space="preserve">Então é necessário que se crie escolhinhas e é isso que a gente ta procurando fazer lá no Avaí, de modo que tenha o ciclismo feminino</w:t>
      </w:r>
      <w:r>
        <w:rPr>
          <w:rFonts w:ascii="Times New Roman" w:hAnsi="Times New Roman" w:cs="Times New Roman" w:eastAsia="Times New Roman"/>
          <w:color w:val="auto"/>
          <w:spacing w:val="0"/>
          <w:position w:val="0"/>
          <w:sz w:val="24"/>
          <w:shd w:fill="auto" w:val="clear"/>
        </w:rPr>
        <w:t xml:space="preserve">” (Entrevista de João em 06/07/2010).  Mesmo também não reconhecendo necessidades de mudanças nas políticas, Pedro expressa uma idéia para motivar a participação e atendimento das mulheres por meio da mídia: </w:t>
      </w:r>
      <w:r>
        <w:rPr>
          <w:rFonts w:ascii="Times New Roman" w:hAnsi="Times New Roman" w:cs="Times New Roman" w:eastAsia="Times New Roman"/>
          <w:i/>
          <w:color w:val="auto"/>
          <w:spacing w:val="0"/>
          <w:position w:val="0"/>
          <w:sz w:val="24"/>
          <w:shd w:fill="auto" w:val="clear"/>
        </w:rPr>
        <w:t xml:space="preserve">“O que pode haver quanto a isso, o que nós podemos fazer é termos que motivar, criar alguma coisa na televisão: ah, meninas, vamos praticar esportes!” </w:t>
      </w:r>
      <w:r>
        <w:rPr>
          <w:rFonts w:ascii="Times New Roman" w:hAnsi="Times New Roman" w:cs="Times New Roman" w:eastAsia="Times New Roman"/>
          <w:color w:val="auto"/>
          <w:spacing w:val="0"/>
          <w:position w:val="0"/>
          <w:sz w:val="24"/>
          <w:shd w:fill="auto" w:val="clear"/>
        </w:rPr>
        <w:t xml:space="preserve">(Entrevista de Pedro em 16/06/2010).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Nelly Stromquist (1996) o Estado tem relutado para se engajar em ações transformadoras como a inclusão das questões de gênero, pois elas “</w:t>
      </w:r>
      <w:r>
        <w:rPr>
          <w:rFonts w:ascii="Times New Roman" w:hAnsi="Times New Roman" w:cs="Times New Roman" w:eastAsia="Times New Roman"/>
          <w:i/>
          <w:color w:val="auto"/>
          <w:spacing w:val="0"/>
          <w:position w:val="0"/>
          <w:sz w:val="24"/>
          <w:shd w:fill="auto" w:val="clear"/>
        </w:rPr>
        <w:t xml:space="preserve">ameaçam tanto o status quo quanto sua própria hegemonia</w:t>
      </w:r>
      <w:r>
        <w:rPr>
          <w:rFonts w:ascii="Times New Roman" w:hAnsi="Times New Roman" w:cs="Times New Roman" w:eastAsia="Times New Roman"/>
          <w:color w:val="auto"/>
          <w:spacing w:val="0"/>
          <w:position w:val="0"/>
          <w:sz w:val="24"/>
          <w:shd w:fill="auto" w:val="clear"/>
        </w:rPr>
        <w:t xml:space="preserve">” (p.29), e mudanças neste padrão de comportamento só serão possíveis se encontrarem pressões suficientes. Neste sentido parece fundamental o acesso de mulheres aos processos de decisão política (ABRAMO, 2004; STROMQUIST, 1996 e FARAH, 2003) tanto com a abertura de canais de participação para a sociedade civil, como pelo acesso de mulheres a cargos diretivos.  Sobre esta questão, constatou-se que o princípio da gestão participativa é recorrente na legislação analisadas da FME, e que recentemente foi criado o Conselho Municipal de Esporte e Lazer (Lei nº 8090/2009), no entanto nenhuma atividade referente a este aspecto encontra-se em desenvolvimento, como afirmam os entrevistados.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estas medidas não são suficientes se não estiverem acompanhadas de uma conscientização dos atores envolvidos como sugerem Abramo (2004) e Farah (2003). No caso específico das políticas públicas de esporte e lazer isto inclui não apenas a capacitação de gestor@s da área, mas também os grupos de mulheres da sociedade civil no sentido de reconhecerem as práticas corporais como aspectos relevantes das suas vidas e assim reivindicá-los como direitos.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Pelo esforço empreendido de estar sempre aproximando o campo empírico com a teoria, sem fazer deles pares binários, mas complementares, é justo encaminhar para as considerações finais citando uma fala que vem do campo, é compartilhada pela autora e reflete argumentos teóricos sobre a necessidade de se aprofundar o tema em questão: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“Eu falo que nós temos uma alegria e uma tristeza, a tristeza é que a gente não faz o que deveria fazer, e a alegria é que ainda tem muito a ser feito. Então tem motivação para continuar lutando, sonhando, que tem coisa para fazer”</w:t>
      </w:r>
      <w:r>
        <w:rPr>
          <w:rFonts w:ascii="Times New Roman" w:hAnsi="Times New Roman" w:cs="Times New Roman" w:eastAsia="Times New Roman"/>
          <w:color w:val="auto"/>
          <w:spacing w:val="0"/>
          <w:position w:val="0"/>
          <w:sz w:val="24"/>
          <w:shd w:fill="auto" w:val="clear"/>
        </w:rPr>
        <w:t xml:space="preserve"> (Entrevista de Lucas em 22/06/2010).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CONSIDERAÇÕES FINAIS</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pesquisa procurou analisar e refletir a respeito da incorporação do gênero nas políticas públicas da Fundação Municipal de Esportes de Florianópolis realizando uma análise crítica e articulando elementos teóricos com os dados encontrados. De forma pontual é possível destacar as seguintes considerações: a) as ações políticas da FME são orientadas quase exclusivamente para uma única dimensão esportiva e pautadas no princípio da igualdade sem o reconhecimento da diferença, o que não favorece que ambos os sexos consigam acessar igualmente o direito ao esporte e ao lazer, </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os discurso dos gestores sugerem e defendem a igualdade entre homens e mulheres, porém as disparidades evidentes no que se refere ao atendimento como beneficiários/as das políticas, são justificadas mais por uma naturalização dos aspectos culturais do que por uma compreensão destes como fatores em constantes modificações e, c) as orientações políticas e as perspectivas dos gestores ainda bastante afinadas com representações vigentes encaminham para que a incorporação e implementação do gênero nas políticas púbicas de esporte e lazer seja pouco cogitada, apesar de indicações de avanços.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relevância de investigar as políticas públicas de esporte e lazer articuladas com a categoria de gênero se estabelece pela sua contribuição de fornecer subsídios que permitam indicar em que medida e de que maneiras ocorrem as possíveis desigualdades de gênero neste campo, o que poderá provocar novas reflexões e direcionamentos das políticas esportivas e de lazer. O desenvolvimento desta pesquisa, que caminha no sentido de uma reflexão aprofundada sobre as políticas públicas, é uma possibilidade de esclarecer a sociedade e as próprias instituições públicas que as desigualdades de gênero são construídas histórica e culturalmente e naturalizadas de tal forma que se tornam despercebidas. A tomada de consciência desta lógica é que permite o respeito ao “outro” como legítimo “outro”, nas suas diferenças e semelhanças sociais, culturais, de gênero, idade, etnia, entre outras.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REFERÊNCIAS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ABRAMO, Laís. Perspectiva de gênero e raça nas políticas públicas. IPEA. Mercado de trabalho.  Nota Técnica. 25 nov 2004.Disponível em: </w:t>
      </w:r>
      <w:hyperlink xmlns:r="http://schemas.openxmlformats.org/officeDocument/2006/relationships" r:id="docRId217">
        <w:r>
          <w:rPr>
            <w:rFonts w:ascii="Times New Roman" w:hAnsi="Times New Roman" w:cs="Times New Roman" w:eastAsia="Times New Roman"/>
            <w:color w:val="0000FF"/>
            <w:spacing w:val="0"/>
            <w:position w:val="0"/>
            <w:sz w:val="24"/>
            <w:u w:val="single"/>
            <w:shd w:fill="auto" w:val="clear"/>
          </w:rPr>
          <w:t xml:space="preserve">http://www.ipea.gov.br/pub/bcmt/mt_25e.pdf</w:t>
        </w:r>
      </w:hyperlink>
      <w:r>
        <w:rPr>
          <w:rFonts w:ascii="Times New Roman" w:hAnsi="Times New Roman" w:cs="Times New Roman" w:eastAsia="Times New Roman"/>
          <w:color w:val="auto"/>
          <w:spacing w:val="0"/>
          <w:position w:val="0"/>
          <w:sz w:val="24"/>
          <w:shd w:fill="auto" w:val="clear"/>
        </w:rPr>
        <w:t xml:space="preserve"> Acesso em 10 jul.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ADELMAN, Miriam. Mulheres atletas: re-significações da corporalidade feminina. </w:t>
      </w:r>
      <w:r>
        <w:rPr>
          <w:rFonts w:ascii="Times New Roman" w:hAnsi="Times New Roman" w:cs="Times New Roman" w:eastAsia="Times New Roman"/>
          <w:b/>
          <w:color w:val="auto"/>
          <w:spacing w:val="0"/>
          <w:position w:val="0"/>
          <w:sz w:val="24"/>
          <w:shd w:fill="auto" w:val="clear"/>
        </w:rPr>
        <w:t xml:space="preserve">Revista Estudos Feministas</w:t>
      </w:r>
      <w:r>
        <w:rPr>
          <w:rFonts w:ascii="Times New Roman" w:hAnsi="Times New Roman" w:cs="Times New Roman" w:eastAsia="Times New Roman"/>
          <w:color w:val="auto"/>
          <w:spacing w:val="0"/>
          <w:position w:val="0"/>
          <w:sz w:val="24"/>
          <w:shd w:fill="auto" w:val="clear"/>
        </w:rPr>
        <w:t xml:space="preserve">. Florianópolis, vol.11 n .2  Jul./Dez. 2003.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BOGDAN, Robert C.; BIKLEN, Sari Knopp. . </w:t>
      </w:r>
      <w:r>
        <w:rPr>
          <w:rFonts w:ascii="Times New Roman" w:hAnsi="Times New Roman" w:cs="Times New Roman" w:eastAsia="Times New Roman"/>
          <w:b/>
          <w:color w:val="auto"/>
          <w:spacing w:val="0"/>
          <w:position w:val="0"/>
          <w:sz w:val="24"/>
          <w:shd w:fill="auto" w:val="clear"/>
        </w:rPr>
        <w:t xml:space="preserve">Investigação qualitativa em educação:</w:t>
      </w:r>
      <w:r>
        <w:rPr>
          <w:rFonts w:ascii="Times New Roman" w:hAnsi="Times New Roman" w:cs="Times New Roman" w:eastAsia="Times New Roman"/>
          <w:color w:val="auto"/>
          <w:spacing w:val="0"/>
          <w:position w:val="0"/>
          <w:sz w:val="24"/>
          <w:shd w:fill="auto" w:val="clear"/>
        </w:rPr>
        <w:t xml:space="preserve"> uma introdução à teoria e aos métodos. Porto: Porto, 2003.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BRACHT, Valter. </w:t>
      </w:r>
      <w:r>
        <w:rPr>
          <w:rFonts w:ascii="Times New Roman" w:hAnsi="Times New Roman" w:cs="Times New Roman" w:eastAsia="Times New Roman"/>
          <w:b/>
          <w:color w:val="auto"/>
          <w:spacing w:val="0"/>
          <w:position w:val="0"/>
          <w:sz w:val="24"/>
          <w:shd w:fill="auto" w:val="clear"/>
        </w:rPr>
        <w:t xml:space="preserve">Sociologia crítica do esporte: uma introdução</w:t>
      </w:r>
      <w:r>
        <w:rPr>
          <w:rFonts w:ascii="Times New Roman" w:hAnsi="Times New Roman" w:cs="Times New Roman" w:eastAsia="Times New Roman"/>
          <w:color w:val="auto"/>
          <w:spacing w:val="0"/>
          <w:position w:val="0"/>
          <w:sz w:val="24"/>
          <w:shd w:fill="auto" w:val="clear"/>
        </w:rPr>
        <w:t xml:space="preserve">. 3ª ed. Ijuí: Unijuí, 2009.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Constituições:</w:t>
      </w:r>
      <w:r>
        <w:rPr>
          <w:rFonts w:ascii="Times New Roman" w:hAnsi="Times New Roman" w:cs="Times New Roman" w:eastAsia="Times New Roman"/>
          <w:b/>
          <w:color w:val="auto"/>
          <w:spacing w:val="0"/>
          <w:position w:val="0"/>
          <w:sz w:val="24"/>
          <w:shd w:fill="auto" w:val="clear"/>
        </w:rPr>
        <w:t xml:space="preserve"> República Federativa do Brasil</w:t>
      </w:r>
      <w:r>
        <w:rPr>
          <w:rFonts w:ascii="Times New Roman" w:hAnsi="Times New Roman" w:cs="Times New Roman" w:eastAsia="Times New Roman"/>
          <w:color w:val="auto"/>
          <w:spacing w:val="0"/>
          <w:position w:val="0"/>
          <w:sz w:val="24"/>
          <w:shd w:fill="auto" w:val="clear"/>
        </w:rPr>
        <w:t xml:space="preserve">. Brasília: Senado Federal, 1988.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________. </w:t>
      </w:r>
      <w:r>
        <w:rPr>
          <w:rFonts w:ascii="Arial" w:hAnsi="Arial" w:cs="Arial" w:eastAsia="Arial"/>
          <w:b/>
          <w:color w:val="000000"/>
          <w:spacing w:val="0"/>
          <w:position w:val="0"/>
          <w:sz w:val="22"/>
          <w:shd w:fill="auto" w:val="clear"/>
        </w:rPr>
        <w:t xml:space="preserve">Decreto- Lei N. 3.199 de 14 de Abril de 1941, </w:t>
      </w:r>
      <w:r>
        <w:rPr>
          <w:rFonts w:ascii="Arial" w:hAnsi="Arial" w:cs="Arial" w:eastAsia="Arial"/>
          <w:color w:val="000000"/>
          <w:spacing w:val="0"/>
          <w:position w:val="0"/>
          <w:sz w:val="22"/>
          <w:shd w:fill="auto" w:val="clear"/>
        </w:rPr>
        <w:t xml:space="preserve">CAPÍTULO IX, 1941.</w:t>
      </w:r>
    </w:p>
    <w:p>
      <w:pPr>
        <w:spacing w:before="0" w:after="0" w:line="240"/>
        <w:ind w:right="0" w:left="0" w:firstLine="0"/>
        <w:jc w:val="left"/>
        <w:rPr>
          <w:rFonts w:ascii="Arial" w:hAnsi="Arial" w:cs="Arial" w:eastAsia="Arial"/>
          <w:color w:val="000000"/>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________. </w:t>
      </w:r>
      <w:r>
        <w:rPr>
          <w:rFonts w:ascii="Arial" w:hAnsi="Arial" w:cs="Arial" w:eastAsia="Arial"/>
          <w:b/>
          <w:color w:val="auto"/>
          <w:spacing w:val="0"/>
          <w:position w:val="0"/>
          <w:sz w:val="22"/>
          <w:shd w:fill="auto" w:val="clear"/>
        </w:rPr>
        <w:t xml:space="preserve">Conselho Nacional dos Desportos, </w:t>
      </w:r>
      <w:r>
        <w:rPr>
          <w:rFonts w:ascii="Arial" w:hAnsi="Arial" w:cs="Arial" w:eastAsia="Arial"/>
          <w:color w:val="auto"/>
          <w:spacing w:val="0"/>
          <w:position w:val="0"/>
          <w:sz w:val="22"/>
          <w:shd w:fill="auto" w:val="clear"/>
        </w:rPr>
        <w:t xml:space="preserve">Deliberação nº 10, 1979.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DEVIDE, F. P.; VOTRE, S. J.. Doping e mulheres nos esportes. </w:t>
      </w:r>
      <w:r>
        <w:rPr>
          <w:rFonts w:ascii="Times New Roman" w:hAnsi="Times New Roman" w:cs="Times New Roman" w:eastAsia="Times New Roman"/>
          <w:b/>
          <w:color w:val="auto"/>
          <w:spacing w:val="0"/>
          <w:position w:val="0"/>
          <w:sz w:val="24"/>
          <w:shd w:fill="auto" w:val="clear"/>
        </w:rPr>
        <w:t xml:space="preserve">Revista Brasileira Ciência do Esporte,</w:t>
      </w:r>
      <w:r>
        <w:rPr>
          <w:rFonts w:ascii="Times New Roman" w:hAnsi="Times New Roman" w:cs="Times New Roman" w:eastAsia="Times New Roman"/>
          <w:color w:val="auto"/>
          <w:spacing w:val="0"/>
          <w:position w:val="0"/>
          <w:sz w:val="24"/>
          <w:shd w:fill="auto" w:val="clear"/>
        </w:rPr>
        <w:t xml:space="preserve"> v.27, n.1, set. 2005.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DUNNING, Eric; MAGUIRE, Joseph. As Relações entre os sexos no esporte. </w:t>
      </w:r>
      <w:r>
        <w:rPr>
          <w:rFonts w:ascii="Times New Roman" w:hAnsi="Times New Roman" w:cs="Times New Roman" w:eastAsia="Times New Roman"/>
          <w:b/>
          <w:color w:val="auto"/>
          <w:spacing w:val="0"/>
          <w:position w:val="0"/>
          <w:sz w:val="24"/>
          <w:shd w:fill="auto" w:val="clear"/>
        </w:rPr>
        <w:t xml:space="preserve">Estudos Feministas,</w:t>
      </w:r>
      <w:r>
        <w:rPr>
          <w:rFonts w:ascii="Times New Roman" w:hAnsi="Times New Roman" w:cs="Times New Roman" w:eastAsia="Times New Roman"/>
          <w:color w:val="auto"/>
          <w:spacing w:val="0"/>
          <w:position w:val="0"/>
          <w:sz w:val="24"/>
          <w:shd w:fill="auto" w:val="clear"/>
        </w:rPr>
        <w:t xml:space="preserve"> Florianópolis , v.5,n.2 , p. 321-348, jul. 1997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IBGE. </w:t>
      </w:r>
      <w:r>
        <w:rPr>
          <w:rFonts w:ascii="Times New Roman" w:hAnsi="Times New Roman" w:cs="Times New Roman" w:eastAsia="Times New Roman"/>
          <w:b/>
          <w:color w:val="auto"/>
          <w:spacing w:val="0"/>
          <w:position w:val="0"/>
          <w:sz w:val="24"/>
          <w:shd w:fill="auto" w:val="clear"/>
        </w:rPr>
        <w:t xml:space="preserve">Instituto Brasileiro de Geografía e Estatística</w:t>
      </w:r>
      <w:r>
        <w:rPr>
          <w:rFonts w:ascii="Times New Roman" w:hAnsi="Times New Roman" w:cs="Times New Roman" w:eastAsia="Times New Roman"/>
          <w:color w:val="auto"/>
          <w:spacing w:val="0"/>
          <w:position w:val="0"/>
          <w:sz w:val="24"/>
          <w:shd w:fill="auto" w:val="clear"/>
        </w:rPr>
        <w:t xml:space="preserve">. Pesquisa Mensal de Emprego-PME. Mulher no mercado de trabalho: perguntas e despostas, 2010. Disponível em:  </w:t>
      </w:r>
      <w:hyperlink xmlns:r="http://schemas.openxmlformats.org/officeDocument/2006/relationships" r:id="docRId218">
        <w:r>
          <w:rPr>
            <w:rFonts w:ascii="Times New Roman" w:hAnsi="Times New Roman" w:cs="Times New Roman" w:eastAsia="Times New Roman"/>
            <w:color w:val="0000FF"/>
            <w:spacing w:val="0"/>
            <w:position w:val="0"/>
            <w:sz w:val="24"/>
            <w:u w:val="single"/>
            <w:shd w:fill="auto" w:val="clear"/>
          </w:rPr>
          <w:t xml:space="preserve">http://www.ibge.gov.br/home/estatistica/indicadores/trabalhoerendimento/pme_nova/Mulher_Mercado_Trabalho_Perg_Resp.pdf</w:t>
        </w:r>
      </w:hyperlink>
      <w:r>
        <w:rPr>
          <w:rFonts w:ascii="Times New Roman" w:hAnsi="Times New Roman" w:cs="Times New Roman" w:eastAsia="Times New Roman"/>
          <w:color w:val="auto"/>
          <w:spacing w:val="0"/>
          <w:position w:val="0"/>
          <w:sz w:val="24"/>
          <w:shd w:fill="auto" w:val="clear"/>
        </w:rPr>
        <w:t xml:space="preserve">.  Acesso em 8 mar.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IBGE. </w:t>
      </w:r>
      <w:r>
        <w:rPr>
          <w:rFonts w:ascii="Times New Roman" w:hAnsi="Times New Roman" w:cs="Times New Roman" w:eastAsia="Times New Roman"/>
          <w:b/>
          <w:color w:val="auto"/>
          <w:spacing w:val="0"/>
          <w:position w:val="0"/>
          <w:sz w:val="24"/>
          <w:shd w:fill="auto" w:val="clear"/>
        </w:rPr>
        <w:t xml:space="preserve">Instituto Brasileiro de Geografía e Estadística</w:t>
      </w:r>
      <w:r>
        <w:rPr>
          <w:rFonts w:ascii="Times New Roman" w:hAnsi="Times New Roman" w:cs="Times New Roman" w:eastAsia="Times New Roman"/>
          <w:color w:val="auto"/>
          <w:spacing w:val="0"/>
          <w:position w:val="0"/>
          <w:sz w:val="24"/>
          <w:shd w:fill="auto" w:val="clear"/>
        </w:rPr>
        <w:t xml:space="preserve">. Banco de Dados Agregados. Sistema IBGE de recuperação automática – SIDRA. Censo demográfico e contagem da população 2000. Disponible em: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19">
        <w:r>
          <w:rPr>
            <w:rFonts w:ascii="Times New Roman" w:hAnsi="Times New Roman" w:cs="Times New Roman" w:eastAsia="Times New Roman"/>
            <w:color w:val="0000FF"/>
            <w:spacing w:val="0"/>
            <w:position w:val="0"/>
            <w:sz w:val="24"/>
            <w:u w:val="single"/>
            <w:shd w:fill="auto" w:val="clear"/>
          </w:rPr>
          <w:t xml:space="preserve">http://www.sidra.ibge.gov.br/bda/tabela/protabl.asp?c=202</w:t>
        </w:r>
        <w:r>
          <w:rPr>
            <w:rFonts w:ascii="Times New Roman" w:hAnsi="Times New Roman" w:cs="Times New Roman" w:eastAsia="Times New Roman"/>
            <w:vanish/>
            <w:color w:val="0000FF"/>
            <w:spacing w:val="0"/>
            <w:position w:val="0"/>
            <w:sz w:val="24"/>
            <w:u w:val="single"/>
            <w:shd w:fill="auto" w:val="clear"/>
          </w:rPr>
          <w:t xml:space="preserve">HYPERLINK "http://www.sidra.ibge.gov.br/bda/tabela/protabl.asp?c=202&amp;z=cd&amp;o=4&amp;i=P"</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"http://www.sidra.ibge.gov.br/bda/tabela/protabl.asp?c=202&amp;z=cd&amp;o=4&amp;i=P"</w:t>
        </w:r>
        <w:r>
          <w:rPr>
            <w:rFonts w:ascii="Times New Roman" w:hAnsi="Times New Roman" w:cs="Times New Roman" w:eastAsia="Times New Roman"/>
            <w:color w:val="0000FF"/>
            <w:spacing w:val="0"/>
            <w:position w:val="0"/>
            <w:sz w:val="24"/>
            <w:u w:val="single"/>
            <w:shd w:fill="auto" w:val="clear"/>
          </w:rPr>
          <w:t xml:space="preserve">z=cd</w:t>
        </w:r>
        <w:r>
          <w:rPr>
            <w:rFonts w:ascii="Times New Roman" w:hAnsi="Times New Roman" w:cs="Times New Roman" w:eastAsia="Times New Roman"/>
            <w:vanish/>
            <w:color w:val="0000FF"/>
            <w:spacing w:val="0"/>
            <w:position w:val="0"/>
            <w:sz w:val="24"/>
            <w:u w:val="single"/>
            <w:shd w:fill="auto" w:val="clear"/>
          </w:rPr>
          <w:t xml:space="preserve">HYPERLINK "http://www.sidra.ibge.gov.br/bda/tabela/protabl.asp?c=202&amp;z=cd&amp;o=4&amp;i=P"</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"http://www.sidra.ibge.gov.br/bda/tabela/protabl.asp?c=202&amp;z=cd&amp;o=4&amp;i=P"</w:t>
        </w:r>
        <w:r>
          <w:rPr>
            <w:rFonts w:ascii="Times New Roman" w:hAnsi="Times New Roman" w:cs="Times New Roman" w:eastAsia="Times New Roman"/>
            <w:color w:val="0000FF"/>
            <w:spacing w:val="0"/>
            <w:position w:val="0"/>
            <w:sz w:val="24"/>
            <w:u w:val="single"/>
            <w:shd w:fill="auto" w:val="clear"/>
          </w:rPr>
          <w:t xml:space="preserve">o=4</w:t>
        </w:r>
        <w:r>
          <w:rPr>
            <w:rFonts w:ascii="Times New Roman" w:hAnsi="Times New Roman" w:cs="Times New Roman" w:eastAsia="Times New Roman"/>
            <w:vanish/>
            <w:color w:val="0000FF"/>
            <w:spacing w:val="0"/>
            <w:position w:val="0"/>
            <w:sz w:val="24"/>
            <w:u w:val="single"/>
            <w:shd w:fill="auto" w:val="clear"/>
          </w:rPr>
          <w:t xml:space="preserve">HYPERLINK "http://www.sidra.ibge.gov.br/bda/tabela/protabl.asp?c=202&amp;z=cd&amp;o=4&amp;i=P"</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"http://www.sidra.ibge.gov.br/bda/tabela/protabl.asp?c=202&amp;z=cd&amp;o=4&amp;i=P"</w:t>
        </w:r>
        <w:r>
          <w:rPr>
            <w:rFonts w:ascii="Times New Roman" w:hAnsi="Times New Roman" w:cs="Times New Roman" w:eastAsia="Times New Roman"/>
            <w:color w:val="0000FF"/>
            <w:spacing w:val="0"/>
            <w:position w:val="0"/>
            <w:sz w:val="24"/>
            <w:u w:val="single"/>
            <w:shd w:fill="auto" w:val="clear"/>
          </w:rPr>
          <w:t xml:space="preserve">i=P</w:t>
        </w:r>
      </w:hyperlink>
      <w:r>
        <w:rPr>
          <w:rFonts w:ascii="Times New Roman" w:hAnsi="Times New Roman" w:cs="Times New Roman" w:eastAsia="Times New Roman"/>
          <w:color w:val="auto"/>
          <w:spacing w:val="0"/>
          <w:position w:val="0"/>
          <w:sz w:val="24"/>
          <w:shd w:fill="auto" w:val="clear"/>
        </w:rPr>
        <w:t xml:space="preserve"> Acesso em: 10 mar.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FARAH, Marta Ferreira Santos. Gênero e políticas públicas. Feira e Congresso Internacional de Cidades. </w:t>
      </w:r>
      <w:r>
        <w:rPr>
          <w:rFonts w:ascii="Times New Roman" w:hAnsi="Times New Roman" w:cs="Times New Roman" w:eastAsia="Times New Roman"/>
          <w:b/>
          <w:color w:val="auto"/>
          <w:spacing w:val="0"/>
          <w:position w:val="0"/>
          <w:sz w:val="24"/>
          <w:shd w:fill="auto" w:val="clear"/>
        </w:rPr>
        <w:t xml:space="preserve">Seminário Nacional de Coordenadorias da Mulher no Nível Municipal</w:t>
      </w:r>
      <w:r>
        <w:rPr>
          <w:rFonts w:ascii="Times New Roman" w:hAnsi="Times New Roman" w:cs="Times New Roman" w:eastAsia="Times New Roman"/>
          <w:color w:val="auto"/>
          <w:spacing w:val="0"/>
          <w:position w:val="0"/>
          <w:sz w:val="24"/>
          <w:shd w:fill="auto" w:val="clear"/>
        </w:rPr>
        <w:t xml:space="preserve">: o Governo da Cidade do ponto de vista das Mulheres. São Paulo, 2003. Disponível em: </w:t>
      </w:r>
      <w:hyperlink xmlns:r="http://schemas.openxmlformats.org/officeDocument/2006/relationships" r:id="docRId220">
        <w:r>
          <w:rPr>
            <w:rFonts w:ascii="Times New Roman" w:hAnsi="Times New Roman" w:cs="Times New Roman" w:eastAsia="Times New Roman"/>
            <w:color w:val="0000FF"/>
            <w:spacing w:val="0"/>
            <w:position w:val="0"/>
            <w:sz w:val="24"/>
            <w:u w:val="single"/>
            <w:shd w:fill="auto" w:val="clear"/>
          </w:rPr>
          <w:t xml:space="preserve">http://ww2.prefeitura.sp.gov.br//cidadania/conselhos_e_coordenadorias/coordenadoria_da_mulher/Politicas_Genero_2.pdf</w:t>
        </w:r>
      </w:hyperlink>
      <w:r>
        <w:rPr>
          <w:rFonts w:ascii="Times New Roman" w:hAnsi="Times New Roman" w:cs="Times New Roman" w:eastAsia="Times New Roman"/>
          <w:color w:val="auto"/>
          <w:spacing w:val="0"/>
          <w:position w:val="0"/>
          <w:sz w:val="24"/>
          <w:shd w:fill="auto" w:val="clear"/>
        </w:rPr>
        <w:t xml:space="preserve"> . Acesso em 10 mai.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FLORIANÓPOLIS. </w:t>
      </w:r>
      <w:r>
        <w:rPr>
          <w:rFonts w:ascii="Times New Roman" w:hAnsi="Times New Roman" w:cs="Times New Roman" w:eastAsia="Times New Roman"/>
          <w:b/>
          <w:color w:val="auto"/>
          <w:spacing w:val="0"/>
          <w:position w:val="0"/>
          <w:sz w:val="24"/>
          <w:shd w:fill="auto" w:val="clear"/>
        </w:rPr>
        <w:t xml:space="preserve">Lei nº 2600</w:t>
      </w:r>
      <w:r>
        <w:rPr>
          <w:rFonts w:ascii="Times New Roman" w:hAnsi="Times New Roman" w:cs="Times New Roman" w:eastAsia="Times New Roman"/>
          <w:color w:val="auto"/>
          <w:spacing w:val="0"/>
          <w:position w:val="0"/>
          <w:sz w:val="24"/>
          <w:shd w:fill="auto" w:val="clear"/>
        </w:rPr>
        <w:t xml:space="preserve"> – Institui a Fundação Municipal de Esportes. Câmara Municipal de Florianópolis, 1987.</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w:t>
      </w:r>
      <w:r>
        <w:rPr>
          <w:rFonts w:ascii="Times New Roman" w:hAnsi="Times New Roman" w:cs="Times New Roman" w:eastAsia="Times New Roman"/>
          <w:b/>
          <w:color w:val="auto"/>
          <w:spacing w:val="0"/>
          <w:position w:val="0"/>
          <w:sz w:val="24"/>
          <w:shd w:fill="auto" w:val="clear"/>
        </w:rPr>
        <w:t xml:space="preserve">Lei nº 7279</w:t>
      </w:r>
      <w:r>
        <w:rPr>
          <w:rFonts w:ascii="Times New Roman" w:hAnsi="Times New Roman" w:cs="Times New Roman" w:eastAsia="Times New Roman"/>
          <w:color w:val="auto"/>
          <w:spacing w:val="0"/>
          <w:position w:val="0"/>
          <w:sz w:val="24"/>
          <w:shd w:fill="auto" w:val="clear"/>
        </w:rPr>
        <w:t xml:space="preserve"> – Dispõe sobre a Política Municipal de Esporte. Câmara Municipal de Florianópolis, 2007.</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w:t>
      </w:r>
      <w:r>
        <w:rPr>
          <w:rFonts w:ascii="Times New Roman" w:hAnsi="Times New Roman" w:cs="Times New Roman" w:eastAsia="Times New Roman"/>
          <w:b/>
          <w:color w:val="auto"/>
          <w:spacing w:val="0"/>
          <w:position w:val="0"/>
          <w:sz w:val="24"/>
          <w:shd w:fill="auto" w:val="clear"/>
        </w:rPr>
        <w:t xml:space="preserve">Lei nº 8090</w:t>
      </w:r>
      <w:r>
        <w:rPr>
          <w:rFonts w:ascii="Times New Roman" w:hAnsi="Times New Roman" w:cs="Times New Roman" w:eastAsia="Times New Roman"/>
          <w:color w:val="auto"/>
          <w:spacing w:val="0"/>
          <w:position w:val="0"/>
          <w:sz w:val="24"/>
          <w:shd w:fill="auto" w:val="clear"/>
        </w:rPr>
        <w:t xml:space="preserve"> – Dispõe sobre a criação, composição, competência e funcionamento do Conselho Municipal de Esporte e Lazer. Câmara Municipal de Florianópolis, 2009.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FONSECA, Jorge L. C. Lyra da. </w:t>
      </w:r>
      <w:r>
        <w:rPr>
          <w:rFonts w:ascii="Times New Roman" w:hAnsi="Times New Roman" w:cs="Times New Roman" w:eastAsia="Times New Roman"/>
          <w:b/>
          <w:color w:val="auto"/>
          <w:spacing w:val="0"/>
          <w:position w:val="0"/>
          <w:sz w:val="24"/>
          <w:shd w:fill="auto" w:val="clear"/>
        </w:rPr>
        <w:t xml:space="preserve">Homens, feminismo e direitos reprodutivos no Brasil: uma </w:t>
      </w:r>
      <w:r>
        <w:rPr>
          <w:rFonts w:ascii="Times New Roman" w:hAnsi="Times New Roman" w:cs="Times New Roman" w:eastAsia="Times New Roman"/>
          <w:color w:val="auto"/>
          <w:spacing w:val="0"/>
          <w:position w:val="0"/>
          <w:sz w:val="24"/>
          <w:shd w:fill="auto" w:val="clear"/>
        </w:rPr>
        <w:t xml:space="preserve">análise de gênero no campo das políticas públicas (2003-2006). Tese (Doutorado em Saúde Pública) - Recife: Centro de Pesquisas Aggeu Magalhães, Fundação Oswaldo Cruz, 2008. </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IPEA. </w:t>
      </w:r>
      <w:r>
        <w:rPr>
          <w:rFonts w:ascii="Times New Roman" w:hAnsi="Times New Roman" w:cs="Times New Roman" w:eastAsia="Times New Roman"/>
          <w:b/>
          <w:color w:val="auto"/>
          <w:spacing w:val="0"/>
          <w:position w:val="0"/>
          <w:sz w:val="24"/>
          <w:shd w:fill="auto" w:val="clear"/>
        </w:rPr>
        <w:t xml:space="preserve">Instituto de Pesquisa Econômica e Aplicada</w:t>
      </w:r>
      <w:r>
        <w:rPr>
          <w:rFonts w:ascii="Times New Roman" w:hAnsi="Times New Roman" w:cs="Times New Roman" w:eastAsia="Times New Roman"/>
          <w:color w:val="auto"/>
          <w:spacing w:val="0"/>
          <w:position w:val="0"/>
          <w:sz w:val="24"/>
          <w:shd w:fill="auto" w:val="clear"/>
        </w:rPr>
        <w:t xml:space="preserve">. Comunicado do Ipea nº 40. Mulher e Trabalho: avanços e continuidades, 2010. Disponível em: </w:t>
      </w:r>
      <w:hyperlink xmlns:r="http://schemas.openxmlformats.org/officeDocument/2006/relationships" r:id="docRId221">
        <w:r>
          <w:rPr>
            <w:rFonts w:ascii="Times New Roman" w:hAnsi="Times New Roman" w:cs="Times New Roman" w:eastAsia="Times New Roman"/>
            <w:color w:val="0000FF"/>
            <w:spacing w:val="0"/>
            <w:position w:val="0"/>
            <w:sz w:val="24"/>
            <w:u w:val="single"/>
            <w:shd w:fill="auto" w:val="clear"/>
          </w:rPr>
          <w:t xml:space="preserve">http://agencia.ipea.gov.br/images/stories/PDFs/100308_comu40mulheres.pdf</w:t>
        </w:r>
      </w:hyperlink>
      <w:r>
        <w:rPr>
          <w:rFonts w:ascii="Times New Roman" w:hAnsi="Times New Roman" w:cs="Times New Roman" w:eastAsia="Times New Roman"/>
          <w:color w:val="auto"/>
          <w:spacing w:val="0"/>
          <w:position w:val="0"/>
          <w:sz w:val="24"/>
          <w:shd w:fill="auto" w:val="clear"/>
        </w:rPr>
        <w:t xml:space="preserve">.  Acesso em 8 mar.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GAIA, Roberta C., SANTOS, Ana Paula. Ginástica e discussões de gênero: a ginástica rítmica na formação profissional em Educação Física. </w:t>
      </w:r>
      <w:r>
        <w:rPr>
          <w:rFonts w:ascii="Times New Roman" w:hAnsi="Times New Roman" w:cs="Times New Roman" w:eastAsia="Times New Roman"/>
          <w:b/>
          <w:color w:val="auto"/>
          <w:spacing w:val="0"/>
          <w:position w:val="0"/>
          <w:sz w:val="24"/>
          <w:shd w:fill="auto" w:val="clear"/>
        </w:rPr>
        <w:t xml:space="preserve">ANAIS Fazendo Gênero 9</w:t>
      </w:r>
      <w:r>
        <w:rPr>
          <w:rFonts w:ascii="Times New Roman" w:hAnsi="Times New Roman" w:cs="Times New Roman" w:eastAsia="Times New Roman"/>
          <w:color w:val="auto"/>
          <w:spacing w:val="0"/>
          <w:position w:val="0"/>
          <w:sz w:val="24"/>
          <w:shd w:fill="auto" w:val="clear"/>
        </w:rPr>
        <w:t xml:space="preserve">, no prelo, Florianópolis: UFSC,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GAMBOA, Silvio. Quantidade-Qualidade: para além de um dualismo técnico e de uma dicotomia epistemológica. In: SANTOS FILHO, Jose Camilo dos; GAMBOA, Silvio Sanchez. </w:t>
      </w:r>
      <w:r>
        <w:rPr>
          <w:rFonts w:ascii="Times New Roman" w:hAnsi="Times New Roman" w:cs="Times New Roman" w:eastAsia="Times New Roman"/>
          <w:b/>
          <w:color w:val="auto"/>
          <w:spacing w:val="0"/>
          <w:position w:val="0"/>
          <w:sz w:val="24"/>
          <w:shd w:fill="auto" w:val="clear"/>
        </w:rPr>
        <w:t xml:space="preserve">Pesquisa educacional</w:t>
      </w:r>
      <w:r>
        <w:rPr>
          <w:rFonts w:ascii="Times New Roman" w:hAnsi="Times New Roman" w:cs="Times New Roman" w:eastAsia="Times New Roman"/>
          <w:color w:val="auto"/>
          <w:spacing w:val="0"/>
          <w:position w:val="0"/>
          <w:sz w:val="24"/>
          <w:shd w:fill="auto" w:val="clear"/>
        </w:rPr>
        <w:t xml:space="preserve">: quantidade-qualidade. São Paulo: Cortez, 1995.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GOELLNER, Silvana et al. Lazer e gênero: considerações iniciais a partir da experiência do Programa Esporte e Lazer da Cidade. In: FRAGA e tal. </w:t>
      </w:r>
      <w:r>
        <w:rPr>
          <w:rFonts w:ascii="Times New Roman" w:hAnsi="Times New Roman" w:cs="Times New Roman" w:eastAsia="Times New Roman"/>
          <w:b/>
          <w:color w:val="auto"/>
          <w:spacing w:val="0"/>
          <w:position w:val="0"/>
          <w:sz w:val="24"/>
          <w:shd w:fill="auto" w:val="clear"/>
        </w:rPr>
        <w:t xml:space="preserve">Políticas de lazer e saúde em espaços urbanos</w:t>
      </w:r>
      <w:r>
        <w:rPr>
          <w:rFonts w:ascii="Times New Roman" w:hAnsi="Times New Roman" w:cs="Times New Roman" w:eastAsia="Times New Roman"/>
          <w:color w:val="auto"/>
          <w:spacing w:val="0"/>
          <w:position w:val="0"/>
          <w:sz w:val="24"/>
          <w:shd w:fill="auto" w:val="clear"/>
        </w:rPr>
        <w:t xml:space="preserve">. Porto Alegre, Gênese, 2009.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8640" w:leader="none"/>
          <w:tab w:val="left" w:pos="9540" w:leader="none"/>
        </w:tabs>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GOELLNER, Silvana. A educação física e a construção do corpo da mulher: imagens de feminilidade. </w:t>
      </w:r>
      <w:r>
        <w:rPr>
          <w:rFonts w:ascii="Times New Roman" w:hAnsi="Times New Roman" w:cs="Times New Roman" w:eastAsia="Times New Roman"/>
          <w:b/>
          <w:color w:val="auto"/>
          <w:spacing w:val="0"/>
          <w:position w:val="0"/>
          <w:sz w:val="24"/>
          <w:shd w:fill="auto" w:val="clear"/>
        </w:rPr>
        <w:t xml:space="preserve">Revista Motrivivênvia.</w:t>
      </w:r>
      <w:r>
        <w:rPr>
          <w:rFonts w:ascii="Times New Roman" w:hAnsi="Times New Roman" w:cs="Times New Roman" w:eastAsia="Times New Roman"/>
          <w:color w:val="auto"/>
          <w:spacing w:val="0"/>
          <w:position w:val="0"/>
          <w:sz w:val="24"/>
          <w:shd w:fill="auto" w:val="clear"/>
        </w:rPr>
        <w:t xml:space="preserve"> Florianópolis, ano. XII, n.16, mar. 2001.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w:t>
      </w:r>
      <w:r>
        <w:rPr>
          <w:rFonts w:ascii="Times New Roman" w:hAnsi="Times New Roman" w:cs="Times New Roman" w:eastAsia="Times New Roman"/>
          <w:color w:val="111111"/>
          <w:spacing w:val="0"/>
          <w:position w:val="0"/>
          <w:sz w:val="24"/>
          <w:shd w:fill="auto" w:val="clear"/>
        </w:rPr>
        <w:t xml:space="preserve">Feminismos, mulheres e esportes: questões epistemológicas sobre o fazer historiográfico. </w:t>
      </w:r>
      <w:r>
        <w:rPr>
          <w:rFonts w:ascii="Times New Roman" w:hAnsi="Times New Roman" w:cs="Times New Roman" w:eastAsia="Times New Roman"/>
          <w:b/>
          <w:color w:val="111111"/>
          <w:spacing w:val="0"/>
          <w:position w:val="0"/>
          <w:sz w:val="24"/>
          <w:shd w:fill="auto" w:val="clear"/>
        </w:rPr>
        <w:t xml:space="preserve">Movimento</w:t>
      </w:r>
      <w:r>
        <w:rPr>
          <w:rFonts w:ascii="Times New Roman" w:hAnsi="Times New Roman" w:cs="Times New Roman" w:eastAsia="Times New Roman"/>
          <w:color w:val="111111"/>
          <w:spacing w:val="0"/>
          <w:position w:val="0"/>
          <w:sz w:val="24"/>
          <w:shd w:fill="auto" w:val="clear"/>
        </w:rPr>
        <w:t xml:space="preserve">. Porto Alegre, vol. 13, n.2, </w:t>
      </w:r>
      <w:r>
        <w:rPr>
          <w:rFonts w:ascii="Times New Roman" w:hAnsi="Times New Roman" w:cs="Times New Roman" w:eastAsia="Times New Roman"/>
          <w:color w:val="auto"/>
          <w:spacing w:val="0"/>
          <w:position w:val="0"/>
          <w:sz w:val="24"/>
          <w:shd w:fill="auto" w:val="clear"/>
        </w:rPr>
        <w:t xml:space="preserve">p.171-196, maio/agosto de 2007.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Mulher e esporte no Brasil: entre incentivos e interdições elas fazem história. </w:t>
      </w:r>
      <w:r>
        <w:rPr>
          <w:rFonts w:ascii="Times New Roman" w:hAnsi="Times New Roman" w:cs="Times New Roman" w:eastAsia="Times New Roman"/>
          <w:b/>
          <w:color w:val="auto"/>
          <w:spacing w:val="0"/>
          <w:position w:val="0"/>
          <w:sz w:val="24"/>
          <w:shd w:fill="auto" w:val="clear"/>
        </w:rPr>
        <w:t xml:space="preserve">Pensar a prática.</w:t>
      </w:r>
      <w:r>
        <w:rPr>
          <w:rFonts w:ascii="Times New Roman" w:hAnsi="Times New Roman" w:cs="Times New Roman" w:eastAsia="Times New Roman"/>
          <w:color w:val="auto"/>
          <w:spacing w:val="0"/>
          <w:position w:val="0"/>
          <w:sz w:val="24"/>
          <w:shd w:fill="auto" w:val="clear"/>
        </w:rPr>
        <w:t xml:space="preserve"> Goiânia. V. 8, nº 1, p. 85 – 100, jan./jun. 2005.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LAVILLE, Christian e DIONNE, Jean. </w:t>
      </w:r>
      <w:r>
        <w:rPr>
          <w:rFonts w:ascii="Times New Roman" w:hAnsi="Times New Roman" w:cs="Times New Roman" w:eastAsia="Times New Roman"/>
          <w:b/>
          <w:color w:val="auto"/>
          <w:spacing w:val="0"/>
          <w:position w:val="0"/>
          <w:sz w:val="24"/>
          <w:shd w:fill="auto" w:val="clear"/>
        </w:rPr>
        <w:t xml:space="preserve">A construção do saber</w:t>
      </w:r>
      <w:r>
        <w:rPr>
          <w:rFonts w:ascii="Times New Roman" w:hAnsi="Times New Roman" w:cs="Times New Roman" w:eastAsia="Times New Roman"/>
          <w:color w:val="auto"/>
          <w:spacing w:val="0"/>
          <w:position w:val="0"/>
          <w:sz w:val="24"/>
          <w:shd w:fill="auto" w:val="clear"/>
        </w:rPr>
        <w:t xml:space="preserve">: manual de metodología  de pesquisa em ciências humanas. Porto Alegre: Artmed, 1999.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LINHALES, Meily A. esporte e lazer na Grande BH: por onde caminham as gestões públicas. In: LINHALES, Meyli e ISAYAMA, Hélder (orgs.). </w:t>
      </w:r>
      <w:r>
        <w:rPr>
          <w:rFonts w:ascii="Times New Roman" w:hAnsi="Times New Roman" w:cs="Times New Roman" w:eastAsia="Times New Roman"/>
          <w:b/>
          <w:color w:val="auto"/>
          <w:spacing w:val="0"/>
          <w:position w:val="0"/>
          <w:sz w:val="24"/>
          <w:shd w:fill="auto" w:val="clear"/>
        </w:rPr>
        <w:t xml:space="preserve">Avaliação de política e políticas de avaliação</w:t>
      </w:r>
      <w:r>
        <w:rPr>
          <w:rFonts w:ascii="Times New Roman" w:hAnsi="Times New Roman" w:cs="Times New Roman" w:eastAsia="Times New Roman"/>
          <w:color w:val="auto"/>
          <w:spacing w:val="0"/>
          <w:position w:val="0"/>
          <w:sz w:val="24"/>
          <w:shd w:fill="auto" w:val="clear"/>
        </w:rPr>
        <w:t xml:space="preserve">. Belo Horizonte: Editora UFMG, 2008.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LOURO, Guacira L. </w:t>
      </w:r>
      <w:r>
        <w:rPr>
          <w:rFonts w:ascii="Times New Roman" w:hAnsi="Times New Roman" w:cs="Times New Roman" w:eastAsia="Times New Roman"/>
          <w:b/>
          <w:color w:val="auto"/>
          <w:spacing w:val="0"/>
          <w:position w:val="0"/>
          <w:sz w:val="24"/>
          <w:shd w:fill="auto" w:val="clear"/>
        </w:rPr>
        <w:t xml:space="preserve">Gênero, sexualidade e educação</w:t>
      </w:r>
      <w:r>
        <w:rPr>
          <w:rFonts w:ascii="Times New Roman" w:hAnsi="Times New Roman" w:cs="Times New Roman" w:eastAsia="Times New Roman"/>
          <w:color w:val="auto"/>
          <w:spacing w:val="0"/>
          <w:position w:val="0"/>
          <w:sz w:val="24"/>
          <w:shd w:fill="auto" w:val="clear"/>
        </w:rPr>
        <w:t xml:space="preserve">: uma perspectiva pós estruturalista. 5. ed. Petrópolis: Vozes, 1997.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LUZ JÚNIOR. Agripino Alves. </w:t>
      </w:r>
      <w:r>
        <w:rPr>
          <w:rFonts w:ascii="Times New Roman" w:hAnsi="Times New Roman" w:cs="Times New Roman" w:eastAsia="Times New Roman"/>
          <w:b/>
          <w:color w:val="auto"/>
          <w:spacing w:val="0"/>
          <w:position w:val="0"/>
          <w:sz w:val="24"/>
          <w:shd w:fill="auto" w:val="clear"/>
        </w:rPr>
        <w:t xml:space="preserve">Educação Física e gênero</w:t>
      </w:r>
      <w:r>
        <w:rPr>
          <w:rFonts w:ascii="Times New Roman" w:hAnsi="Times New Roman" w:cs="Times New Roman" w:eastAsia="Times New Roman"/>
          <w:color w:val="auto"/>
          <w:spacing w:val="0"/>
          <w:position w:val="0"/>
          <w:sz w:val="24"/>
          <w:shd w:fill="auto" w:val="clear"/>
        </w:rPr>
        <w:t xml:space="preserve">: olhares em cena. São Luís: Impressa Universitária/UFMA/CORSUP, 2003.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MENICUCCI, Telma. Políticas de esporte e lazer: o estado da arte e um objeto em construção. In: ISAYAMA, Hélder e LINHALES, Meily (org). </w:t>
      </w:r>
      <w:r>
        <w:rPr>
          <w:rFonts w:ascii="Times New Roman" w:hAnsi="Times New Roman" w:cs="Times New Roman" w:eastAsia="Times New Roman"/>
          <w:b/>
          <w:color w:val="auto"/>
          <w:spacing w:val="0"/>
          <w:position w:val="0"/>
          <w:sz w:val="24"/>
          <w:shd w:fill="auto" w:val="clear"/>
        </w:rPr>
        <w:t xml:space="preserve">Avaliação de políticas e políticas de avaliação</w:t>
      </w:r>
      <w:r>
        <w:rPr>
          <w:rFonts w:ascii="Times New Roman" w:hAnsi="Times New Roman" w:cs="Times New Roman" w:eastAsia="Times New Roman"/>
          <w:color w:val="auto"/>
          <w:spacing w:val="0"/>
          <w:position w:val="0"/>
          <w:sz w:val="24"/>
          <w:shd w:fill="auto" w:val="clear"/>
        </w:rPr>
        <w:t xml:space="preserve">: questões para o esporte e o lazer. Belo Horizonte: Ed UFMG, 2008.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 Políticas públicas de lazer: questões analíticas e desafios políticos. In: ISAYAMA, Hélder e LINHALES, Meily (org). </w:t>
      </w:r>
      <w:r>
        <w:rPr>
          <w:rFonts w:ascii="Times New Roman" w:hAnsi="Times New Roman" w:cs="Times New Roman" w:eastAsia="Times New Roman"/>
          <w:b/>
          <w:color w:val="auto"/>
          <w:spacing w:val="0"/>
          <w:position w:val="0"/>
          <w:sz w:val="24"/>
          <w:shd w:fill="auto" w:val="clear"/>
        </w:rPr>
        <w:t xml:space="preserve">Sobre lazer e política:</w:t>
      </w:r>
      <w:r>
        <w:rPr>
          <w:rFonts w:ascii="Times New Roman" w:hAnsi="Times New Roman" w:cs="Times New Roman" w:eastAsia="Times New Roman"/>
          <w:color w:val="auto"/>
          <w:spacing w:val="0"/>
          <w:position w:val="0"/>
          <w:sz w:val="24"/>
          <w:shd w:fill="auto" w:val="clear"/>
        </w:rPr>
        <w:t xml:space="preserve"> maneiras de ver, maneiras de saber. Belo Horizonte: Ed UFMG, 2006.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MINAYO, Maria Cecilia de Souza . </w:t>
      </w:r>
      <w:r>
        <w:rPr>
          <w:rFonts w:ascii="Times New Roman" w:hAnsi="Times New Roman" w:cs="Times New Roman" w:eastAsia="Times New Roman"/>
          <w:b/>
          <w:color w:val="auto"/>
          <w:spacing w:val="0"/>
          <w:position w:val="0"/>
          <w:sz w:val="24"/>
          <w:shd w:fill="auto" w:val="clear"/>
        </w:rPr>
        <w:t xml:space="preserve">O desafio do conhecimento</w:t>
      </w:r>
      <w:r>
        <w:rPr>
          <w:rFonts w:ascii="Times New Roman" w:hAnsi="Times New Roman" w:cs="Times New Roman" w:eastAsia="Times New Roman"/>
          <w:color w:val="auto"/>
          <w:spacing w:val="0"/>
          <w:position w:val="0"/>
          <w:sz w:val="24"/>
          <w:shd w:fill="auto" w:val="clear"/>
        </w:rPr>
        <w:t xml:space="preserve">: pesquisa qualitativa em saude. 9. ed. São Paulo; São Paulo:Hucitec-Abrasco, 2006.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PAUTASSI, Laura.  Há igualdade na desigualdade? abrangência e limites das ações afirmativas. </w:t>
      </w:r>
      <w:r>
        <w:rPr>
          <w:rFonts w:ascii="Times New Roman" w:hAnsi="Times New Roman" w:cs="Times New Roman" w:eastAsia="Times New Roman"/>
          <w:b/>
          <w:color w:val="auto"/>
          <w:spacing w:val="0"/>
          <w:position w:val="0"/>
          <w:sz w:val="24"/>
          <w:shd w:fill="auto" w:val="clear"/>
        </w:rPr>
        <w:t xml:space="preserve">Revista Internacional de Direitos Humanos</w:t>
      </w:r>
      <w:r>
        <w:rPr>
          <w:rFonts w:ascii="Times New Roman" w:hAnsi="Times New Roman" w:cs="Times New Roman" w:eastAsia="Times New Roman"/>
          <w:color w:val="auto"/>
          <w:spacing w:val="0"/>
          <w:position w:val="0"/>
          <w:sz w:val="24"/>
          <w:shd w:fill="auto" w:val="clear"/>
        </w:rPr>
        <w:t xml:space="preserve">. n. 6, Ano 4, p. 70-93, 2007. Disponível em: </w:t>
      </w:r>
      <w:hyperlink xmlns:r="http://schemas.openxmlformats.org/officeDocument/2006/relationships" r:id="docRId222">
        <w:r>
          <w:rPr>
            <w:rFonts w:ascii="Times New Roman" w:hAnsi="Times New Roman" w:cs="Times New Roman" w:eastAsia="Times New Roman"/>
            <w:color w:val="0000FF"/>
            <w:spacing w:val="0"/>
            <w:position w:val="0"/>
            <w:sz w:val="24"/>
            <w:u w:val="single"/>
            <w:shd w:fill="auto" w:val="clear"/>
          </w:rPr>
          <w:t xml:space="preserve">http://bdjur.stj.gov.br/xmlui/bitstream/handle/2011/18204/H%c3%a1_Igualdade_na_Desigualdade.pdf?sequence=4</w:t>
        </w:r>
      </w:hyperlink>
      <w:r>
        <w:rPr>
          <w:rFonts w:ascii="Times New Roman" w:hAnsi="Times New Roman" w:cs="Times New Roman" w:eastAsia="Times New Roman"/>
          <w:color w:val="auto"/>
          <w:spacing w:val="0"/>
          <w:position w:val="0"/>
          <w:sz w:val="24"/>
          <w:shd w:fill="auto" w:val="clear"/>
        </w:rPr>
        <w:t xml:space="preserve"> Acesso em: 20 de setembro de 2010. </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PEDRO, Joana Maria; PINSKY, Carla B. Igualdade e especificidade. In: PINSKY, Jaime; PINSKY, Carla (org). </w:t>
      </w:r>
      <w:r>
        <w:rPr>
          <w:rFonts w:ascii="Times New Roman" w:hAnsi="Times New Roman" w:cs="Times New Roman" w:eastAsia="Times New Roman"/>
          <w:b/>
          <w:color w:val="auto"/>
          <w:spacing w:val="0"/>
          <w:position w:val="0"/>
          <w:sz w:val="24"/>
          <w:shd w:fill="auto" w:val="clear"/>
        </w:rPr>
        <w:t xml:space="preserve">História da cidadania</w:t>
      </w:r>
      <w:r>
        <w:rPr>
          <w:rFonts w:ascii="Times New Roman" w:hAnsi="Times New Roman" w:cs="Times New Roman" w:eastAsia="Times New Roman"/>
          <w:color w:val="auto"/>
          <w:spacing w:val="0"/>
          <w:position w:val="0"/>
          <w:sz w:val="24"/>
          <w:shd w:fill="auto" w:val="clear"/>
        </w:rPr>
        <w:t xml:space="preserve">. São Paulo: Contexto, 2003.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SARAIVA, Maria do Carmo. Por que investigar gênero na educação física, esporte e lazer? </w:t>
      </w:r>
      <w:r>
        <w:rPr>
          <w:rFonts w:ascii="Times New Roman" w:hAnsi="Times New Roman" w:cs="Times New Roman" w:eastAsia="Times New Roman"/>
          <w:b/>
          <w:color w:val="auto"/>
          <w:spacing w:val="0"/>
          <w:position w:val="0"/>
          <w:sz w:val="24"/>
          <w:shd w:fill="auto" w:val="clear"/>
        </w:rPr>
        <w:t xml:space="preserve">Motrivivência</w:t>
      </w:r>
      <w:r>
        <w:rPr>
          <w:rFonts w:ascii="Times New Roman" w:hAnsi="Times New Roman" w:cs="Times New Roman" w:eastAsia="Times New Roman"/>
          <w:color w:val="auto"/>
          <w:spacing w:val="0"/>
          <w:position w:val="0"/>
          <w:sz w:val="24"/>
          <w:shd w:fill="auto" w:val="clear"/>
        </w:rPr>
        <w:t xml:space="preserve">: Florianópolis, Ano XIII, nº 19, dez. 2002.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Gênero: uma categoria útil de análise histórica. </w:t>
      </w:r>
      <w:r>
        <w:rPr>
          <w:rFonts w:ascii="Times New Roman" w:hAnsi="Times New Roman" w:cs="Times New Roman" w:eastAsia="Times New Roman"/>
          <w:b/>
          <w:color w:val="auto"/>
          <w:spacing w:val="0"/>
          <w:position w:val="0"/>
          <w:sz w:val="24"/>
          <w:shd w:fill="auto" w:val="clear"/>
        </w:rPr>
        <w:t xml:space="preserve">Educação e Realidade</w:t>
      </w:r>
      <w:r>
        <w:rPr>
          <w:rFonts w:ascii="Times New Roman" w:hAnsi="Times New Roman" w:cs="Times New Roman" w:eastAsia="Times New Roman"/>
          <w:color w:val="auto"/>
          <w:spacing w:val="0"/>
          <w:position w:val="0"/>
          <w:sz w:val="24"/>
          <w:shd w:fill="auto" w:val="clear"/>
        </w:rPr>
        <w:t xml:space="preserve">. Porto Alegre, vol. 15, n. 2, pp. 5-22, jul./dez., 1990.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Igualdade versus diferença: os usos da teoria pós-estruturalista. In: </w:t>
      </w:r>
      <w:r>
        <w:rPr>
          <w:rFonts w:ascii="Times New Roman" w:hAnsi="Times New Roman" w:cs="Times New Roman" w:eastAsia="Times New Roman"/>
          <w:b/>
          <w:color w:val="auto"/>
          <w:spacing w:val="0"/>
          <w:position w:val="0"/>
          <w:sz w:val="24"/>
          <w:shd w:fill="auto" w:val="clear"/>
        </w:rPr>
        <w:t xml:space="preserve">Debates Feministas</w:t>
      </w:r>
      <w:r>
        <w:rPr>
          <w:rFonts w:ascii="Times New Roman" w:hAnsi="Times New Roman" w:cs="Times New Roman" w:eastAsia="Times New Roman"/>
          <w:color w:val="auto"/>
          <w:spacing w:val="0"/>
          <w:position w:val="0"/>
          <w:sz w:val="24"/>
          <w:shd w:fill="auto" w:val="clear"/>
        </w:rPr>
        <w:t xml:space="preserve">: cidadania e feminismo. México: Metis Productos Culturales SA, 1999.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STROMQUIST, Nelly P. Políticas públicas de Estado e eqüidade de gênero: perspectivas comparativas. Tradução de Vera M.D. Renoldi.  Trabalho apresentado no II Simpósio Anual de Missouri sobre Pesquisa e Política Pública Educacional, Universidade de  Missouri/Columbia, 30 a 31 de março de 1995. </w:t>
      </w:r>
      <w:r>
        <w:rPr>
          <w:rFonts w:ascii="Times New Roman" w:hAnsi="Times New Roman" w:cs="Times New Roman" w:eastAsia="Times New Roman"/>
          <w:b/>
          <w:color w:val="auto"/>
          <w:spacing w:val="0"/>
          <w:position w:val="0"/>
          <w:sz w:val="24"/>
          <w:shd w:fill="auto" w:val="clear"/>
        </w:rPr>
        <w:t xml:space="preserve">Revista Brasileira de Educação</w:t>
      </w:r>
      <w:r>
        <w:rPr>
          <w:rFonts w:ascii="Times New Roman" w:hAnsi="Times New Roman" w:cs="Times New Roman" w:eastAsia="Times New Roman"/>
          <w:color w:val="auto"/>
          <w:spacing w:val="0"/>
          <w:position w:val="0"/>
          <w:sz w:val="24"/>
          <w:shd w:fill="auto" w:val="clear"/>
        </w:rPr>
        <w:t xml:space="preserve">. N. 1, p. 27-49, Jan./Fev./Mar./Abr., 1996.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VIANNA, Claudia P. e UNBEHAUM Sandra. </w:t>
      </w:r>
      <w:r>
        <w:rPr>
          <w:rFonts w:ascii="Times New Roman" w:hAnsi="Times New Roman" w:cs="Times New Roman" w:eastAsia="Times New Roman"/>
          <w:b/>
          <w:color w:val="auto"/>
          <w:spacing w:val="0"/>
          <w:position w:val="0"/>
          <w:sz w:val="24"/>
          <w:shd w:fill="auto" w:val="clear"/>
        </w:rPr>
        <w:t xml:space="preserve">O gênero nas políticas públicas de educação no Brasil: 1988-2002</w:t>
      </w:r>
      <w:r>
        <w:rPr>
          <w:rFonts w:ascii="Times New Roman" w:hAnsi="Times New Roman" w:cs="Times New Roman" w:eastAsia="Times New Roman"/>
          <w:color w:val="auto"/>
          <w:spacing w:val="0"/>
          <w:position w:val="0"/>
          <w:sz w:val="24"/>
          <w:shd w:fill="auto" w:val="clear"/>
        </w:rPr>
        <w:t xml:space="preserve">. Cadernos de Pesquisa, v. 34, n. 121, p. 77-104, Rio de Janeiro. jan./abr. 2004. Disponível em: </w:t>
      </w:r>
      <w:hyperlink xmlns:r="http://schemas.openxmlformats.org/officeDocument/2006/relationships" r:id="docRId223">
        <w:r>
          <w:rPr>
            <w:rFonts w:ascii="Times New Roman" w:hAnsi="Times New Roman" w:cs="Times New Roman" w:eastAsia="Times New Roman"/>
            <w:color w:val="0000FF"/>
            <w:spacing w:val="0"/>
            <w:position w:val="0"/>
            <w:sz w:val="24"/>
            <w:u w:val="single"/>
            <w:shd w:fill="auto" w:val="clear"/>
          </w:rPr>
          <w:t xml:space="preserve">http://www.scielo.br/pdf/cp/v34n121/a05n121.pdf</w:t>
        </w:r>
      </w:hyperlink>
      <w:r>
        <w:rPr>
          <w:rFonts w:ascii="Times New Roman" w:hAnsi="Times New Roman" w:cs="Times New Roman" w:eastAsia="Times New Roman"/>
          <w:color w:val="auto"/>
          <w:spacing w:val="0"/>
          <w:position w:val="0"/>
          <w:sz w:val="24"/>
          <w:shd w:fill="auto" w:val="clear"/>
        </w:rPr>
        <w:t xml:space="preserve"> Acesso em 20 agosto de 2010.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COMO SE DÁ O PRIMEIRO PASSO? - </w:t>
      </w:r>
      <w:r>
        <w:rPr>
          <w:rFonts w:ascii="Times New Roman" w:hAnsi="Times New Roman" w:cs="Times New Roman" w:eastAsia="Times New Roman"/>
          <w:b/>
          <w:color w:val="auto"/>
          <w:spacing w:val="0"/>
          <w:position w:val="0"/>
          <w:sz w:val="24"/>
          <w:shd w:fill="auto" w:val="clear"/>
        </w:rPr>
        <w:t xml:space="preserve"> RACHEL DE QUEIROZ E A ESCRITA DE AUTORIA FEMININA NO BRASIL (1927-1930)</w:t>
      </w:r>
    </w:p>
    <w:p>
      <w:pPr>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Natália de Santanna Guerellus</w:t>
      </w:r>
    </w:p>
    <w:p>
      <w:pPr>
        <w:spacing w:before="0" w:after="0" w:line="36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Universidade Federal Fluminense</w:t>
      </w:r>
    </w:p>
    <w:p>
      <w:pPr>
        <w:spacing w:before="0" w:after="0" w:line="36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Or.: Profa. Dra. Rachel Soihet</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0" w:after="0" w:line="240"/>
        <w:ind w:right="44" w:left="5400"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Muito pouco foi o que ficou nos livros, nos discursos gravados, em algumas frases famosas repetidas de boca em boca. O belíssimo poema, nos seus cantos maiores, foi escrito na areia do mar e agora a maré o desmancha</w:t>
      </w:r>
    </w:p>
    <w:p>
      <w:pPr>
        <w:spacing w:before="0" w:after="0" w:line="240"/>
        <w:ind w:right="44" w:left="5400" w:firstLine="0"/>
        <w:jc w:val="both"/>
        <w:rPr>
          <w:rFonts w:ascii="Times New Roman" w:hAnsi="Times New Roman" w:cs="Times New Roman" w:eastAsia="Times New Roman"/>
          <w:b/>
          <w:i/>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O Caçador de Tatu</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Introdução e Metodologia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novembro de 2010 o Brasil comemora o centenário do nascimento da escritora brasileira Rachel de Queiroz. No entanto, apesar de certo incentivo à pesquisa acerca da obra racheliana, dado por órgãos como o Instituto Moreira Salles na década de 1990, muitas possibilidades de abordagem ainda estão em aberto. Isto porque uma década antes, quando o Brasil registrou um aumento na produção de trabalhos acadêmicos que visavam estudar a participação de mulheres na construção da história nacional, além do resgate da produção feminina nas letras brasileiras, o nome de Rachel de Queiroz não teve tanta projeção nos estudos acadêmicos.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Heloísa Buarque de Hollanda afirma em ensaio publicado pelo IMS (2002 p.103/104): “O melhor é pôr logo os pingos nos is. Rachel de Queiroz, nossa romancista maior, tem hoje uma fortuna crítica reduzida e razoavelmente inexpressiva em relação à posição que ocupa na história da literatura nacional”. Para Hollanda, isso se deve ao medo da academia em relação a Rachel de Queiroz, medo de enfrentar sua relação conflituosa com os movimentos feministas ou com a literatura escrita por mulheres e medo de explicitar as possíveis causas do sucesso e do poder público que esta escritora adquiriu ao longo do tempo, quando transitou com espantosa autoridade e naturalidade pela cena literária e política do país. Aqui acrescentaríamos a marca da Ditadura Militar na trajetória racheliana, uma vez que a autora foi uma das maiores defensoras da “Revolução de 64”.</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Estudar Rachel de Queiroz atualmente, através de conceitos como o de </w:t>
      </w:r>
      <w:r>
        <w:rPr>
          <w:rFonts w:ascii="Times New Roman" w:hAnsi="Times New Roman" w:cs="Times New Roman" w:eastAsia="Times New Roman"/>
          <w:i/>
          <w:color w:val="auto"/>
          <w:spacing w:val="0"/>
          <w:position w:val="0"/>
          <w:sz w:val="24"/>
          <w:shd w:fill="auto" w:val="clear"/>
        </w:rPr>
        <w:t xml:space="preserve">gênero</w:t>
      </w:r>
      <w:r>
        <w:rPr>
          <w:rFonts w:ascii="Times New Roman" w:hAnsi="Times New Roman" w:cs="Times New Roman" w:eastAsia="Times New Roman"/>
          <w:color w:val="auto"/>
          <w:spacing w:val="0"/>
          <w:position w:val="0"/>
          <w:sz w:val="24"/>
          <w:shd w:fill="auto" w:val="clear"/>
        </w:rPr>
        <w:t xml:space="preserve">, possibilita uma análise interdisciplinar que pode revelar aspectos da contribuição das mulheres na história do Brasil república, além de problematizar questões como a escrita de autoria feminina e seu lugar na literatura nacional.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conceito ganha peso no campo historiográfico a partir do famoso artigo publicado por Joan Scott (1990 p.11-30). As problematizações de Scott ampliaram a discussão de </w:t>
      </w:r>
      <w:r>
        <w:rPr>
          <w:rFonts w:ascii="Times New Roman" w:hAnsi="Times New Roman" w:cs="Times New Roman" w:eastAsia="Times New Roman"/>
          <w:i/>
          <w:color w:val="auto"/>
          <w:spacing w:val="0"/>
          <w:position w:val="0"/>
          <w:sz w:val="24"/>
          <w:shd w:fill="auto" w:val="clear"/>
        </w:rPr>
        <w:t xml:space="preserve">gênero</w:t>
      </w:r>
      <w:r>
        <w:rPr>
          <w:rFonts w:ascii="Times New Roman" w:hAnsi="Times New Roman" w:cs="Times New Roman" w:eastAsia="Times New Roman"/>
          <w:color w:val="auto"/>
          <w:spacing w:val="0"/>
          <w:position w:val="0"/>
          <w:sz w:val="24"/>
          <w:shd w:fill="auto" w:val="clear"/>
        </w:rPr>
        <w:t xml:space="preserve"> para além da história das mulheres, afirmando sua importância teórica em qualquer estudo da história e das demais ciências sociais, pela importância que ele adquire ao articular noções como poder, discurso e a marginalidade do gênero feminino na sociedade ocidental. Além disso, </w:t>
      </w:r>
      <w:r>
        <w:rPr>
          <w:rFonts w:ascii="Times New Roman" w:hAnsi="Times New Roman" w:cs="Times New Roman" w:eastAsia="Times New Roman"/>
          <w:i/>
          <w:color w:val="auto"/>
          <w:spacing w:val="0"/>
          <w:position w:val="0"/>
          <w:sz w:val="24"/>
          <w:shd w:fill="auto" w:val="clear"/>
        </w:rPr>
        <w:t xml:space="preserve">gênero</w:t>
      </w:r>
      <w:r>
        <w:rPr>
          <w:rFonts w:ascii="Times New Roman" w:hAnsi="Times New Roman" w:cs="Times New Roman" w:eastAsia="Times New Roman"/>
          <w:color w:val="auto"/>
          <w:spacing w:val="0"/>
          <w:position w:val="0"/>
          <w:sz w:val="24"/>
          <w:shd w:fill="auto" w:val="clear"/>
        </w:rPr>
        <w:t xml:space="preserve"> configura-se enquanto categoria relacional que evidencia a pluralidade das experiências humanas, de modo que não pode ser desarticulada de noções como raça, classe, geração, sexualidade, nacionalidade, etc.</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Dito isto, podemos notar que alguns trabalhos tem sido feitos no sentido de problematizar a produção literária racheliana, mormente em relação à sua obra cronística, gênero ao qual a autora mais se dedicou ao longo da vida.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Nosso trabaho, no entanto, tem um objetivo outro. Através da disciplina que nos compete acreditamos poder problematizar a trajetória de Rachel de Queiroz articulando História e Literatura de acordo com o que vem sendo formulado por historiadores como Roger Chartier (1994, p.102):</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objeto fundamental de uma história cujo projeto é reconhecer a maneira como os atores sociais investem de sentido suas práticas e seus discursos, parece-me residir na tensão entre as capacidades inventivas dos indivíduos ou das comunidades e os constrangimentos, as normas, as convenções que limitam – mais ou menos fortemente, dependendo de sua posição nas relações de dominação – o que lhes é possível pensar, enunciar e fazer. A constatação vale para uma história das obras letradas e das produções estéticas, sempre inscritas no campo dos possíveis que as tornam pensáveis, comunicáveis e compreensíveis – e não se pode deixar de concordar com Stephen Greenblatt quando ele afirma que ‘a obra de arte é o produto de uma negociação entre um criador ou uma classe de criadores e as instituições e práticas da sociedade’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Nesta direção, afirmamos nossa opção por analisar o objeto a ser definido através das chaves da História Social da Cultura, que prima por não desvincular o texto do social. E, neste sentido, aliamos o conceito de </w:t>
      </w:r>
      <w:r>
        <w:rPr>
          <w:rFonts w:ascii="Times New Roman" w:hAnsi="Times New Roman" w:cs="Times New Roman" w:eastAsia="Times New Roman"/>
          <w:i/>
          <w:color w:val="auto"/>
          <w:spacing w:val="0"/>
          <w:position w:val="0"/>
          <w:sz w:val="24"/>
          <w:shd w:fill="auto" w:val="clear"/>
        </w:rPr>
        <w:t xml:space="preserve">gênero </w:t>
      </w:r>
      <w:r>
        <w:rPr>
          <w:rFonts w:ascii="Times New Roman" w:hAnsi="Times New Roman" w:cs="Times New Roman" w:eastAsia="Times New Roman"/>
          <w:color w:val="auto"/>
          <w:spacing w:val="0"/>
          <w:position w:val="0"/>
          <w:sz w:val="24"/>
          <w:shd w:fill="auto" w:val="clear"/>
        </w:rPr>
        <w:t xml:space="preserve">por este contribuir ao articular noções como poder, discurso e feminino.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Objetivo</w:t>
      </w:r>
    </w:p>
    <w:p>
      <w:pPr>
        <w:spacing w:before="0" w:after="0" w:line="360"/>
        <w:ind w:right="-81"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Cearense natural de Fortaleza, Rachel nasceu em 1910, filha Daniel de Queiroz, formado em Direito à época e de Clotilde Franklin, que permaneceria na memória da filha como aquela que indicaria suas leituras e aprendizados no campo da literatura.</w:t>
      </w:r>
    </w:p>
    <w:p>
      <w:pPr>
        <w:spacing w:before="0" w:after="0" w:line="360"/>
        <w:ind w:right="-81"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jovem cearense publicou seus primeiros poemas e crônicas em periódicos locais, como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i/>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Seu primeiro romance, </w:t>
      </w:r>
      <w:r>
        <w:rPr>
          <w:rFonts w:ascii="Times New Roman" w:hAnsi="Times New Roman" w:cs="Times New Roman" w:eastAsia="Times New Roman"/>
          <w:i/>
          <w:color w:val="auto"/>
          <w:spacing w:val="0"/>
          <w:position w:val="0"/>
          <w:sz w:val="24"/>
          <w:shd w:fill="auto" w:val="clear"/>
        </w:rPr>
        <w:t xml:space="preserve">O Quinze,</w:t>
      </w:r>
      <w:r>
        <w:rPr>
          <w:rFonts w:ascii="Times New Roman" w:hAnsi="Times New Roman" w:cs="Times New Roman" w:eastAsia="Times New Roman"/>
          <w:color w:val="auto"/>
          <w:spacing w:val="0"/>
          <w:position w:val="0"/>
          <w:sz w:val="24"/>
          <w:shd w:fill="auto" w:val="clear"/>
        </w:rPr>
        <w:t xml:space="preserve"> surpreendeu o meio literário tanto de Fortaleza quanto do Centro-Sul do país.</w:t>
      </w:r>
    </w:p>
    <w:p>
      <w:pPr>
        <w:spacing w:before="0" w:after="0" w:line="360"/>
        <w:ind w:right="-81"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daí sua produção foi constante, publicando mais três romances ainda na década de 1930, escrevendo crônicas para jornais como </w:t>
      </w:r>
      <w:r>
        <w:rPr>
          <w:rFonts w:ascii="Times New Roman" w:hAnsi="Times New Roman" w:cs="Times New Roman" w:eastAsia="Times New Roman"/>
          <w:i/>
          <w:color w:val="auto"/>
          <w:spacing w:val="0"/>
          <w:position w:val="0"/>
          <w:sz w:val="24"/>
          <w:shd w:fill="auto" w:val="clear"/>
        </w:rPr>
        <w:t xml:space="preserve">Diário de Notícias, O Jornal, Última Hora, Jornal do Comércio, Revista do Brasil. </w:t>
      </w:r>
      <w:r>
        <w:rPr>
          <w:rFonts w:ascii="Times New Roman" w:hAnsi="Times New Roman" w:cs="Times New Roman" w:eastAsia="Times New Roman"/>
          <w:color w:val="auto"/>
          <w:spacing w:val="0"/>
          <w:position w:val="0"/>
          <w:sz w:val="24"/>
          <w:shd w:fill="auto" w:val="clear"/>
        </w:rPr>
        <w:t xml:space="preserve">Em 1945 foi contratada como cronista exclusiva da revista </w:t>
      </w:r>
      <w:r>
        <w:rPr>
          <w:rFonts w:ascii="Times New Roman" w:hAnsi="Times New Roman" w:cs="Times New Roman" w:eastAsia="Times New Roman"/>
          <w:i/>
          <w:color w:val="auto"/>
          <w:spacing w:val="0"/>
          <w:position w:val="0"/>
          <w:sz w:val="24"/>
          <w:shd w:fill="auto" w:val="clear"/>
        </w:rPr>
        <w:t xml:space="preserve">O Cruzeiro, </w:t>
      </w:r>
      <w:r>
        <w:rPr>
          <w:rFonts w:ascii="Times New Roman" w:hAnsi="Times New Roman" w:cs="Times New Roman" w:eastAsia="Times New Roman"/>
          <w:color w:val="auto"/>
          <w:spacing w:val="0"/>
          <w:position w:val="0"/>
          <w:sz w:val="24"/>
          <w:shd w:fill="auto" w:val="clear"/>
        </w:rPr>
        <w:t xml:space="preserve">onde permaneceu até os anos 70.</w:t>
      </w:r>
    </w:p>
    <w:p>
      <w:pPr>
        <w:spacing w:before="0" w:after="0" w:line="360"/>
        <w:ind w:right="-81"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Nesta mesma década voltou aos romances com </w:t>
      </w:r>
      <w:r>
        <w:rPr>
          <w:rFonts w:ascii="Times New Roman" w:hAnsi="Times New Roman" w:cs="Times New Roman" w:eastAsia="Times New Roman"/>
          <w:i/>
          <w:color w:val="auto"/>
          <w:spacing w:val="0"/>
          <w:position w:val="0"/>
          <w:sz w:val="24"/>
          <w:shd w:fill="auto" w:val="clear"/>
        </w:rPr>
        <w:t xml:space="preserve">Dôra, Doralina </w:t>
      </w:r>
      <w:r>
        <w:rPr>
          <w:rFonts w:ascii="Times New Roman" w:hAnsi="Times New Roman" w:cs="Times New Roman" w:eastAsia="Times New Roman"/>
          <w:color w:val="auto"/>
          <w:spacing w:val="0"/>
          <w:position w:val="0"/>
          <w:sz w:val="24"/>
          <w:shd w:fill="auto" w:val="clear"/>
        </w:rPr>
        <w:t xml:space="preserve">e em 1992 publicou seu último romance (</w:t>
      </w:r>
      <w:r>
        <w:rPr>
          <w:rFonts w:ascii="Times New Roman" w:hAnsi="Times New Roman" w:cs="Times New Roman" w:eastAsia="Times New Roman"/>
          <w:i/>
          <w:color w:val="auto"/>
          <w:spacing w:val="0"/>
          <w:position w:val="0"/>
          <w:sz w:val="24"/>
          <w:shd w:fill="auto" w:val="clear"/>
        </w:rPr>
        <w:t xml:space="preserve">Memorial de Maria Moura)-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foi adaptado para a Tv, alcançando grande audiência. Além disso, Rachel de Queiroz escreveu peças de teatro, literatura infanto-juvenil, livros didáticos, trabalhou para órgãos do governo, representou o Brasil na ONU, foi a primeira mulher a entrar para a Academia Brasileira de Letras.</w:t>
      </w:r>
    </w:p>
    <w:p>
      <w:pPr>
        <w:spacing w:before="0" w:after="0" w:line="360"/>
        <w:ind w:right="-81"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seus mais de setenta anos de carreira, envolveu-se em polêmicas principalmente referentes ao aspecto político de sua trajetória, tendo se envolvido com o comunismo e o trotskismo nos anos 1930 e apoiado o golpe militar de 1964. Foi também pioneira em quase todas as suas atividades por ter sido reconhecida nacional e internacionalmente como escritora.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Mesmo assim, muito ainda está por se estudar acerca de Rachel e, através da comemoração de seu centenário, multiplicam-se as pesquisas e as perspectivas acerca da trajetória da autora cearense. Uma contribuição que não podemos deixar de destacar é dada hoje por um conterrâneo seu, o bibliófilo e membro do Insituto Histórico, Geográfico e Antropológico do Ceará, José Augusto Bezerra. Tendo adquirido e acumulado uma biblioteca invejável acerca de Rachel de Queiroz, Bezerra é um importante colaborador dos estudos e pesquisas no Brasil referentes à autora cearense. Através da consulta à sua biblioteca, aliado às demais fontes acumuladas por nossa conta e através de bolsas de pesquisa dentro e fora do país (bolsa PET/CAPES/Cnpq), além do incentivo dado pelo Prêmio de Melhor Pôster 2008 (8º Fazendo Gênero), passamos a pensar a trajetória da escritora antes do ponto zero que se definiu em sua biografia: a publicação do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(1930).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Nosso objetivo, portanto, é problematizar os caminhos percorridos por Rachel de Queiroz antes de publicar seu primeiro romance, ou seja, trilhando seus primeiros passos na escrita. Mesmo que Rachel tenha sido uma exceção entre grande parte das mulheres escritoras de seu tempo, começou como elas e problematizar este caminho entre a autora e sua </w:t>
      </w:r>
      <w:r>
        <w:rPr>
          <w:rFonts w:ascii="Times New Roman" w:hAnsi="Times New Roman" w:cs="Times New Roman" w:eastAsia="Times New Roman"/>
          <w:i/>
          <w:color w:val="auto"/>
          <w:spacing w:val="0"/>
          <w:position w:val="0"/>
          <w:sz w:val="24"/>
          <w:shd w:fill="auto" w:val="clear"/>
        </w:rPr>
        <w:t xml:space="preserve">função-autora</w:t>
      </w:r>
      <w:r>
        <w:rPr>
          <w:rFonts w:ascii="Times New Roman" w:hAnsi="Times New Roman" w:cs="Times New Roman" w:eastAsia="Times New Roman"/>
          <w:color w:val="auto"/>
          <w:spacing w:val="0"/>
          <w:position w:val="0"/>
          <w:sz w:val="24"/>
          <w:shd w:fill="auto" w:val="clear"/>
        </w:rPr>
        <w:t xml:space="preserve"> – para parodiar Foucault (2000) é fundamental para pensarmos a igualdade e a desigualdade costruídas nos caminhos da escrita no Brasil.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Discussão - Como se dá o primeiro passo?</w:t>
      </w:r>
    </w:p>
    <w:p>
      <w:pPr>
        <w:spacing w:before="0" w:after="0" w:line="360"/>
        <w:ind w:right="0" w:left="0" w:firstLine="0"/>
        <w:jc w:val="right"/>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crítica mais conhecida do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primeiro romance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Rachel de Queiroz, foi publicada em </w:t>
      </w:r>
      <w:r>
        <w:rPr>
          <w:rFonts w:ascii="Times New Roman" w:hAnsi="Times New Roman" w:cs="Times New Roman" w:eastAsia="Times New Roman"/>
          <w:i/>
          <w:color w:val="auto"/>
          <w:spacing w:val="0"/>
          <w:position w:val="0"/>
          <w:sz w:val="24"/>
          <w:shd w:fill="auto" w:val="clear"/>
        </w:rPr>
        <w:t xml:space="preserve">As novidades literárias, artísticas e científicas </w:t>
      </w:r>
      <w:r>
        <w:rPr>
          <w:rFonts w:ascii="Times New Roman" w:hAnsi="Times New Roman" w:cs="Times New Roman" w:eastAsia="Times New Roman"/>
          <w:color w:val="auto"/>
          <w:spacing w:val="0"/>
          <w:position w:val="0"/>
          <w:sz w:val="24"/>
          <w:shd w:fill="auto" w:val="clear"/>
        </w:rPr>
        <w:t xml:space="preserve">em 18 de agosto de 1930. Seu autor, Augusto Frederico Schmidt (1930), era poeta conhecido das rodas literárias do Centro-Sul do Brasil e, como grande parte dos intelectuais de sua época, mantinha um espírito crítico para com a literatura que aparecia (MARTINS, 1996, p.591s). Afirma o poeta:</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Dentro da nossa limitadíssima produção feminina [brasileira], não me lembro de nada que seja revelador de tanta possibilidade como esse romance escrito por uma mocinha [Rachel de Queiroz] – (não obstante algumas informações, que venho de obter, há em meu espírito ainda alguma dúvida sobre a autenticidade desses dezenove anos tão singularmente graves e compreensivos) – uma mocinha que veio, pelo menos, dar aos escritores nossos de hoje, e são raros os que não necessitam, uma lição de simplicidade.</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Para nosso propósito, comecemos por este pequeno trecho referente ao primeiro romance da escritora cearense; trecho que revela elogio, desconfiança e surpresa. De fato, difícil acreditar que uma jovem mulher, de apenas dezenove anos, escreveria um romance como aquele que Schmidt tinha em mãos, livro que o poeta elogia ainda sem saber que suas cento e poucas páginas permaneceriam na história da literatura brasileira como um marco, sendo valorizado desde a primeira edição.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No entanto, seria ingênuo dizer que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fora um milagre. Mesmo porque sua autora já escrevia há pelo menos dois anos na imprensa cearense.  Para nós, mais do que saber desta trajetória, importa-nos entender seu significado no contexto geral da escrita de mulheres no Brasil.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assim, convidamos o leitor a pensar os momentos anteriores a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anterior ao ponto zero do ano de 1930 e observar meio de longe, meio de perto, a trajetória de uma mocinha pequena, forte, de cabelos ondulados, professora da Escola Normal de Fortaleza, amante do sertão e descendente de uma família tradicional do Estado.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Rachel era a filha mais velha de Clotilde Franklin e Daniel de Queiroz. Pela parte materna, orgulhava-se de descender dos Alencar, família conhecida na região por sua tradição revolucionária, política e literária (Bárbara de Alencar, Tristão de Alencar Araripe, José de Alencar).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Do lado paterno corria o sangue dos Queiroz, antiga família do sertão, cujas origens foram descritas pelo tio de Rachel, Espiridião de Queiroz Lima, numa crônica familiar (LIMA, 1946). O livro começa “numa bela tarde de junho do ano de 1685” quando o senhor Manoel Pereira de Queiroz, natural da região portuguesa de Viana do Castelo, recebeu em casa seu futuro genro, Antônio Duarte de Queiroz.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dos séculos a descendência estabeleceu-se em Pernambuco, na Bahia, Ceará e Rio Grande do Norte, dedicando-se às mais diversas atividades, desde o cuidado com a terra, até comerciantes, militares, políticos e mesmo justiceiros fora-da-lei. Em um pequeno ramo misturou-se sangue indígena. As mulheres já figuravam, desde o começo, como grandes matronas, administradoras, mulheres fortes, ativas, voluntariosas.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Através da família, Rachel aprendeu a valorizar a erudição e o conhecimento das línguas, mas pouco afeita à instrução formal e regular. Daniel de Queiroz, pai de Rachel, seguiu no começo do século XX a carreira jurídica comum à elite em geral, às vezes dedicando-se ao ensino, o que possibilitou constantes mudanças e viagens, habitações e relações firmadas em diferentes lugares do país, como Rio de Janeiro, Pará, Ceará. Esta mobilidade pode ser percebida como característica muito importante na formação de Rachel uma vez que, segundo Eleutério (2005, p. 62), o fato de a mulher extrapolar o espaço do lar e de uma região específica podia abrir um caminho mais amplo de expectativas e realizações no começo do século XX. Vendo novas paisagens inspiram-se novas formas de conhecimento, e conhecer o outro é elaborar também um discurso sobre si.</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a família foi um pólo norteador do desenvolvimento pessoal e intelectual de Rachel de Queiroz desde a mais tenra idade, sendo educada em ambientes de grande erudição, no qual se destacavam as mulheres: </w:t>
      </w:r>
      <w:r>
        <w:rPr>
          <w:rFonts w:ascii="Times New Roman" w:hAnsi="Times New Roman" w:cs="Times New Roman" w:eastAsia="Times New Roman"/>
          <w:i/>
          <w:color w:val="auto"/>
          <w:spacing w:val="0"/>
          <w:position w:val="0"/>
          <w:sz w:val="24"/>
          <w:shd w:fill="auto" w:val="clear"/>
        </w:rPr>
        <w:t xml:space="preserve">mamãe, tia Beatriz e Elsa (que depois foi ser freira) eram as intelectuais do grupo </w:t>
      </w:r>
      <w:r>
        <w:rPr>
          <w:rFonts w:ascii="Times New Roman" w:hAnsi="Times New Roman" w:cs="Times New Roman" w:eastAsia="Times New Roman"/>
          <w:color w:val="auto"/>
          <w:spacing w:val="0"/>
          <w:position w:val="0"/>
          <w:sz w:val="24"/>
          <w:shd w:fill="auto" w:val="clear"/>
        </w:rPr>
        <w:t xml:space="preserve">(QUEIROZ &amp; QUEIROZ, 1998, p. 17). A família também foi fator importante nas participações políticas, uma vez que garantiu a liberdade de escolha da autora e serviu de intermediária em acusações na justiça e prisões como a de 1932, na qual o tio, Euzébio de Queiroz Lima, conseguiu sua transferência e liberação (</w:t>
      </w:r>
      <w:r>
        <w:rPr>
          <w:rFonts w:ascii="Times New Roman" w:hAnsi="Times New Roman" w:cs="Times New Roman" w:eastAsia="Times New Roman"/>
          <w:i/>
          <w:color w:val="auto"/>
          <w:spacing w:val="0"/>
          <w:position w:val="0"/>
          <w:sz w:val="24"/>
          <w:shd w:fill="auto" w:val="clear"/>
        </w:rPr>
        <w:t xml:space="preserve">Op. Cit. </w:t>
      </w:r>
      <w:r>
        <w:rPr>
          <w:rFonts w:ascii="Times New Roman" w:hAnsi="Times New Roman" w:cs="Times New Roman" w:eastAsia="Times New Roman"/>
          <w:color w:val="auto"/>
          <w:spacing w:val="0"/>
          <w:position w:val="0"/>
          <w:sz w:val="24"/>
          <w:shd w:fill="auto" w:val="clear"/>
        </w:rPr>
        <w:t xml:space="preserve">p. 57). Em carta de 1924, Rachel escreve do sertão para sua amiga de toda a vida, Alba Frota:</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Ultimamente tenho lido muito. Estou me iniciando em romances; mamãe consentiu que eu lesse </w:t>
      </w:r>
      <w:r>
        <w:rPr>
          <w:rFonts w:ascii="Times New Roman" w:hAnsi="Times New Roman" w:cs="Times New Roman" w:eastAsia="Times New Roman"/>
          <w:i/>
          <w:color w:val="auto"/>
          <w:spacing w:val="0"/>
          <w:position w:val="0"/>
          <w:sz w:val="20"/>
          <w:shd w:fill="auto" w:val="clear"/>
        </w:rPr>
        <w:t xml:space="preserve">A Moreninha </w:t>
      </w:r>
      <w:r>
        <w:rPr>
          <w:rFonts w:ascii="Times New Roman" w:hAnsi="Times New Roman" w:cs="Times New Roman" w:eastAsia="Times New Roman"/>
          <w:color w:val="auto"/>
          <w:spacing w:val="0"/>
          <w:position w:val="0"/>
          <w:sz w:val="20"/>
          <w:shd w:fill="auto" w:val="clear"/>
        </w:rPr>
        <w:t xml:space="preserve">e </w:t>
      </w:r>
      <w:r>
        <w:rPr>
          <w:rFonts w:ascii="Times New Roman" w:hAnsi="Times New Roman" w:cs="Times New Roman" w:eastAsia="Times New Roman"/>
          <w:i/>
          <w:color w:val="auto"/>
          <w:spacing w:val="0"/>
          <w:position w:val="0"/>
          <w:sz w:val="20"/>
          <w:shd w:fill="auto" w:val="clear"/>
        </w:rPr>
        <w:t xml:space="preserve">Rosa</w:t>
      </w:r>
      <w:r>
        <w:rPr>
          <w:rFonts w:ascii="Times New Roman" w:hAnsi="Times New Roman" w:cs="Times New Roman" w:eastAsia="Times New Roman"/>
          <w:color w:val="auto"/>
          <w:spacing w:val="0"/>
          <w:position w:val="0"/>
          <w:sz w:val="20"/>
          <w:shd w:fill="auto" w:val="clear"/>
        </w:rPr>
        <w:t xml:space="preserve">, ambos de Macedo, conhece? Já estou muito adiantada em literatura, não achas? Quem d’antes só lia </w:t>
      </w:r>
      <w:r>
        <w:rPr>
          <w:rFonts w:ascii="Times New Roman" w:hAnsi="Times New Roman" w:cs="Times New Roman" w:eastAsia="Times New Roman"/>
          <w:i/>
          <w:color w:val="auto"/>
          <w:spacing w:val="0"/>
          <w:position w:val="0"/>
          <w:sz w:val="20"/>
          <w:shd w:fill="auto" w:val="clear"/>
        </w:rPr>
        <w:t xml:space="preserve">Histórias de Troncoso</w:t>
      </w:r>
      <w:r>
        <w:rPr>
          <w:rFonts w:ascii="Times New Roman" w:hAnsi="Times New Roman" w:cs="Times New Roman" w:eastAsia="Times New Roman"/>
          <w:color w:val="auto"/>
          <w:spacing w:val="0"/>
          <w:position w:val="0"/>
          <w:sz w:val="20"/>
          <w:shd w:fill="auto" w:val="clear"/>
        </w:rPr>
        <w:t xml:space="preserve">! A Maria Luiza já arranjou a </w:t>
      </w:r>
      <w:r>
        <w:rPr>
          <w:rFonts w:ascii="Times New Roman" w:hAnsi="Times New Roman" w:cs="Times New Roman" w:eastAsia="Times New Roman"/>
          <w:i/>
          <w:color w:val="auto"/>
          <w:spacing w:val="0"/>
          <w:position w:val="0"/>
          <w:sz w:val="20"/>
          <w:shd w:fill="auto" w:val="clear"/>
        </w:rPr>
        <w:t xml:space="preserve">Divina Comédia </w:t>
      </w:r>
      <w:r>
        <w:rPr>
          <w:rFonts w:ascii="Times New Roman" w:hAnsi="Times New Roman" w:cs="Times New Roman" w:eastAsia="Times New Roman"/>
          <w:color w:val="auto"/>
          <w:spacing w:val="0"/>
          <w:position w:val="0"/>
          <w:sz w:val="20"/>
          <w:shd w:fill="auto" w:val="clear"/>
        </w:rPr>
        <w:t xml:space="preserve">em português? Quando a vires dize-lhe que faço votos a fim de que gosto muito, apreciando assim, as “belezas insuperáveis do divino Dante”... (estou ficando romântica à bessa! É a influência da vida campestre) (AJAB).</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é um dos relatos dos tempos em que Rachel encantou-se pela literatura, muito ao gosto de sua mãe e cercada pelas censuras do Colégio de freiras onde estudava. Já então com treze anos, a menina se deliciava com aquilo que a família considerava boa literatura; quando, por outro lado, menosprezavam-se os textos feitos “para mulheres”, os romances açucarados e romantizados que tradicionalmente encontravam-se nas mãos femininas, como os da </w:t>
      </w:r>
      <w:r>
        <w:rPr>
          <w:rFonts w:ascii="Times New Roman" w:hAnsi="Times New Roman" w:cs="Times New Roman" w:eastAsia="Times New Roman"/>
          <w:i/>
          <w:color w:val="auto"/>
          <w:spacing w:val="0"/>
          <w:position w:val="0"/>
          <w:sz w:val="24"/>
          <w:shd w:fill="auto" w:val="clear"/>
        </w:rPr>
        <w:t xml:space="preserve">Bibliotheque Rose</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fator a completar essa história é a precariedade do mercado de livros no Brasil ainda na década de 1920. Mesmo com o barateamento de algumas publicações, os grandes autores nacionais e estrangeiros normalmente eram adquiridos por altos preços ou importados. Aqueles de preços mais cômodos eram muitas vezes acusados de serem de baixo nível (LAJOLO &amp; ZILBERMAN, 1998. p. 65), o que nos revela o privilégio de um grupo que tem gosto refinado por Joaquim Manoel de Macedo e Dante Alighieri. Além disso, Rachel tinha acesso aos periódicos franceses assinados por sua mãe, como o da Edições Plon (ACIOLI, 2003, p. 43).</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Aliado ao interesse próprio pela leitura, a família era também um local de sociabilidade literária. Saraus, festas, teatros eram feitos pelas adolescentes e pelas crianças em datas especiais e a avó, matricarca por excelência, exigia que as netas lessem para ela os livros em francês. Para além dos livros, então, é fundamental destacar aqui a oralidade presente no contexto da vida de Rachel neste período; ela seria uma das características marcantes da escrita da autora, apresentada sem receio e sem artifício, corrida, fluida, natural, como conversas na varanda, como o contar de histórias.</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vida de estudante na capital cearense e os amores da juventude seriam retratados anos mais tarde, no romance que a autora chama de mais autobiográfico, </w:t>
      </w:r>
      <w:r>
        <w:rPr>
          <w:rFonts w:ascii="Times New Roman" w:hAnsi="Times New Roman" w:cs="Times New Roman" w:eastAsia="Times New Roman"/>
          <w:i/>
          <w:color w:val="auto"/>
          <w:spacing w:val="0"/>
          <w:position w:val="0"/>
          <w:sz w:val="24"/>
          <w:shd w:fill="auto" w:val="clear"/>
        </w:rPr>
        <w:t xml:space="preserve">As três Marias </w:t>
      </w:r>
      <w:r>
        <w:rPr>
          <w:rFonts w:ascii="Times New Roman" w:hAnsi="Times New Roman" w:cs="Times New Roman" w:eastAsia="Times New Roman"/>
          <w:color w:val="auto"/>
          <w:spacing w:val="0"/>
          <w:position w:val="0"/>
          <w:sz w:val="24"/>
          <w:shd w:fill="auto" w:val="clear"/>
        </w:rPr>
        <w:t xml:space="preserve">de 1939, tido por muitos críticos como o melhor da carreira da autora e Alba Frota também emprestaria adjetivos à personagem da beata Maria José (AJAB).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Conta a memória de Rachel que sua inserção oficial nos círculos literários da capital cearense deu-se por meio de uma carta, sob o pseudônimo de Rita de Queluz, enviada à redação do jornal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A carta foi escrita em vinte e sete de janeiro de 1927 e publicada no periódico; referia-se ironicamente ao concurso </w:t>
      </w:r>
      <w:r>
        <w:rPr>
          <w:rFonts w:ascii="Times New Roman" w:hAnsi="Times New Roman" w:cs="Times New Roman" w:eastAsia="Times New Roman"/>
          <w:i/>
          <w:color w:val="auto"/>
          <w:spacing w:val="0"/>
          <w:position w:val="0"/>
          <w:sz w:val="24"/>
          <w:shd w:fill="auto" w:val="clear"/>
        </w:rPr>
        <w:t xml:space="preserve">Rainha dos Estudantes Cearenses, </w:t>
      </w:r>
      <w:r>
        <w:rPr>
          <w:rFonts w:ascii="Times New Roman" w:hAnsi="Times New Roman" w:cs="Times New Roman" w:eastAsia="Times New Roman"/>
          <w:color w:val="auto"/>
          <w:spacing w:val="0"/>
          <w:position w:val="0"/>
          <w:sz w:val="24"/>
          <w:shd w:fill="auto" w:val="clear"/>
        </w:rPr>
        <w:t xml:space="preserve">e dirigia-se à vencedora, Suzana de Alencar Guimarães, escritora local do jornal:</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Minha graciosa Majestade:</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Quero primeiro dar-lhe os parabéns calorosos pelo triunfo que sua bela inteligência de mulher culta alcançou sobre a dolorosa mediocridade de nossas melindrosas.</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Nada mais justo que o ato das classes estudiosas do Ceará, elegendo-a. Mas, agora que vais ter sobre a fronte o diadema real, pergunto-me se são de fato os parabéns que lhe devo dar.</w:t>
      </w:r>
    </w:p>
    <w:p>
      <w:pPr>
        <w:spacing w:before="0" w:after="0" w:line="240"/>
        <w:ind w:right="0" w:left="0" w:firstLine="54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os acha mal cabidos, dada a atual desvalorização do sangue azul?</w:t>
      </w:r>
    </w:p>
    <w:p>
      <w:pPr>
        <w:spacing w:before="0" w:after="0" w:line="240"/>
        <w:ind w:right="0" w:left="0" w:firstLine="54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 já pensou quantos incovenientes acarretam atualmente o cetro e a coroa?</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É por isso que avento a idéia de lhe mudarem o título: e em vez de ser chamada “Sua Majestade Suzana I, Rainha dos Estudantes Cearenses”, proclamem-na “Chefe do Soviet Estudantil do Ceará” (</w:t>
      </w:r>
      <w:r>
        <w:rPr>
          <w:rFonts w:ascii="Times New Roman" w:hAnsi="Times New Roman" w:cs="Times New Roman" w:eastAsia="Times New Roman"/>
          <w:b/>
          <w:color w:val="auto"/>
          <w:spacing w:val="0"/>
          <w:position w:val="0"/>
          <w:sz w:val="20"/>
          <w:shd w:fill="auto" w:val="clear"/>
        </w:rPr>
        <w:t xml:space="preserve">O Povo. </w:t>
      </w:r>
      <w:r>
        <w:rPr>
          <w:rFonts w:ascii="Times New Roman" w:hAnsi="Times New Roman" w:cs="Times New Roman" w:eastAsia="Times New Roman"/>
          <w:color w:val="auto"/>
          <w:spacing w:val="0"/>
          <w:position w:val="0"/>
          <w:sz w:val="20"/>
          <w:shd w:fill="auto" w:val="clear"/>
        </w:rPr>
        <w:t xml:space="preserve">06.08.1930).</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diferença entre Suzana e as melindrosas dava-se, portanto, pela inteligência afastada de certa futilidade feminina então em voga, mas a ironia é a grande ambiguidade da carta e perspicácia da remetente. Não é à toa que tenha feito tanto sucesso na redação de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Além do tom jocoso e inteligente, articulando a idéia de majestade em plena década de 1920 e na vigência do regime republicano, Rita de Queluz atingiu o coração da redação.</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fora fundado pouco tempo antes por Júlio de Matos Ibiapina, como expressão do chamado à época </w:t>
      </w:r>
      <w:r>
        <w:rPr>
          <w:rFonts w:ascii="Times New Roman" w:hAnsi="Times New Roman" w:cs="Times New Roman" w:eastAsia="Times New Roman"/>
          <w:i/>
          <w:color w:val="auto"/>
          <w:spacing w:val="0"/>
          <w:position w:val="0"/>
          <w:sz w:val="24"/>
          <w:shd w:fill="auto" w:val="clear"/>
        </w:rPr>
        <w:t xml:space="preserve">jornalismo independente</w:t>
      </w:r>
      <w:r>
        <w:rPr>
          <w:rFonts w:ascii="Times New Roman" w:hAnsi="Times New Roman" w:cs="Times New Roman" w:eastAsia="Times New Roman"/>
          <w:color w:val="auto"/>
          <w:spacing w:val="0"/>
          <w:position w:val="0"/>
          <w:sz w:val="24"/>
          <w:shd w:fill="auto" w:val="clear"/>
        </w:rPr>
        <w:t xml:space="preserve">, afastando-se dos periódicos mais partidários e opondo-se ferozmente aos periódicos católicos, como o </w:t>
      </w:r>
      <w:r>
        <w:rPr>
          <w:rFonts w:ascii="Times New Roman" w:hAnsi="Times New Roman" w:cs="Times New Roman" w:eastAsia="Times New Roman"/>
          <w:i/>
          <w:color w:val="auto"/>
          <w:spacing w:val="0"/>
          <w:position w:val="0"/>
          <w:sz w:val="24"/>
          <w:shd w:fill="auto" w:val="clear"/>
        </w:rPr>
        <w:t xml:space="preserve">O Nordeste </w:t>
      </w:r>
      <w:r>
        <w:rPr>
          <w:rFonts w:ascii="Times New Roman" w:hAnsi="Times New Roman" w:cs="Times New Roman" w:eastAsia="Times New Roman"/>
          <w:color w:val="auto"/>
          <w:spacing w:val="0"/>
          <w:position w:val="0"/>
          <w:sz w:val="24"/>
          <w:shd w:fill="auto" w:val="clear"/>
        </w:rPr>
        <w:t xml:space="preserve">(MONTENEGRO, 2002)</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Entre seus membros encontravam-se jornalistas empenhados em leituras socialistas, como Djacyr Menezes e Hyder Corrêa Lima, que viriam a ser amigos de Rachel. Foi nessa época que a autora afirma já ter entrado em contato com estas leituras, tendo sido já “comunizada”, antes do contato com o Partido Comunista propriamente dito (QUEIROZ &amp; QUEIROZ, 1998, p. 42). Neste sentido, a carta já trazia os elmentos de uma crítica social comum a esta época brasileira.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Tendo impressionado Ibiapina já nesta carta, o texto de Rachel foi em seguida reconhecido por amigos em comum. O fato de seu pai ser conhecido na capital fez com que logo associassem o selo da cidade de Quixadá ao nome de Rachel de Queiroz. Desta forma passou a autora a ser convidada frequentemente a colaborar com a imprensa local, o que seria uma oportunidade para a jovem que então adentrava o campo profissional.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partir desta carta, Rachel foi chamada a participar do periódico, escrevendo crônicas e poemas para a coluna </w:t>
      </w:r>
      <w:r>
        <w:rPr>
          <w:rFonts w:ascii="Times New Roman" w:hAnsi="Times New Roman" w:cs="Times New Roman" w:eastAsia="Times New Roman"/>
          <w:i/>
          <w:color w:val="auto"/>
          <w:spacing w:val="0"/>
          <w:position w:val="0"/>
          <w:sz w:val="24"/>
          <w:shd w:fill="auto" w:val="clear"/>
        </w:rPr>
        <w:t xml:space="preserve">Jazz-Band, </w:t>
      </w:r>
      <w:r>
        <w:rPr>
          <w:rFonts w:ascii="Times New Roman" w:hAnsi="Times New Roman" w:cs="Times New Roman" w:eastAsia="Times New Roman"/>
          <w:color w:val="auto"/>
          <w:spacing w:val="0"/>
          <w:position w:val="0"/>
          <w:sz w:val="24"/>
          <w:shd w:fill="auto" w:val="clear"/>
        </w:rPr>
        <w:t xml:space="preserve">a coluna literária de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e firmando contato com outros jornalistas como Demócrito Rocha e Paulo Sarasate, além de começar a ganhar um ordenado razoável, de cem-mil réis por mês (ACIOLI, 2003, p. 48).</w:t>
      </w:r>
    </w:p>
    <w:p>
      <w:pPr>
        <w:spacing w:before="0" w:after="0" w:line="360"/>
        <w:ind w:right="0" w:left="0" w:firstLine="708"/>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São dessa época poemas como </w:t>
      </w:r>
      <w:r>
        <w:rPr>
          <w:rFonts w:ascii="Times New Roman" w:hAnsi="Times New Roman" w:cs="Times New Roman" w:eastAsia="Times New Roman"/>
          <w:i/>
          <w:color w:val="auto"/>
          <w:spacing w:val="0"/>
          <w:position w:val="0"/>
          <w:sz w:val="24"/>
          <w:shd w:fill="auto" w:val="clear"/>
        </w:rPr>
        <w:t xml:space="preserve">O meu violão </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i/>
          <w:color w:val="auto"/>
          <w:spacing w:val="0"/>
          <w:position w:val="0"/>
          <w:sz w:val="24"/>
          <w:shd w:fill="auto" w:val="clear"/>
        </w:rPr>
        <w:t xml:space="preserve">Home:</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Home</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Meu doce ninho sertanejo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Meu velho casarão risonho e branco!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Quanta alegria</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Quanto conforto vejo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 seu ar senhoril de fidalguia</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porta aberta, hospitaleiro e franco...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Mas meu ninho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Também tem seu capítulo tristonho,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Também tem sua página de dor...</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Guarda ainda bem vivos</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Vestígios das senzalas</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Que em desoladas falas</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Nos recordam os cativos</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gemer sob o relho do feitor (AJAB. 07.06.1927)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Podemos lembrar aqui que, no final do século XIX, muitas mulheres tomaram partido na luta pela Abolição dos escravos e também pela Proclamação da República. Com seus ideais liberais a República seria uma forma de valorização do feminino, ao atribuir à mulher a responsabilidade pela a educação do novo cidadão. No Ceará da virada do século XIX para o XX, algumas mulheres que publicavam em periódicos locais e desempenhavam funções no sistema educacional tomaram partido também na luta pela Abolição (CUNHA, 2008). Rachel de Queiroz, ainda sob o pseudônimo de Rita de Queluz, relembra estas vozes ao valorizar sua terra, sem esquecer porém os capítulos tristes da escravidão.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geral tratando de temas da época e referentes às questões regionais, os textos rachelianos deste período são os primeiros passos de uma escrita em formação. A jovem, então professora da Escola Normal, encontra seu espaço ao ser admitida por um grupo de jornalistas e literatos que se preocupa em renovar a imprensa de seu estado, incentivando a produção literária de homens e mulheres, mesmo porque as publicações tem a clara intenção de atrair tanto um público feminino quanto masculino: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Rita de Queluz, que hoje enviou para o </w:t>
      </w:r>
      <w:r>
        <w:rPr>
          <w:rFonts w:ascii="Times New Roman" w:hAnsi="Times New Roman" w:cs="Times New Roman" w:eastAsia="Times New Roman"/>
          <w:i/>
          <w:color w:val="auto"/>
          <w:spacing w:val="0"/>
          <w:position w:val="0"/>
          <w:sz w:val="20"/>
          <w:shd w:fill="auto" w:val="clear"/>
        </w:rPr>
        <w:t xml:space="preserve">Jazz-band </w:t>
      </w:r>
      <w:r>
        <w:rPr>
          <w:rFonts w:ascii="Times New Roman" w:hAnsi="Times New Roman" w:cs="Times New Roman" w:eastAsia="Times New Roman"/>
          <w:color w:val="auto"/>
          <w:spacing w:val="0"/>
          <w:position w:val="0"/>
          <w:sz w:val="20"/>
          <w:shd w:fill="auto" w:val="clear"/>
        </w:rPr>
        <w:t xml:space="preserve">uma linda violeta do jardim espiritual que é a sua alma de mulher artista, é o pseudônimo de [ilegível] escritora patrícia que, com a sua prosa forte, nos dá a grande alegria de saber que no Ceará há cérebros femininos que, em pleno esplendor das suas dezesseis primaveras, sabe pensar e sentir (Editorial O Povo. 10.04.1927).</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Neste começo de século XX, a escrita é uma profissão afastada daquelas consideradas tradicionais dos homens em geral. Assim acaba travando um contato específico com o imaginário que elege ainda do século XIX a mulher como leitora por excelência de romances e poesia, de modo que o escritor destes gêneros está sempre em diálogo com o imaginário feminino. Sérgio Miceli faz algumas assertivas neste sentido, ao problematizar a escrita enquanto profissão no começo do século XX, em que o mercado de trabalho para a elite amplia suas possibilidades para além dos tradicionais cursos de direito. Os jovens com condições materiais e sociais podem agora integrar os cursos de engenharia e medicina, ou ainda optar pela carreira militar. A escrita é uma das demais opções, porém asscociada à sensibilidade e à educação, ampliando-se cada vez mais pelo desenvolvimento da imprensa e do mercado editorial (MICELI, 2001, p. 69).</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Rachel de Queiroz adentra o mundo da escrita pela aproximação com a literatura, valorizada no ambiente familiar. Com a inserção e a prática no jornalismo desenvolve sua narrativa em busca de autenticidade. Ainda no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escreve seu primeiro folhetim, composto de cinco partes e intitulado </w:t>
      </w:r>
      <w:r>
        <w:rPr>
          <w:rFonts w:ascii="Times New Roman" w:hAnsi="Times New Roman" w:cs="Times New Roman" w:eastAsia="Times New Roman"/>
          <w:i/>
          <w:color w:val="auto"/>
          <w:spacing w:val="0"/>
          <w:position w:val="0"/>
          <w:sz w:val="24"/>
          <w:shd w:fill="auto" w:val="clear"/>
        </w:rPr>
        <w:t xml:space="preserve">A História de um nome, </w:t>
      </w:r>
      <w:r>
        <w:rPr>
          <w:rFonts w:ascii="Times New Roman" w:hAnsi="Times New Roman" w:cs="Times New Roman" w:eastAsia="Times New Roman"/>
          <w:color w:val="auto"/>
          <w:spacing w:val="0"/>
          <w:position w:val="0"/>
          <w:sz w:val="24"/>
          <w:shd w:fill="auto" w:val="clear"/>
        </w:rPr>
        <w:t xml:space="preserve">valorizado e divulgado pelo periódico </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Sua excelência, o Sr. Barão de Almofala (Pseudônimo de Demócrito Rocha) recebeu, da jovem e talentosíssima escritora [coestadame], Rita de Queluz, uma formosa carta, enviando-lhe os originais da novela </w:t>
      </w:r>
      <w:r>
        <w:rPr>
          <w:rFonts w:ascii="Times New Roman" w:hAnsi="Times New Roman" w:cs="Times New Roman" w:eastAsia="Times New Roman"/>
          <w:i/>
          <w:color w:val="auto"/>
          <w:spacing w:val="0"/>
          <w:position w:val="0"/>
          <w:sz w:val="20"/>
          <w:shd w:fill="auto" w:val="clear"/>
        </w:rPr>
        <w:t xml:space="preserve">História de um nome, </w:t>
      </w:r>
      <w:r>
        <w:rPr>
          <w:rFonts w:ascii="Times New Roman" w:hAnsi="Times New Roman" w:cs="Times New Roman" w:eastAsia="Times New Roman"/>
          <w:color w:val="auto"/>
          <w:spacing w:val="0"/>
          <w:position w:val="0"/>
          <w:sz w:val="20"/>
          <w:shd w:fill="auto" w:val="clear"/>
        </w:rPr>
        <w:t xml:space="preserve">sua brilhante e segura estreia literária.</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 próximo domingo, </w:t>
      </w:r>
      <w:r>
        <w:rPr>
          <w:rFonts w:ascii="Times New Roman" w:hAnsi="Times New Roman" w:cs="Times New Roman" w:eastAsia="Times New Roman"/>
          <w:i/>
          <w:color w:val="auto"/>
          <w:spacing w:val="0"/>
          <w:position w:val="0"/>
          <w:sz w:val="20"/>
          <w:shd w:fill="auto" w:val="clear"/>
        </w:rPr>
        <w:t xml:space="preserve">O Ceará, </w:t>
      </w:r>
      <w:r>
        <w:rPr>
          <w:rFonts w:ascii="Times New Roman" w:hAnsi="Times New Roman" w:cs="Times New Roman" w:eastAsia="Times New Roman"/>
          <w:color w:val="auto"/>
          <w:spacing w:val="0"/>
          <w:position w:val="0"/>
          <w:sz w:val="20"/>
          <w:shd w:fill="auto" w:val="clear"/>
        </w:rPr>
        <w:t xml:space="preserve">iniciará a publicação deste valioso trabalho em que serão definitivamente firmados, nos círculos intelectuais do Brasil inteiro os créditos dessa formidável cerebração de Rita de Queluz (Manuscrito. 28.07.1927).</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é bom lembrarmos que o campo intelectual é um lugar de constante conflito, onde o escritor é desafiado em sua capacidade e isto se dá de forma especial em relação à mulher que escreve. Segundo Bourdieu (s/a, p.105/106), o campo intelectual é marcado por disputas de poder, onde os agentes ou sistemas de agentes possuem certa autonomia ao mesmo tempo em que são determinados pelo fato de fazerem parte deste campo, sendo que seu poder dentro do campo não pode ser definido independentemente da posição que ocupa. Esta posição, no caso de Rachel, é muitas vezes associada ao gênero e ao regional, pois a valorização da autora quase sempre se dá ao compará-la com a escrita das mulheres em geral, para daí destacar-se.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Rachel de Queiroz fez parte da chamada </w:t>
      </w:r>
      <w:r>
        <w:rPr>
          <w:rFonts w:ascii="Times New Roman" w:hAnsi="Times New Roman" w:cs="Times New Roman" w:eastAsia="Times New Roman"/>
          <w:i/>
          <w:color w:val="auto"/>
          <w:spacing w:val="0"/>
          <w:position w:val="0"/>
          <w:sz w:val="24"/>
          <w:shd w:fill="auto" w:val="clear"/>
        </w:rPr>
        <w:t xml:space="preserve">escrita feminina </w:t>
      </w:r>
      <w:r>
        <w:rPr>
          <w:rFonts w:ascii="Times New Roman" w:hAnsi="Times New Roman" w:cs="Times New Roman" w:eastAsia="Times New Roman"/>
          <w:color w:val="auto"/>
          <w:spacing w:val="0"/>
          <w:position w:val="0"/>
          <w:sz w:val="24"/>
          <w:shd w:fill="auto" w:val="clear"/>
        </w:rPr>
        <w:t xml:space="preserve">de sua época</w:t>
      </w:r>
      <w:r>
        <w:rPr>
          <w:rFonts w:ascii="Times New Roman" w:hAnsi="Times New Roman" w:cs="Times New Roman" w:eastAsia="Times New Roman"/>
          <w:i/>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nome de senso comum, que designava a escrita das mulheres – mesmo que tenha se diferenciado aos poucos no interior dela. Pensar esta diferenciação ajuda-nos a problematizar a idéia de </w:t>
      </w:r>
      <w:r>
        <w:rPr>
          <w:rFonts w:ascii="Times New Roman" w:hAnsi="Times New Roman" w:cs="Times New Roman" w:eastAsia="Times New Roman"/>
          <w:i/>
          <w:color w:val="auto"/>
          <w:spacing w:val="0"/>
          <w:position w:val="0"/>
          <w:sz w:val="24"/>
          <w:shd w:fill="auto" w:val="clear"/>
        </w:rPr>
        <w:t xml:space="preserve">escrita feminina, </w:t>
      </w:r>
      <w:r>
        <w:rPr>
          <w:rFonts w:ascii="Times New Roman" w:hAnsi="Times New Roman" w:cs="Times New Roman" w:eastAsia="Times New Roman"/>
          <w:color w:val="auto"/>
          <w:spacing w:val="0"/>
          <w:position w:val="0"/>
          <w:sz w:val="24"/>
          <w:shd w:fill="auto" w:val="clear"/>
        </w:rPr>
        <w:t xml:space="preserve">seus limites e ambiguidades.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Ainda para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a jornalista arriscou alguns palpites em relação à produção literária mais importante de seu contexto e escreveu artigo interessante acerca das correntes modernistas que estrearam no Centro-Sul do país:</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Há, atualmente, uma corrente artístico literária sadia e rejuvenescedora que procura despertar na alma do brasileiro atual o aborígene morto ou adormecido.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À frente desse movimento surgem espíritos novos, brilhantes e empreendedores, como Plínio Salgado, Cassiano Ricardo e Cardilho Filho, que empolgantemente nos falam de Tupiretama, o sonho gigantesco a raça brasileira, Tupiretama a pátria imensa da gente tupi (...) (Manuscrito. 08.04.2008)</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Tecendo elogios aqui à corrente ufanista do modernismo, representada pelo verde-amarelismo, a autora exalta também o sangue indígena da nação, sangue que no Ceará, marcou fortemente a formação da sociedade, devido à presença e à guerra contra os indígenas desde o começo da colonização (OLIVEIRA, 2003. p. 328). O nacionalismo para ela encontra ecos no regionalismo, na valorização do local; sentimento que tomará cada vez mais forma e marcará sua literatura ao longo dos mais de setenta anos de carreira.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Pensar o regional, ao lado do nacional não foi, claro, característica exclusivamente sua.  No próprio Ceará, seu ascendente, José de Alencar teria sido pioneiro na representação do indígena na literatura ainda no século XIX, exaltando-o na formação da nacionalidade.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também Maria Firmina dos Reis e suas poesias e romances que tratam a relação entre brancos e índios. Já no século XX, no estado vizinho de Pernambuco, muito influente em terras cearenses, ocorrera poucos anos antes o Primeiro Congresso Regionalista, realizado em 1926 em Recife. Neste congresso Gilberto Freyre anuncia seu manifesto em prol da valorização do regionalismo sem, no entanto, rejeitar o nacionalismo: “É dentro desse espírito de reinvenção do Brasil que se volta para eventos do passado ou para mitos que teriam dado origem ao povo brasileiro em busca de sua autenticidade” (OLIVEIRA, </w:t>
      </w:r>
      <w:r>
        <w:rPr>
          <w:rFonts w:ascii="Times New Roman" w:hAnsi="Times New Roman" w:cs="Times New Roman" w:eastAsia="Times New Roman"/>
          <w:i/>
          <w:color w:val="auto"/>
          <w:spacing w:val="0"/>
          <w:position w:val="0"/>
          <w:sz w:val="24"/>
          <w:shd w:fill="auto" w:val="clear"/>
        </w:rPr>
        <w:t xml:space="preserve">Op. Cit. </w:t>
      </w:r>
      <w:r>
        <w:rPr>
          <w:rFonts w:ascii="Times New Roman" w:hAnsi="Times New Roman" w:cs="Times New Roman" w:eastAsia="Times New Roman"/>
          <w:color w:val="auto"/>
          <w:spacing w:val="0"/>
          <w:position w:val="0"/>
          <w:sz w:val="24"/>
          <w:shd w:fill="auto" w:val="clear"/>
        </w:rPr>
        <w:t xml:space="preserve">p. 327).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Conta Bueno (2006, p. 43-49) que uma parte significativa da literatura que começa a se formar nos anos vinte e adentra o espaço do romance nos anos 30 era fortemente crítica das posições do modernismo de 22. Periódicos como o </w:t>
      </w:r>
      <w:r>
        <w:rPr>
          <w:rFonts w:ascii="Times New Roman" w:hAnsi="Times New Roman" w:cs="Times New Roman" w:eastAsia="Times New Roman"/>
          <w:i/>
          <w:color w:val="auto"/>
          <w:spacing w:val="0"/>
          <w:position w:val="0"/>
          <w:sz w:val="24"/>
          <w:shd w:fill="auto" w:val="clear"/>
        </w:rPr>
        <w:t xml:space="preserve">Lanterna Verde </w:t>
      </w:r>
      <w:r>
        <w:rPr>
          <w:rFonts w:ascii="Times New Roman" w:hAnsi="Times New Roman" w:cs="Times New Roman" w:eastAsia="Times New Roman"/>
          <w:color w:val="auto"/>
          <w:spacing w:val="0"/>
          <w:position w:val="0"/>
          <w:sz w:val="24"/>
          <w:shd w:fill="auto" w:val="clear"/>
        </w:rPr>
        <w:t xml:space="preserve">acusavam-no de não conseguir construir o que quer que fosse, mesmo tendo colocado em xeque o academicismo anterior. A geração de 30, portanto, constrói a si mesma, muitas vezes criticando o movimento anterior e não filiando-se a ele, como costumamos pensar. A grande preocupação com os problemas sociais e com o regional é o que move esta geração, destacando-se aí intelectuais que defenderão posições de direita nas décadas seguintes.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Rachel de Queiroz estabeleceu, desde cedo, contato não só com o modernismo literário, como também refletiu acerca da modernização do Brasil em seus vários aspectos, formando opinião acerca das questões sociais e políticas de seu tempo. O que leva muitos intelectuais e, entre eles, Rachel, a se aproximarem de movimentos de esquerda, assumindo uma posição frente às injustiças sociais.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o diálogo com a modernidade, em alta no momento, não parou por aí. Como afirmamos anteriormente, o campo intelectual é local de permanente conflito. Ainda seguindo a trajetória da jovem escritora sabemos que, depois de algum tempo na redação de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Rachel logo foi convidada para participar da redação de </w:t>
      </w:r>
      <w:r>
        <w:rPr>
          <w:rFonts w:ascii="Times New Roman" w:hAnsi="Times New Roman" w:cs="Times New Roman" w:eastAsia="Times New Roman"/>
          <w:i/>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jornal fundado por Demócrito Rocha e Paulo Sarasate em sete de janeiro de 1928. Segundo o primeiro editorial do periódico:</w:t>
      </w:r>
    </w:p>
    <w:p>
      <w:pPr>
        <w:spacing w:before="0" w:after="0" w:line="240"/>
        <w:ind w:right="0" w:left="720" w:hanging="12"/>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povo necessita de mais gritos que o estimulem, de mais vozes que lhe falem ao sentimento.</w:t>
      </w:r>
    </w:p>
    <w:p>
      <w:pPr>
        <w:spacing w:before="0" w:after="0" w:line="240"/>
        <w:ind w:right="0" w:left="720" w:hanging="12"/>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Eis porque surgimos.</w:t>
      </w:r>
    </w:p>
    <w:p>
      <w:pPr>
        <w:spacing w:before="0" w:after="0" w:line="240"/>
        <w:ind w:right="0" w:left="720" w:hanging="12"/>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Ao desfraldar a nossa bandeira de combate, pelos mais puros ideais de justiça e liberdade, não nos entontece a glória de vencer, porque a alvorada redentora ainda está muito longe de raiar no oriente da pátria (Editorial.O Povo. 07.01.1928).</w:t>
      </w:r>
    </w:p>
    <w:p>
      <w:pPr>
        <w:spacing w:before="0" w:after="0" w:line="240"/>
        <w:ind w:right="0" w:left="0" w:firstLine="708"/>
        <w:jc w:val="both"/>
        <w:rPr>
          <w:rFonts w:ascii="Times New Roman" w:hAnsi="Times New Roman" w:cs="Times New Roman" w:eastAsia="Times New Roman"/>
          <w:color w:val="auto"/>
          <w:spacing w:val="0"/>
          <w:position w:val="0"/>
          <w:sz w:val="20"/>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ab/>
        <w:t xml:space="preserve">O Povo </w:t>
      </w:r>
      <w:r>
        <w:rPr>
          <w:rFonts w:ascii="Times New Roman" w:hAnsi="Times New Roman" w:cs="Times New Roman" w:eastAsia="Times New Roman"/>
          <w:color w:val="auto"/>
          <w:spacing w:val="0"/>
          <w:position w:val="0"/>
          <w:sz w:val="24"/>
          <w:shd w:fill="auto" w:val="clear"/>
        </w:rPr>
        <w:t xml:space="preserve">nascia assim, com princípios muito parecidos com o de seu confrade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mas acrescido de uma maior preocupação literária (ao menos nos seus primeiros anos). E, de fato, Demócrito era já a esse tempo o padrinho por excelência de quase todos os aprendizes de literatura e de jornalismo em Fortaleza, estabelecendo enfim, com Paulo Sarasate e Adalgisa Cordeiro na gerência, um dos periódicos que constituiu-se ao longo do tempo como um dos mais importantes do estado (QUEIROZ, 1989, p. 5-11).</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Neste tempo - anos 20, o jornal inaugurava sessão semanal publicada aos sábados e intitulada </w:t>
      </w:r>
      <w:r>
        <w:rPr>
          <w:rFonts w:ascii="Times New Roman" w:hAnsi="Times New Roman" w:cs="Times New Roman" w:eastAsia="Times New Roman"/>
          <w:i/>
          <w:color w:val="auto"/>
          <w:spacing w:val="0"/>
          <w:position w:val="0"/>
          <w:sz w:val="24"/>
          <w:shd w:fill="auto" w:val="clear"/>
        </w:rPr>
        <w:t xml:space="preserve">Modernos e Passadistas</w:t>
      </w:r>
      <w:r>
        <w:rPr>
          <w:rFonts w:ascii="Times New Roman" w:hAnsi="Times New Roman" w:cs="Times New Roman" w:eastAsia="Times New Roman"/>
          <w:color w:val="auto"/>
          <w:spacing w:val="0"/>
          <w:position w:val="0"/>
          <w:sz w:val="24"/>
          <w:shd w:fill="auto" w:val="clear"/>
        </w:rPr>
        <w:t xml:space="preserve">.</w:t>
        <w:tab/>
        <w:t xml:space="preserve">No </w:t>
      </w:r>
      <w:r>
        <w:rPr>
          <w:rFonts w:ascii="Times New Roman" w:hAnsi="Times New Roman" w:cs="Times New Roman" w:eastAsia="Times New Roman"/>
          <w:i/>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o título expressa em 1928 uma sessão plural da revista, publicando textos de nomes novos e conhecidos, tanto no círculo intelectual cearense da época quanto escritores de fora: Antônio Salles, Beni Carvalho, Lúcio Várzea, Peregrino Júnior, Mário de Andrade, Jader de Carvalho, Raul Machado. As mulheres também eram autoras frequentes, destacando-se entre elas a própria – até então – Rita de Queluz, Suzana de Alencar Guimarães, Maria Eugênia Celso, Gilka Machado, Cecília Meireles.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notar a inserção de Rachel neste periódico, precisamos lembrar a polêmica que esta jovem escritora criou na cidade de Fortaleza logo que começou a cooperar com o jornal, polêmica que deveria ser comum também às suas companheiras de redação. Rita de Queluz foi acusada pelo </w:t>
      </w:r>
      <w:r>
        <w:rPr>
          <w:rFonts w:ascii="Times New Roman" w:hAnsi="Times New Roman" w:cs="Times New Roman" w:eastAsia="Times New Roman"/>
          <w:i/>
          <w:color w:val="auto"/>
          <w:spacing w:val="0"/>
          <w:position w:val="0"/>
          <w:sz w:val="24"/>
          <w:shd w:fill="auto" w:val="clear"/>
        </w:rPr>
        <w:t xml:space="preserve">O Nordeste, </w:t>
      </w:r>
      <w:r>
        <w:rPr>
          <w:rFonts w:ascii="Times New Roman" w:hAnsi="Times New Roman" w:cs="Times New Roman" w:eastAsia="Times New Roman"/>
          <w:color w:val="auto"/>
          <w:spacing w:val="0"/>
          <w:position w:val="0"/>
          <w:sz w:val="24"/>
          <w:shd w:fill="auto" w:val="clear"/>
        </w:rPr>
        <w:t xml:space="preserve">periódico católico, de não estar desempenhando uma função própria de seu sexo sendo, por isso, mau exemplo para as jovens cearenses.</w:t>
      </w:r>
    </w:p>
    <w:p>
      <w:pPr>
        <w:spacing w:before="0" w:after="0" w:line="360"/>
        <w:ind w:right="0" w:left="0" w:firstLine="708"/>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que responderam os membros do </w:t>
      </w:r>
      <w:r>
        <w:rPr>
          <w:rFonts w:ascii="Times New Roman" w:hAnsi="Times New Roman" w:cs="Times New Roman" w:eastAsia="Times New Roman"/>
          <w:i/>
          <w:color w:val="auto"/>
          <w:spacing w:val="0"/>
          <w:position w:val="0"/>
          <w:sz w:val="24"/>
          <w:shd w:fill="auto" w:val="clear"/>
        </w:rPr>
        <w:t xml:space="preserve">O Povo:</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 o matutino </w:t>
      </w:r>
      <w:r>
        <w:rPr>
          <w:rFonts w:ascii="Times New Roman" w:hAnsi="Times New Roman" w:cs="Times New Roman" w:eastAsia="Times New Roman"/>
          <w:i/>
          <w:color w:val="auto"/>
          <w:spacing w:val="0"/>
          <w:position w:val="0"/>
          <w:sz w:val="20"/>
          <w:shd w:fill="auto" w:val="clear"/>
        </w:rPr>
        <w:t xml:space="preserve">O Nordeste, </w:t>
      </w:r>
      <w:r>
        <w:rPr>
          <w:rFonts w:ascii="Times New Roman" w:hAnsi="Times New Roman" w:cs="Times New Roman" w:eastAsia="Times New Roman"/>
          <w:color w:val="auto"/>
          <w:spacing w:val="0"/>
          <w:position w:val="0"/>
          <w:sz w:val="20"/>
          <w:shd w:fill="auto" w:val="clear"/>
        </w:rPr>
        <w:t xml:space="preserve">queremos crer que se valendo da boa fé de seus ilustres redatores, um colaborador do rodapé “Às quintas” expressou-se indelicadamente respeito à nossa talentosa e brilhante confreira Rita de Queluz. (...). Peregrino talento, jovem e culta, Rita de Queluz merece dignamente a admiração de todo o nosso meio, pairando muito acima do conceito do cronista, em pura verdade um conceito leviano, apressado, incivil, por não dizer, grosseiro (O Povo. 31.03.1928).</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ab/>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Integrar a redação de periódicos, publicar nestes jornais, circular no meio da intelectualidade não só como mera figurante mas como participante implicava em polemizar e problematizar as definições de gênero de seu tempo. O que não quer dizer que lhe fosse interdita essa participação, ela era possível e aos poucos o nome de Rachel, enquanto sujeito de uma escrita, separava-se do senso comum de uma </w:t>
      </w:r>
      <w:r>
        <w:rPr>
          <w:rFonts w:ascii="Times New Roman" w:hAnsi="Times New Roman" w:cs="Times New Roman" w:eastAsia="Times New Roman"/>
          <w:i/>
          <w:color w:val="auto"/>
          <w:spacing w:val="0"/>
          <w:position w:val="0"/>
          <w:sz w:val="24"/>
          <w:shd w:fill="auto" w:val="clear"/>
        </w:rPr>
        <w:t xml:space="preserve">escrita feminina.</w:t>
      </w:r>
      <w:r>
        <w:rPr>
          <w:rFonts w:ascii="Times New Roman" w:hAnsi="Times New Roman" w:cs="Times New Roman" w:eastAsia="Times New Roman"/>
          <w:color w:val="auto"/>
          <w:spacing w:val="0"/>
          <w:position w:val="0"/>
          <w:sz w:val="24"/>
          <w:shd w:fill="auto" w:val="clear"/>
        </w:rPr>
        <w:t xml:space="preserve"> Vale, neste sentido, comentarmos um pequeno estudo de 1928, feito por Mário de Andrade a pedido de Sarasate e publicado no </w:t>
      </w:r>
      <w:r>
        <w:rPr>
          <w:rFonts w:ascii="Times New Roman" w:hAnsi="Times New Roman" w:cs="Times New Roman" w:eastAsia="Times New Roman"/>
          <w:i/>
          <w:color w:val="auto"/>
          <w:spacing w:val="0"/>
          <w:position w:val="0"/>
          <w:sz w:val="24"/>
          <w:shd w:fill="auto" w:val="clear"/>
        </w:rPr>
        <w:t xml:space="preserve">O Povo</w:t>
      </w:r>
      <w:r>
        <w:rPr>
          <w:rFonts w:ascii="Times New Roman" w:hAnsi="Times New Roman" w:cs="Times New Roman" w:eastAsia="Times New Roman"/>
          <w:color w:val="auto"/>
          <w:spacing w:val="0"/>
          <w:position w:val="0"/>
          <w:sz w:val="24"/>
          <w:shd w:fill="auto" w:val="clear"/>
        </w:rPr>
        <w:t xml:space="preserve">, sobre o modernismo cearense. Apesar de criticar grande parte dos autores pelo extremo regionalismo que não cumpria enfim os princípios modernistas de universalidade, há uma análise específica acerca de Rita de Queluz a 31 de dezembro de 1928:</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540" w:leader="none"/>
        </w:tabs>
        <w:spacing w:before="0" w:after="0" w:line="240"/>
        <w:ind w:right="0" w:left="54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Rita de Queluz e o primitivismo</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Rita de Queluz quer fazer </w:t>
      </w:r>
      <w:r>
        <w:rPr>
          <w:rFonts w:ascii="Times New Roman" w:hAnsi="Times New Roman" w:cs="Times New Roman" w:eastAsia="Times New Roman"/>
          <w:i/>
          <w:color w:val="auto"/>
          <w:spacing w:val="0"/>
          <w:position w:val="0"/>
          <w:sz w:val="20"/>
          <w:shd w:fill="auto" w:val="clear"/>
        </w:rPr>
        <w:t xml:space="preserve">primitivismo modernista...</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Paradoxal, sem dúvida. “Tupan” [poema de Rachel] veio reforçar o paradoxo.</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Entretanto, ninguém lhe tirará o talento. A cultura. Rita de Queluz é, no Ceará, e talvez no norte, a mais avançada mentalidade feminina.</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Mas eu a conheci aplaudindo uns versos do Bastos Portella...</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Que dirá Maria de Lacerda? (O Povo. 31.12.1928)</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Rachel é aqui a expressão, por excelência, de aspectos do moderno e do tradicional neste tempo de ambiguidades, onde as correntes literárias parecessem realmente oscilar entre estes dois pólos (OLIVEIRA, </w:t>
      </w:r>
      <w:r>
        <w:rPr>
          <w:rFonts w:ascii="Times New Roman" w:hAnsi="Times New Roman" w:cs="Times New Roman" w:eastAsia="Times New Roman"/>
          <w:i/>
          <w:color w:val="auto"/>
          <w:spacing w:val="0"/>
          <w:position w:val="0"/>
          <w:sz w:val="24"/>
          <w:shd w:fill="auto" w:val="clear"/>
        </w:rPr>
        <w:t xml:space="preserve">Op. Cit. </w:t>
      </w:r>
      <w:r>
        <w:rPr>
          <w:rFonts w:ascii="Times New Roman" w:hAnsi="Times New Roman" w:cs="Times New Roman" w:eastAsia="Times New Roman"/>
          <w:color w:val="auto"/>
          <w:spacing w:val="0"/>
          <w:position w:val="0"/>
          <w:sz w:val="24"/>
          <w:shd w:fill="auto" w:val="clear"/>
        </w:rPr>
        <w:t xml:space="preserve">p. 328). Aliás, o paradoxo seria desde já uma das suas grandes características. O artigo refere-se, portanto, ao poema </w:t>
      </w:r>
      <w:r>
        <w:rPr>
          <w:rFonts w:ascii="Times New Roman" w:hAnsi="Times New Roman" w:cs="Times New Roman" w:eastAsia="Times New Roman"/>
          <w:i/>
          <w:color w:val="auto"/>
          <w:spacing w:val="0"/>
          <w:position w:val="0"/>
          <w:sz w:val="24"/>
          <w:shd w:fill="auto" w:val="clear"/>
        </w:rPr>
        <w:t xml:space="preserve">Tupan</w:t>
      </w:r>
      <w:r>
        <w:rPr>
          <w:rFonts w:ascii="Times New Roman" w:hAnsi="Times New Roman" w:cs="Times New Roman" w:eastAsia="Times New Roman"/>
          <w:color w:val="auto"/>
          <w:spacing w:val="0"/>
          <w:position w:val="0"/>
          <w:sz w:val="24"/>
          <w:shd w:fill="auto" w:val="clear"/>
        </w:rPr>
        <w:t xml:space="preserve"> publicado por Rita de Queluz em primeiro de dezembro do mesmo ano:</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primeiro, Tupan era o pavor das tribos...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Só falava em resmungados tonitroantes, na linguagem retumbante dos trovões,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Sinistro e vingativo</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Cuspia raios sobre as tabas encolhidas,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Arredondadas de medo, no arrocho das estacadas;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Riscava o céu de relâmpagos, cobria a terra de chuva,</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Empurrava com mão forte parás d’água nas enchentes,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 engulia diariamente a grande brasa do sol...</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 o esquadrão de Tupan que operava nas matas e nos rios!...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-Curupiras, caaporas, botos, sacis-pererês, boitatás e jacamins;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Lindas yaras de verdes cabelos soltos boiando,</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Fazedeiras dos encantos no reino da cobra-grande...</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Foi preciso que surgisse a turba santa de pagés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Que cachimbando esconjuros, matracando os maracás,</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Procurava serenar o mau gênio de Tupan...</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Depois, quando foram vindo os brancos de saia preta</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Com tristes paus encruzados – tabus sagrados da crença – </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Modificaram a imagem de Tupan</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Derrubaram a cabana do pagé,</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 aboliram o cachimbo e o maracá (O Povo. 01.12.1928).</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Aqui várias questões colocam-se para além do paradoxo primitivista e modernista de Rachel. Destacaremos algumas. Em primeiro lugar, seu diálogo com um movimento em torno do modernismo já está estabelecido; Rachel tem conhecimento das discussões no Centro-Sul e elabora suas próprias posições frente a ele. Em segundo lugar, é celebrada pelo periódico em meio aos demais escritores, ainda que sua ambiguidade seja sempre o diálogo entre o tradicional e o moderno. Percebemos este aspecto também nas publicações da revista Maracajá de 1929, suplemento literário do jornal </w:t>
      </w:r>
      <w:r>
        <w:rPr>
          <w:rFonts w:ascii="Times New Roman" w:hAnsi="Times New Roman" w:cs="Times New Roman" w:eastAsia="Times New Roman"/>
          <w:i/>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e reunião dos nomes da modernidade literária do Estado, no qual Rita de Queluz publica seu Manifesto regionalista (provavelmente respondendo às questões levantadas no estudo de 1928):</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540" w:leader="none"/>
        </w:tabs>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canto a alma de minha Terra e a alma de minha gente.</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Canto o meu sol ardente, amoroso e ruivo, que é o mais pessoal e característico de todos os sóis do mundo.</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Dizem que a arte deve ser universal. Mas afinal, o que é que exprime universalmente a nossa arte?</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Transformá-la numa colcha de retalhos cosmopolitas ou lhe dar um perfil caracteristicamente brasileiro que a faça distinguir-se em meio ao concerto artístico universal?</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Eis porque eu canto o sertão, o sol, o Orós, as carnaúbas, o algodão, os seringueiros, os vaqueiros, a caatinga, a Amazônia, a praça do Ferreira e o Cariri; eis porque canto o presente tumultuoso de minha terra e o seu passado tão curto, tão claro, tão cheio de expansão e vialidade, que é quase um outro presente (Reeditado em O Povo. 14.04.2010)</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Nesse período e especificamente no jornal </w:t>
      </w:r>
      <w:r>
        <w:rPr>
          <w:rFonts w:ascii="Times New Roman" w:hAnsi="Times New Roman" w:cs="Times New Roman" w:eastAsia="Times New Roman"/>
          <w:i/>
          <w:color w:val="auto"/>
          <w:spacing w:val="0"/>
          <w:position w:val="0"/>
          <w:sz w:val="24"/>
          <w:shd w:fill="auto" w:val="clear"/>
        </w:rPr>
        <w:t xml:space="preserve">O Povo</w:t>
      </w:r>
      <w:r>
        <w:rPr>
          <w:rFonts w:ascii="Times New Roman" w:hAnsi="Times New Roman" w:cs="Times New Roman" w:eastAsia="Times New Roman"/>
          <w:color w:val="auto"/>
          <w:spacing w:val="0"/>
          <w:position w:val="0"/>
          <w:sz w:val="24"/>
          <w:shd w:fill="auto" w:val="clear"/>
        </w:rPr>
        <w:t xml:space="preserve">, o ambiente jornalístico possibilitou o contato de Rachel com outras mulheres escritoras (CUNHA. O Povo. 11.11.1995), suas opiniões e reivindicações públicas, além da aquisição de uma linguagem própria que foi sendo trabalhada ao longo de sua obra como um todo.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Afirma Hollanda (2002, p. 111) que, também nestes primeiros periódicos, no ano de 1928, a então jornalista Rachel de Queiroz, travara diálogos com Maria Lacerda de Moura, que elogiou a novata por seu comprometimento com a causa social, enquanto Rachel defendeu, por sua vez, a reivindicação de Lacerda de Moura pelo voto.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Uma das maiores expressões do movimento feminino pela emancipação no campo social, Lacerda de Moura encarnava a figura da mulher política, da mulher que reivindica seus direitos e sua liberdade tanto no espaço privado quanto no espaço público recentemente confrontado por elas. Artigos de Maria Lacerda interpretando Hans Ryner foram publicados tanto no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quanto no </w:t>
      </w:r>
      <w:r>
        <w:rPr>
          <w:rFonts w:ascii="Times New Roman" w:hAnsi="Times New Roman" w:cs="Times New Roman" w:eastAsia="Times New Roman"/>
          <w:i/>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juntando-se à escrita das demais mulheres que conviviam no espaço dos jornais. Rachel, portanto, travou contato com as discussões feministas de seu tempo e as reivindicações pelas quais lutavam. Mesmo que, após este período, a autora tenha se oposto ao movimento feminista, é insofismável que as questões levantadas por este grupo tenham influenciado as mulheres em geral, ajudando a entender porque os romances posteriores de Rachel de Queiroz desenharam personagens femininas bem radicais para sua época (HOLLANDA, </w:t>
      </w:r>
      <w:r>
        <w:rPr>
          <w:rFonts w:ascii="Times New Roman" w:hAnsi="Times New Roman" w:cs="Times New Roman" w:eastAsia="Times New Roman"/>
          <w:i/>
          <w:color w:val="auto"/>
          <w:spacing w:val="0"/>
          <w:position w:val="0"/>
          <w:sz w:val="24"/>
          <w:shd w:fill="auto" w:val="clear"/>
        </w:rPr>
        <w:t xml:space="preserve">Op. Cit. </w:t>
      </w:r>
      <w:r>
        <w:rPr>
          <w:rFonts w:ascii="Times New Roman" w:hAnsi="Times New Roman" w:cs="Times New Roman" w:eastAsia="Times New Roman"/>
          <w:color w:val="auto"/>
          <w:spacing w:val="0"/>
          <w:position w:val="0"/>
          <w:sz w:val="24"/>
          <w:shd w:fill="auto" w:val="clear"/>
        </w:rPr>
        <w:t xml:space="preserve">p. 113).</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Assim, percebemos que as discussões sobre a modernidade como um todo pairavam no imaginário cearense da década de 1920 (PONTE, 1999), como em grande parte do território nacional. O ambiente intelectual fortalezense, em crescimento e desenvolvimento desde o século XIX, caminhava numa corrente de expansão com os projetos de modernização da capital, com a fundação de jornais e dos primeiros núcleos de saber, como a Academia Francesa, o Instituto Histórico e Geográfico, a Academia Cearense, a Biblioteca Pública,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Padaria Espiritual; agremiações com diferenças entre si, mas que agregaram os mais importantes intelectuais da época.  Como afirma Silva Nobre (1992, p. 10),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agremiações e entidades intelectuais surgiram não só na capital como também no interior, em cidades como Quixadá onde a família de Rachel de Queiroz possuía suas terras.</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das dimensões de Fortaleza serem muito menores que as da capital federal ou de São Paulo à época, constituia a sétima capital do país em número populacional. E, na esteira dos projetos de higienização e reforma urbana típicos deste período, abrigou a construção de lojas e cafés com nomes franceses, além de outros estabelecimentos comerciais em volta da Praça do Ferreira, centro pulsátil da cidade (PONTE, </w:t>
      </w:r>
      <w:r>
        <w:rPr>
          <w:rFonts w:ascii="Times New Roman" w:hAnsi="Times New Roman" w:cs="Times New Roman" w:eastAsia="Times New Roman"/>
          <w:i/>
          <w:color w:val="auto"/>
          <w:spacing w:val="0"/>
          <w:position w:val="0"/>
          <w:sz w:val="24"/>
          <w:shd w:fill="auto" w:val="clear"/>
        </w:rPr>
        <w:t xml:space="preserve">Op. Cit. </w:t>
      </w:r>
      <w:r>
        <w:rPr>
          <w:rFonts w:ascii="Times New Roman" w:hAnsi="Times New Roman" w:cs="Times New Roman" w:eastAsia="Times New Roman"/>
          <w:color w:val="auto"/>
          <w:spacing w:val="0"/>
          <w:position w:val="0"/>
          <w:sz w:val="24"/>
          <w:shd w:fill="auto" w:val="clear"/>
        </w:rPr>
        <w:t xml:space="preserve">p. 15).</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Também o comportamento feminino apresentava novas formas: a esportista, a intelectual, a melindrosa. Na moda, os cabelos curtos e vestidos acima das canelas, cobertos pelas meias de seda eram a sensação da época, usada principalmente pelas melindrosas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 anos 1920 e sobre quem Rachel, ainda sob o pseudônimo de Rita de Queluz, escreveu um irônico texto em 24 de abril de 1928:</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Pobres melindrosas gentis! São o mais delicioso objeto que povoa e lantejoula as ruas dolorosas de nossa Fortaleza colonial e calcetada.</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Tão frágeis e multicores na floração violenta dos </w:t>
      </w:r>
      <w:r>
        <w:rPr>
          <w:rFonts w:ascii="Times New Roman" w:hAnsi="Times New Roman" w:cs="Times New Roman" w:eastAsia="Times New Roman"/>
          <w:i/>
          <w:color w:val="auto"/>
          <w:spacing w:val="0"/>
          <w:position w:val="0"/>
          <w:sz w:val="20"/>
          <w:shd w:fill="auto" w:val="clear"/>
        </w:rPr>
        <w:t xml:space="preserve">etamines </w:t>
      </w:r>
      <w:r>
        <w:rPr>
          <w:rFonts w:ascii="Times New Roman" w:hAnsi="Times New Roman" w:cs="Times New Roman" w:eastAsia="Times New Roman"/>
          <w:color w:val="auto"/>
          <w:spacing w:val="0"/>
          <w:position w:val="0"/>
          <w:sz w:val="20"/>
          <w:shd w:fill="auto" w:val="clear"/>
        </w:rPr>
        <w:t xml:space="preserve">berrantes, no vermelhão sanguíneo da boca, no negro refulgente ou no loiro oxigenado da cabeleira à </w:t>
      </w:r>
      <w:r>
        <w:rPr>
          <w:rFonts w:ascii="Times New Roman" w:hAnsi="Times New Roman" w:cs="Times New Roman" w:eastAsia="Times New Roman"/>
          <w:i/>
          <w:color w:val="auto"/>
          <w:spacing w:val="0"/>
          <w:position w:val="0"/>
          <w:sz w:val="20"/>
          <w:shd w:fill="auto" w:val="clear"/>
        </w:rPr>
        <w:t xml:space="preserve">garçonne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Ninguém descobre nelas senão uma encantadora e colorida bonequinha de </w:t>
      </w:r>
      <w:r>
        <w:rPr>
          <w:rFonts w:ascii="Times New Roman" w:hAnsi="Times New Roman" w:cs="Times New Roman" w:eastAsia="Times New Roman"/>
          <w:i/>
          <w:color w:val="auto"/>
          <w:spacing w:val="0"/>
          <w:position w:val="0"/>
          <w:sz w:val="20"/>
          <w:shd w:fill="auto" w:val="clear"/>
        </w:rPr>
        <w:t xml:space="preserve">guignol</w:t>
      </w:r>
      <w:r>
        <w:rPr>
          <w:rFonts w:ascii="Times New Roman" w:hAnsi="Times New Roman" w:cs="Times New Roman" w:eastAsia="Times New Roman"/>
          <w:color w:val="auto"/>
          <w:spacing w:val="0"/>
          <w:position w:val="0"/>
          <w:sz w:val="20"/>
          <w:shd w:fill="auto" w:val="clear"/>
        </w:rPr>
        <w:t xml:space="preserve"> que com precisão automática cavalga nos saltos a Luis XV, maneja o </w:t>
      </w:r>
      <w:r>
        <w:rPr>
          <w:rFonts w:ascii="Times New Roman" w:hAnsi="Times New Roman" w:cs="Times New Roman" w:eastAsia="Times New Roman"/>
          <w:i/>
          <w:color w:val="auto"/>
          <w:spacing w:val="0"/>
          <w:position w:val="0"/>
          <w:sz w:val="20"/>
          <w:shd w:fill="auto" w:val="clear"/>
        </w:rPr>
        <w:t xml:space="preserve">baton, </w:t>
      </w:r>
      <w:r>
        <w:rPr>
          <w:rFonts w:ascii="Times New Roman" w:hAnsi="Times New Roman" w:cs="Times New Roman" w:eastAsia="Times New Roman"/>
          <w:color w:val="auto"/>
          <w:spacing w:val="0"/>
          <w:position w:val="0"/>
          <w:sz w:val="20"/>
          <w:shd w:fill="auto" w:val="clear"/>
        </w:rPr>
        <w:t xml:space="preserve">e atravessa em bamboleios estudados as ruas pobres que o sol enriquece com seu oiro (O Povo. 24.03.1928).</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Cleusa da Silva (2001, p. 29s)), a melindrosa encarnava a figura da mulher moderna, em última moda copiada do cinema americano ou das modas de Paris. No entanto, eram vistas em geral como frívolas, interesseiras e extremamente vaidosas. Apesar de Rachel defendê-las neste artigo, usa de extrema ironia para desculpar as futilidades destas jovens modernas.</w:t>
      </w:r>
    </w:p>
    <w:p>
      <w:pPr>
        <w:tabs>
          <w:tab w:val="left" w:pos="0" w:leader="none"/>
        </w:tabs>
        <w:spacing w:before="0" w:after="0" w:line="360"/>
        <w:ind w:right="0" w:left="0" w:firstLine="54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mesmo tempo, ninguém melhor do que ela para tratar das mulheres modernas, ainda que criticando seus exageros. Com apenas dezessete anos, colunista de jornal e professora da Escola Normal Rachel já estabelecia-se como escritora conhecida no estado. Em 18 de junho de 1930 vemos a seguinte correspondência no </w:t>
      </w:r>
      <w:r>
        <w:rPr>
          <w:rFonts w:ascii="Times New Roman" w:hAnsi="Times New Roman" w:cs="Times New Roman" w:eastAsia="Times New Roman"/>
          <w:i/>
          <w:color w:val="auto"/>
          <w:spacing w:val="0"/>
          <w:position w:val="0"/>
          <w:sz w:val="24"/>
          <w:shd w:fill="auto" w:val="clear"/>
        </w:rPr>
        <w:t xml:space="preserve">O Povo:</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Realizou-se ontem aqui magnífico baile no Salão Cariry, ricamente iluminado, oferecido à escritora Rachel de Queiroz e senhorinha Alba Frota, pelo casal dr. Leão Sampaio compareceu um grande número de famílias. Rachel de Queiroz foi saudada pelo advogado Duarte Junior e dr. Amora Maciel, recitando ela numerosos versos de sua autoria. O baile foi o mais suntuoso e distinto em nosso meio (O Povo. 19.06.1930).</w:t>
      </w:r>
    </w:p>
    <w:p>
      <w:pPr>
        <w:tabs>
          <w:tab w:val="left" w:pos="0"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Baile que expressa a presença de Rachel de Queiroz nos círculos sociais de elite da época, revela também a forma como a jovem é vista por esta sociedade já no ano de 1930: como escritora. Tendo publicado versos, crônicas, folhetins e manifestos na imprensa cearense, Rachel figurava entre a juventude intelectual que modernizava o ambiente literário do estado. As declamações, os círculos literários e as amizades firmadas neste campo colaboram para a emergência de um nome</w:t>
      </w:r>
      <w:r>
        <w:rPr>
          <w:rFonts w:ascii="Times New Roman" w:hAnsi="Times New Roman" w:cs="Times New Roman" w:eastAsia="Times New Roman"/>
          <w:i/>
          <w:color w:val="auto"/>
          <w:spacing w:val="0"/>
          <w:position w:val="0"/>
          <w:sz w:val="24"/>
          <w:shd w:fill="auto" w:val="clear"/>
        </w:rPr>
        <w:t xml:space="preserve">.</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Rachel de Queiroz participou de círculos intelectuais e salões literários com maciça presença feminina. Aliado à sua convivência com escritores tradicionais de sua região, ao contexto familiar e à experiência jornalística não seria, portanto, surpresa que a escritora publicasse um romance. E, de fato, na semana anterior ao baile acima descrito já podia-se encontrar o anúncio do primeiro livro de Rachel de Queiroz, abandonado o pseudônimo: </w:t>
      </w:r>
      <w:r>
        <w:rPr>
          <w:rFonts w:ascii="Times New Roman" w:hAnsi="Times New Roman" w:cs="Times New Roman" w:eastAsia="Times New Roman"/>
          <w:i/>
          <w:color w:val="auto"/>
          <w:spacing w:val="0"/>
          <w:position w:val="0"/>
          <w:sz w:val="24"/>
          <w:shd w:fill="auto" w:val="clear"/>
        </w:rPr>
        <w:t xml:space="preserve">O Quinze,</w:t>
      </w:r>
      <w:r>
        <w:rPr>
          <w:rFonts w:ascii="Times New Roman" w:hAnsi="Times New Roman" w:cs="Times New Roman" w:eastAsia="Times New Roman"/>
          <w:color w:val="auto"/>
          <w:spacing w:val="0"/>
          <w:position w:val="0"/>
          <w:sz w:val="24"/>
          <w:shd w:fill="auto" w:val="clear"/>
        </w:rPr>
        <w:t xml:space="preserve"> numa edição de mil exemplares,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tinha como vendedora exclusiva a livraria Moraes, por 6$000, preço bem acima da média dos romances publicados na década de 1920 no Centro-Sul (Ver LAJOLO &amp; ZILBERMAN, 1998).</w:t>
      </w:r>
    </w:p>
    <w:p>
      <w:pPr>
        <w:tabs>
          <w:tab w:val="left" w:pos="0" w:leader="none"/>
        </w:tabs>
        <w:spacing w:before="0" w:after="0" w:line="36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Conclusões</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Escrito sob a luz de um candeeiro nas madrugadas de 1929 na casa da família na região do Pici,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surgiu de uma experiência com a escrita que dava-se desde cedo ou até mesmo antes de Rachel existir enquanto pessoa, nas memórias contadas por sua família que lembravam os círculos de leitura presididos por José de Alencar, primo de sua bisavó (ACIOLI, 2003, p. 16/17). Mesmo com essa bagagem atemporal, Rachel apresenta-se humildemente no prefácio:</w:t>
      </w:r>
    </w:p>
    <w:p>
      <w:pPr>
        <w:spacing w:before="0" w:after="0" w:line="240"/>
        <w:ind w:right="44"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Quinze é uma ousadia ingênua de ensaísta. Livro feito aos dezenove anos, há de ter todos os defeitos daquilo que a gente produz nesta idade em que estou, quando não se tem a sossegada prudência de ir devagar para fazer bem feito, quando nos governa a impaciência insofrida de não esperar, de ver o nosso pensamento, mal é concebido, logo escrito, impresso, disseminado, cotejado com outros alheios, fazendo parte do patrimônio mental da humanidade...(AJAB.O Quinze. 1930)</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0"/>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humildade esconde uma grande coragem. Não havendo grandes editoras na cidade, a autora publica seu próprio livro com a ajuda o pai. Desde o começo do século esta era uma prática comum de escritores que não conseguiam ou não tinham acesso às grandes editoras. Depois de impresso, era a hora de enviar cópias pra seus contatos no meio literário ou para críticos de diferentes lugares do país esperando, com isso, dar a conhecer-se (EL FAR, 2006. p. 34).</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mesmo tempo em que lançava seu primeiro romance, a autora aparecia em fotos com os cabelos à </w:t>
      </w:r>
      <w:r>
        <w:rPr>
          <w:rFonts w:ascii="Times New Roman" w:hAnsi="Times New Roman" w:cs="Times New Roman" w:eastAsia="Times New Roman"/>
          <w:i/>
          <w:color w:val="auto"/>
          <w:spacing w:val="0"/>
          <w:position w:val="0"/>
          <w:sz w:val="24"/>
          <w:shd w:fill="auto" w:val="clear"/>
        </w:rPr>
        <w:t xml:space="preserve">garçonne</w:t>
      </w:r>
      <w:r>
        <w:rPr>
          <w:rFonts w:ascii="Times New Roman" w:hAnsi="Times New Roman" w:cs="Times New Roman" w:eastAsia="Times New Roman"/>
          <w:color w:val="auto"/>
          <w:spacing w:val="0"/>
          <w:position w:val="0"/>
          <w:sz w:val="24"/>
          <w:shd w:fill="auto" w:val="clear"/>
        </w:rPr>
        <w:t xml:space="preserve"> e o vestido leve e modelado, acima das canelas, na festa onde receberia o título de Sua Majestade, Rainha dos Estudantes Cearenses de 1930. Por ironia do destino ou não, Rachel havia concorrido nos anos de 1928, 1929 e 1930 ao título de Rainha dos Estudantes, tendo sido enfim eleita com mais de 2000 votos para “reinar a mocidade das escolas com o cetro”, no mesmo concurso que Suzana Alencar participara e que Rachel havia ironizado três anos antes.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É, portanto, inegável que o nome de Rachel de Queiroz circulasse não somente nos círculos intelectuais cearenses como também no ambiente estudantil, seu maior eleitorado. Assim como algumas rainhas antes dela, como Suzana de Alencar, Rachel era considerada escritora, onde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não foi a princípio tido como um milagre mas como resultado de uma vivência na área da escrita que havia se iniciado com sua profissionalização no jornal e na prática pedagógica. Aqui podemos lembrar a personagem de Conceição nas primeiras páginas do romance:  </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Estaria com razão a avó? Porque, de fato, Conceição talvez tivesse </w:t>
      </w:r>
      <w:r>
        <w:rPr>
          <w:rFonts w:ascii="Times New Roman" w:hAnsi="Times New Roman" w:cs="Times New Roman" w:eastAsia="Times New Roman"/>
          <w:i/>
          <w:color w:val="auto"/>
          <w:spacing w:val="0"/>
          <w:position w:val="0"/>
          <w:sz w:val="20"/>
          <w:shd w:fill="auto" w:val="clear"/>
        </w:rPr>
        <w:t xml:space="preserve">umas idéias</w:t>
      </w:r>
      <w:r>
        <w:rPr>
          <w:rFonts w:ascii="Times New Roman" w:hAnsi="Times New Roman" w:cs="Times New Roman" w:eastAsia="Times New Roman"/>
          <w:color w:val="auto"/>
          <w:spacing w:val="0"/>
          <w:position w:val="0"/>
          <w:sz w:val="20"/>
          <w:shd w:fill="auto" w:val="clear"/>
        </w:rPr>
        <w:t xml:space="preserve">; escrevia um livro sobre pedagogia, rabiscara dois sonetos, e às vezes lhe acontecia citar o Nordau ou o Renan da biblioteca do avô. Chegara até a se arriscar em leituras socialistas, e justamente destas leituras é que lhe saíam as piores das tais </w:t>
      </w:r>
      <w:r>
        <w:rPr>
          <w:rFonts w:ascii="Times New Roman" w:hAnsi="Times New Roman" w:cs="Times New Roman" w:eastAsia="Times New Roman"/>
          <w:i/>
          <w:color w:val="auto"/>
          <w:spacing w:val="0"/>
          <w:position w:val="0"/>
          <w:sz w:val="20"/>
          <w:shd w:fill="auto" w:val="clear"/>
        </w:rPr>
        <w:t xml:space="preserve">idéias</w:t>
      </w:r>
      <w:r>
        <w:rPr>
          <w:rFonts w:ascii="Times New Roman" w:hAnsi="Times New Roman" w:cs="Times New Roman" w:eastAsia="Times New Roman"/>
          <w:color w:val="auto"/>
          <w:spacing w:val="0"/>
          <w:position w:val="0"/>
          <w:sz w:val="20"/>
          <w:shd w:fill="auto" w:val="clear"/>
        </w:rPr>
        <w:t xml:space="preserve">, estranhas e absurdas à avó.</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Acostumada a pensar por si, a viver isolada, criara para seu uso idéias e preconceitos próprios, às vezes largos, às vezes ousados, e que pecavam principalmente pela excessiva marca de casa (O QUINZE. 1985. p. 04).</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personagem retrata muito do que a própria Rachel encontrava em seu círculo de amizades mais próximo, jovens com ambições literárias e leituras socialistas, mulheres que participavam de salões literários, organizavam saraus, escreviam e publicavam em jornais, começavam a ser reconhecidas por sua escrita para além do nome da família e da posição social. Um exemplo é o de Henriqueta Galeno, filha de Juvenal Galeno, e fundadora do Salão intelectual que tinha como nome o de seu pai. Segundo Rachel (1989, p. 07), Henriqueta era a alma de toda a agitação intelectual que se processava em torno do poeta, “ela que aliciava declamadoras, poetas e conferencistas para as tertúlias semanais, ela que se encarregava de festejar visitantes ilustres, ela, afinal, que se responsabilizava por toda a parte social e festiva da modesta vida literária cearense de então”.</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que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saiu nas bancas Henriqueta foi uma das primeiras a homenagear a jovem autora, promovendo um baile:</w:t>
      </w:r>
    </w:p>
    <w:p>
      <w:pPr>
        <w:tabs>
          <w:tab w:val="left" w:pos="540" w:leader="none"/>
        </w:tabs>
        <w:spacing w:before="0" w:after="0" w:line="240"/>
        <w:ind w:right="0"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Festejando o aparecimento do apreciado romance </w:t>
      </w:r>
      <w:r>
        <w:rPr>
          <w:rFonts w:ascii="Times New Roman" w:hAnsi="Times New Roman" w:cs="Times New Roman" w:eastAsia="Times New Roman"/>
          <w:i/>
          <w:color w:val="auto"/>
          <w:spacing w:val="0"/>
          <w:position w:val="0"/>
          <w:sz w:val="20"/>
          <w:shd w:fill="auto" w:val="clear"/>
        </w:rPr>
        <w:t xml:space="preserve">O Quinze, </w:t>
      </w:r>
      <w:r>
        <w:rPr>
          <w:rFonts w:ascii="Times New Roman" w:hAnsi="Times New Roman" w:cs="Times New Roman" w:eastAsia="Times New Roman"/>
          <w:color w:val="auto"/>
          <w:spacing w:val="0"/>
          <w:position w:val="0"/>
          <w:sz w:val="20"/>
          <w:shd w:fill="auto" w:val="clear"/>
        </w:rPr>
        <w:t xml:space="preserve">o salão Juvenal Galeno abrirá hoje suas portas para recepcionar a escritora Rachel de Queiroz, realizando-se ali brilhante serão literário-musical em homenagem à jovem e talentosa beletrista (O Povo. 08.08.1930) </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Neste sentido, os salões eram de fato um foco irradiador de influências e um espaço indispensável no ingresso das mulheres no fechado sistema de produção intelectual (ELEUTÉRIO, </w:t>
      </w:r>
      <w:r>
        <w:rPr>
          <w:rFonts w:ascii="Times New Roman" w:hAnsi="Times New Roman" w:cs="Times New Roman" w:eastAsia="Times New Roman"/>
          <w:i/>
          <w:color w:val="auto"/>
          <w:spacing w:val="0"/>
          <w:position w:val="0"/>
          <w:sz w:val="24"/>
          <w:shd w:fill="auto" w:val="clear"/>
        </w:rPr>
        <w:t xml:space="preserve">Op. Cit, </w:t>
      </w:r>
      <w:r>
        <w:rPr>
          <w:rFonts w:ascii="Times New Roman" w:hAnsi="Times New Roman" w:cs="Times New Roman" w:eastAsia="Times New Roman"/>
          <w:color w:val="auto"/>
          <w:spacing w:val="0"/>
          <w:position w:val="0"/>
          <w:sz w:val="24"/>
          <w:shd w:fill="auto" w:val="clear"/>
        </w:rPr>
        <w:t xml:space="preserve">p. 26). Henriqueta Galeno, no dia da festa de homenagem, exaltou o nome de Rachel de Queiroz e a previniu das adversidades da carreira intelectual para uma mulher em sua época, principalmente através do que classificou como “fuxicos literários”: conversas, intrigas, ironias, formas sutis de desmerecer e zombar da escrita feminina, disfarçando a mordacidade pelo humor. Nos anos de 1920 a posição feminina no campo intelectal estava muito mais consolidada e polêmica do que no século anterior. Para além da questão feminina, as mulheres foram aos poucos assumindo a palavra pública para denunciar as desigualdades sociais, criticar a política, opinar sobre assuntos de interesse geral.</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assim, para isso teriam muitas vezes que abdicar das características consideradas femininas como a sensibilidade, o romantismo, a futilidade. Aquelas que conseguiram ter reconhecimento ainda com todas estas dificuldades transmitiram para nós um legado de conquistas e importantes fontes históricas. Como a década de 30 proporcionou o questionamento da posição da mulher na sociedade, a escrita das próprias mulheres também pluralizou as experiências femininas para além dos estereótipos da mocinha ou da prostituta constante nos romances canônicos do século anterior.</w:t>
      </w: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 exemplo foi Rachel de Queiroz, que através de sua carreira enquanto escritora, aliado à composição de suas personagens femininas, possibilitou uma nova perspectiva sobre a mulher brasileira e sua relação com a literatura.  Retomando mais uma vez a recepção de </w:t>
      </w:r>
      <w:r>
        <w:rPr>
          <w:rFonts w:ascii="Times New Roman" w:hAnsi="Times New Roman" w:cs="Times New Roman" w:eastAsia="Times New Roman"/>
          <w:i/>
          <w:color w:val="auto"/>
          <w:spacing w:val="0"/>
          <w:position w:val="0"/>
          <w:sz w:val="24"/>
          <w:shd w:fill="auto" w:val="clear"/>
        </w:rPr>
        <w:t xml:space="preserve">O Quinze</w:t>
      </w:r>
      <w:r>
        <w:rPr>
          <w:rFonts w:ascii="Times New Roman" w:hAnsi="Times New Roman" w:cs="Times New Roman" w:eastAsia="Times New Roman"/>
          <w:color w:val="auto"/>
          <w:spacing w:val="0"/>
          <w:position w:val="0"/>
          <w:sz w:val="24"/>
          <w:shd w:fill="auto" w:val="clear"/>
        </w:rPr>
        <w:t xml:space="preserve">, mas agora no próprio Ceará, podemos problematizar ainda mais questões. Assim afirma Acioli (</w:t>
      </w:r>
      <w:r>
        <w:rPr>
          <w:rFonts w:ascii="Times New Roman" w:hAnsi="Times New Roman" w:cs="Times New Roman" w:eastAsia="Times New Roman"/>
          <w:i/>
          <w:color w:val="auto"/>
          <w:spacing w:val="0"/>
          <w:position w:val="0"/>
          <w:sz w:val="24"/>
          <w:shd w:fill="auto" w:val="clear"/>
        </w:rPr>
        <w:t xml:space="preserve">Op. Cit., </w:t>
      </w:r>
      <w:r>
        <w:rPr>
          <w:rFonts w:ascii="Times New Roman" w:hAnsi="Times New Roman" w:cs="Times New Roman" w:eastAsia="Times New Roman"/>
          <w:color w:val="auto"/>
          <w:spacing w:val="0"/>
          <w:position w:val="0"/>
          <w:sz w:val="24"/>
          <w:shd w:fill="auto" w:val="clear"/>
        </w:rPr>
        <w:t xml:space="preserve">p. 37), baseada em entrevistas com Rachel de Queiroz:</w:t>
      </w:r>
    </w:p>
    <w:p>
      <w:pPr>
        <w:spacing w:before="0" w:after="0" w:line="240"/>
        <w:ind w:right="44" w:left="5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recepção no Ceará não foi das melhores. Apareceram algumas críticas dizendo que o livro era impresso em papel inferior e que não havia sido escrito por Rachel e sim por seu pai ou pelo escritor Beni de Carvalho. Esse boato foi espalhado em notas, por outro escritor que frequentava a mesma roda de literatos de Rachel, em Fortaleza. (...). Se no Ceará a crítica se resumiu a esta mesquinhez, foi tudo muito diferente no sudeste do país.</w:t>
      </w:r>
    </w:p>
    <w:p>
      <w:pPr>
        <w:spacing w:before="0" w:after="0" w:line="240"/>
        <w:ind w:right="44" w:left="54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fato, a própria Rachel de Queiroz (1998, p. 37) conta em livro o caso de um escritor cearense que havia publicado e distribuído folhetins criticando o primeiro romance da autora, reclamando da má qualidade do livro ou que ele teria sido escrito por seu pai. Talvez por isso tenha ficado em sua memória a recepção hostil a </w:t>
      </w:r>
      <w:r>
        <w:rPr>
          <w:rFonts w:ascii="Times New Roman" w:hAnsi="Times New Roman" w:cs="Times New Roman" w:eastAsia="Times New Roman"/>
          <w:i/>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em seu estado de origem.</w:t>
      </w:r>
    </w:p>
    <w:p>
      <w:pPr>
        <w:spacing w:before="0" w:after="0" w:line="360"/>
        <w:ind w:right="44"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análise do jornal </w:t>
      </w:r>
      <w:r>
        <w:rPr>
          <w:rFonts w:ascii="Times New Roman" w:hAnsi="Times New Roman" w:cs="Times New Roman" w:eastAsia="Times New Roman"/>
          <w:i/>
          <w:color w:val="auto"/>
          <w:spacing w:val="0"/>
          <w:position w:val="0"/>
          <w:sz w:val="24"/>
          <w:shd w:fill="auto" w:val="clear"/>
        </w:rPr>
        <w:t xml:space="preserve">O Povo</w:t>
      </w:r>
      <w:r>
        <w:rPr>
          <w:rFonts w:ascii="Times New Roman" w:hAnsi="Times New Roman" w:cs="Times New Roman" w:eastAsia="Times New Roman"/>
          <w:color w:val="auto"/>
          <w:spacing w:val="0"/>
          <w:position w:val="0"/>
          <w:sz w:val="24"/>
          <w:shd w:fill="auto" w:val="clear"/>
        </w:rPr>
        <w:t xml:space="preserve">, porém,</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nos meses que marcaram a estreia do romance até a publicação da crítica de Augusto Frederico Schmidt reproduzida pelo jornal em 04 de setembro de 1930, percebemos que o romance provocou diversas reações na capital cearense. </w:t>
      </w:r>
    </w:p>
    <w:p>
      <w:pPr>
        <w:spacing w:before="0" w:after="0" w:line="360"/>
        <w:ind w:right="44"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um lado tem-se a versão da própria Rachel acerca daqueles que desclassificaram o livro. Por outro lado o jornal </w:t>
      </w:r>
      <w:r>
        <w:rPr>
          <w:rFonts w:ascii="Times New Roman" w:hAnsi="Times New Roman" w:cs="Times New Roman" w:eastAsia="Times New Roman"/>
          <w:i/>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do qual Rachel era já bem conhecida, insistiu em divulgar todas as homenagens e críticas positivas feitas à autora e posteriormente reproduzir as críticas literárias publicadas no Centro-Sul do país e favoráveis ao romance, como as de Raimundo Moraes e Octávio de Faria.</w:t>
      </w:r>
    </w:p>
    <w:p>
      <w:pPr>
        <w:spacing w:before="0" w:after="0" w:line="360"/>
        <w:ind w:right="44"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Além disso, o apoio que Rachel teve das mulheres envolvidas com a intelectualidade foi muito importante, pois com ajuda delas a capital voltou suas atenções à jovem romancista e a seu primeiro livro. Neste sentido, também Maria Eugênia Celso publicou suas impressões do romance, exaltando o talento de Rachel principalmente em escrever um romance regionalista que tocava o leitor por ser essencialmente brasileiro.</w:t>
      </w:r>
    </w:p>
    <w:p>
      <w:pPr>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Sendo assim, notamos que a carreira literária de Rachel de Queiroz começou timidamente como a maior parte das mulheres que escreviam à sua época. Família e amigos foram fundamentais na sua inserção na imprensa, onde aprendeu e conviveu com outros intelectuais, entre eles mulheres em sua mesma situação. A prática jornalística, aliada à ampliação de sua rede de sociabilidades auxiliou na promoção e divulgação de seu trabalho intelectual, que foi aos poucos servindo como instrumento para a escrita de um primeiro romance</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o sucesso que a autora cearense conheceu ao longo da vida foi uma excessão frente ao mercado de trabalho da escrita no começo do século, e à produção de muitas outras mulheres anteriores ou posteriores a ela. Realizar este tipo de comparação ajuda a perceber que o ambiente literário brasileiro, por mais que fosse constituído quase exclusivamente por homens, não ignorava de todo a participação feminina, pois via-se cada vez mais confrontado com a presença das mulheres nas redações, nas editoras, nos colégios, começando a reconhecer a qualidade e a importância de seus textos. Também nesta direção notamos a importância dos argumentos de </w:t>
      </w:r>
      <w:r>
        <w:rPr>
          <w:rFonts w:ascii="Times New Roman" w:hAnsi="Times New Roman" w:cs="Times New Roman" w:eastAsia="Times New Roman"/>
          <w:i/>
          <w:color w:val="auto"/>
          <w:spacing w:val="0"/>
          <w:position w:val="0"/>
          <w:sz w:val="24"/>
          <w:shd w:fill="auto" w:val="clear"/>
        </w:rPr>
        <w:t xml:space="preserve">gênero</w:t>
      </w:r>
      <w:r>
        <w:rPr>
          <w:rFonts w:ascii="Times New Roman" w:hAnsi="Times New Roman" w:cs="Times New Roman" w:eastAsia="Times New Roman"/>
          <w:color w:val="auto"/>
          <w:spacing w:val="0"/>
          <w:position w:val="0"/>
          <w:sz w:val="24"/>
          <w:shd w:fill="auto" w:val="clear"/>
        </w:rPr>
        <w:t xml:space="preserve"> no julgamento positivo ou negativo da literatura produzida pelas mulheres; eles não são, portanto, desprezíveis na análise da crítica.</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por fim, cumpre destacar para nosso propósito, que a geração de Rachel de Queiroz foi marcada pelo discurso acerca do moderno também no que se refere à escrita da mulher moderna e sua inserção no ambiente literário. </w:t>
      </w:r>
    </w:p>
    <w:p>
      <w:pPr>
        <w:spacing w:before="0" w:after="0" w:line="36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Referências Bibliográficas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Fontes Primárias: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ALMOFALA, B. Manuscrito para a sessão Jazz-Band de </w:t>
      </w:r>
      <w:r>
        <w:rPr>
          <w:rFonts w:ascii="Times New Roman" w:hAnsi="Times New Roman" w:cs="Times New Roman" w:eastAsia="Times New Roman"/>
          <w:i/>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28.07.1927. AJAB.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ANDRADE, M. Modernismo brasileiro.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31.12.1928. ABPF.</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Carta de Rachel de Queiroz a Alba Frota de 18.06.1924. AJAB.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CELSO, M. E. O Quinze.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21.09.1930.</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Correspondência de Mello Rezende a Antônio Salles. FCRB</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Correspondência de Rachel de Queiroz a Antônio Salles 05.07.1933. FCRB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CUNHA, C. Rachel antes do O Quinze.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11.11.1985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Editorial. </w:t>
      </w:r>
      <w:r>
        <w:rPr>
          <w:rFonts w:ascii="Times New Roman" w:hAnsi="Times New Roman" w:cs="Times New Roman" w:eastAsia="Times New Roman"/>
          <w:b/>
          <w:color w:val="auto"/>
          <w:spacing w:val="0"/>
          <w:position w:val="0"/>
          <w:sz w:val="24"/>
          <w:shd w:fill="auto" w:val="clear"/>
        </w:rPr>
        <w:t xml:space="preserve"> Ceará. </w:t>
      </w:r>
      <w:r>
        <w:rPr>
          <w:rFonts w:ascii="Times New Roman" w:hAnsi="Times New Roman" w:cs="Times New Roman" w:eastAsia="Times New Roman"/>
          <w:color w:val="auto"/>
          <w:spacing w:val="0"/>
          <w:position w:val="0"/>
          <w:sz w:val="24"/>
          <w:shd w:fill="auto" w:val="clear"/>
        </w:rPr>
        <w:t xml:space="preserve">10.04.1927. AJAB.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Editorial.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07.01.1928. ABPF.</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FARIA, O. de. O Quinze.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20.09.1930.</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MORAES, R. Um livro de fogo.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19.09.1930.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QUEIROZ, R. de. A alma da melindrosa.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24.03.1928.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Artigo para O Ceará. 08.04.1928. AJAB. Manuscrito.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Home. </w:t>
      </w:r>
      <w:r>
        <w:rPr>
          <w:rFonts w:ascii="Times New Roman" w:hAnsi="Times New Roman" w:cs="Times New Roman" w:eastAsia="Times New Roman"/>
          <w:b/>
          <w:color w:val="auto"/>
          <w:spacing w:val="0"/>
          <w:position w:val="0"/>
          <w:sz w:val="24"/>
          <w:shd w:fill="auto" w:val="clear"/>
        </w:rPr>
        <w:t xml:space="preserve">O Ceará. </w:t>
      </w:r>
      <w:r>
        <w:rPr>
          <w:rFonts w:ascii="Times New Roman" w:hAnsi="Times New Roman" w:cs="Times New Roman" w:eastAsia="Times New Roman"/>
          <w:color w:val="auto"/>
          <w:spacing w:val="0"/>
          <w:position w:val="0"/>
          <w:sz w:val="24"/>
          <w:shd w:fill="auto" w:val="clear"/>
        </w:rPr>
        <w:t xml:space="preserve">07.06.1927. AJAB.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Tupan.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01.12.1928. ABPF.</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w:t>
      </w:r>
      <w:r>
        <w:rPr>
          <w:rFonts w:ascii="Times New Roman" w:hAnsi="Times New Roman" w:cs="Times New Roman" w:eastAsia="Times New Roman"/>
          <w:b/>
          <w:color w:val="auto"/>
          <w:spacing w:val="0"/>
          <w:position w:val="0"/>
          <w:sz w:val="24"/>
          <w:shd w:fill="auto" w:val="clear"/>
        </w:rPr>
        <w:t xml:space="preserve">O Quinze. </w:t>
      </w:r>
      <w:r>
        <w:rPr>
          <w:rFonts w:ascii="Times New Roman" w:hAnsi="Times New Roman" w:cs="Times New Roman" w:eastAsia="Times New Roman"/>
          <w:color w:val="auto"/>
          <w:spacing w:val="0"/>
          <w:position w:val="0"/>
          <w:sz w:val="24"/>
          <w:shd w:fill="auto" w:val="clear"/>
        </w:rPr>
        <w:t xml:space="preserve">Fortaleza: Ed. Graphico Urânia, 1930. AJAB</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&amp; QUEIROZ, M. L de. </w:t>
      </w:r>
      <w:r>
        <w:rPr>
          <w:rFonts w:ascii="Times New Roman" w:hAnsi="Times New Roman" w:cs="Times New Roman" w:eastAsia="Times New Roman"/>
          <w:b/>
          <w:color w:val="auto"/>
          <w:spacing w:val="0"/>
          <w:position w:val="0"/>
          <w:sz w:val="24"/>
          <w:shd w:fill="auto" w:val="clear"/>
        </w:rPr>
        <w:t xml:space="preserve">Tantos Anos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Editora Siciliano: São Paulo, 1998.</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________. </w:t>
      </w:r>
      <w:r>
        <w:rPr>
          <w:rFonts w:ascii="Times New Roman" w:hAnsi="Times New Roman" w:cs="Times New Roman" w:eastAsia="Times New Roman"/>
          <w:b/>
          <w:color w:val="auto"/>
          <w:spacing w:val="0"/>
          <w:position w:val="0"/>
          <w:sz w:val="24"/>
          <w:shd w:fill="auto" w:val="clear"/>
        </w:rPr>
        <w:t xml:space="preserve">O Quinze.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Rio de Janeiro: Editora José Olympio, 34ª edição. 1985.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Prefácio. In: CAMPOS, M. &amp; MONTENEGRO, J. A.. </w:t>
      </w:r>
      <w:r>
        <w:rPr>
          <w:rFonts w:ascii="Times New Roman" w:hAnsi="Times New Roman" w:cs="Times New Roman" w:eastAsia="Times New Roman"/>
          <w:b/>
          <w:color w:val="auto"/>
          <w:spacing w:val="0"/>
          <w:position w:val="0"/>
          <w:sz w:val="24"/>
          <w:shd w:fill="auto" w:val="clear"/>
        </w:rPr>
        <w:t xml:space="preserve">Demócrito Rocha: o poeta e o jornalista. </w:t>
      </w:r>
      <w:r>
        <w:rPr>
          <w:rFonts w:ascii="Times New Roman" w:hAnsi="Times New Roman" w:cs="Times New Roman" w:eastAsia="Times New Roman"/>
          <w:color w:val="auto"/>
          <w:spacing w:val="0"/>
          <w:position w:val="0"/>
          <w:sz w:val="24"/>
          <w:shd w:fill="auto" w:val="clear"/>
        </w:rPr>
        <w:t xml:space="preserve">Fortaleza: Imprensa Universitária, 1989. p. 5-11.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QUELUZ, R. Manifesto Regionalista. </w:t>
      </w:r>
      <w:r>
        <w:rPr>
          <w:rFonts w:ascii="Times New Roman" w:hAnsi="Times New Roman" w:cs="Times New Roman" w:eastAsia="Times New Roman"/>
          <w:b/>
          <w:color w:val="auto"/>
          <w:spacing w:val="0"/>
          <w:position w:val="0"/>
          <w:sz w:val="24"/>
          <w:shd w:fill="auto" w:val="clear"/>
        </w:rPr>
        <w:t xml:space="preserve">O Povo. </w:t>
      </w:r>
      <w:r>
        <w:rPr>
          <w:rFonts w:ascii="Times New Roman" w:hAnsi="Times New Roman" w:cs="Times New Roman" w:eastAsia="Times New Roman"/>
          <w:color w:val="auto"/>
          <w:spacing w:val="0"/>
          <w:position w:val="0"/>
          <w:sz w:val="24"/>
          <w:shd w:fill="auto" w:val="clear"/>
        </w:rPr>
        <w:t xml:space="preserve">14.04.2010. (1ª. 1929)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SCHMIDT, A. F. Uma revelação – O Quinze. In: </w:t>
      </w:r>
      <w:r>
        <w:rPr>
          <w:rFonts w:ascii="Times New Roman" w:hAnsi="Times New Roman" w:cs="Times New Roman" w:eastAsia="Times New Roman"/>
          <w:b/>
          <w:color w:val="auto"/>
          <w:spacing w:val="0"/>
          <w:position w:val="0"/>
          <w:sz w:val="24"/>
          <w:shd w:fill="auto" w:val="clear"/>
        </w:rPr>
        <w:t xml:space="preserve">As Novidades Literárias, Artísticas e Científicas</w:t>
      </w:r>
      <w:r>
        <w:rPr>
          <w:rFonts w:ascii="Times New Roman" w:hAnsi="Times New Roman" w:cs="Times New Roman" w:eastAsia="Times New Roman"/>
          <w:color w:val="auto"/>
          <w:spacing w:val="0"/>
          <w:position w:val="0"/>
          <w:sz w:val="24"/>
          <w:shd w:fill="auto" w:val="clear"/>
        </w:rPr>
        <w:t xml:space="preserve"> . Rio de Janeiro, 18 de agosto de 1930, no. 4.</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ACIOLI, S. </w:t>
      </w:r>
      <w:r>
        <w:rPr>
          <w:rFonts w:ascii="Times New Roman" w:hAnsi="Times New Roman" w:cs="Times New Roman" w:eastAsia="Times New Roman"/>
          <w:b/>
          <w:color w:val="auto"/>
          <w:spacing w:val="0"/>
          <w:position w:val="0"/>
          <w:sz w:val="24"/>
          <w:shd w:fill="auto" w:val="clear"/>
        </w:rPr>
        <w:t xml:space="preserve">Rachel de Queiroz. </w:t>
      </w:r>
      <w:r>
        <w:rPr>
          <w:rFonts w:ascii="Times New Roman" w:hAnsi="Times New Roman" w:cs="Times New Roman" w:eastAsia="Times New Roman"/>
          <w:color w:val="auto"/>
          <w:spacing w:val="0"/>
          <w:position w:val="0"/>
          <w:sz w:val="24"/>
          <w:shd w:fill="auto" w:val="clear"/>
        </w:rPr>
        <w:t xml:space="preserve">Fortaleza: Demócrito Rocha, 2003.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ANDRADE, M. </w:t>
      </w:r>
      <w:r>
        <w:rPr>
          <w:rFonts w:ascii="Times New Roman" w:hAnsi="Times New Roman" w:cs="Times New Roman" w:eastAsia="Times New Roman"/>
          <w:b/>
          <w:color w:val="auto"/>
          <w:spacing w:val="0"/>
          <w:position w:val="0"/>
          <w:sz w:val="24"/>
          <w:shd w:fill="auto" w:val="clear"/>
        </w:rPr>
        <w:t xml:space="preserve">Táxi e crônicas no Diário Nacional. </w:t>
      </w:r>
      <w:r>
        <w:rPr>
          <w:rFonts w:ascii="Times New Roman" w:hAnsi="Times New Roman" w:cs="Times New Roman" w:eastAsia="Times New Roman"/>
          <w:color w:val="auto"/>
          <w:spacing w:val="0"/>
          <w:position w:val="0"/>
          <w:sz w:val="24"/>
          <w:shd w:fill="auto" w:val="clear"/>
        </w:rPr>
        <w:t xml:space="preserve">Belo Horizonte: Ed. Itatiaia, 2005.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 </w:t>
      </w:r>
      <w:r>
        <w:rPr>
          <w:rFonts w:ascii="Times New Roman" w:hAnsi="Times New Roman" w:cs="Times New Roman" w:eastAsia="Times New Roman"/>
          <w:b/>
          <w:color w:val="auto"/>
          <w:spacing w:val="0"/>
          <w:position w:val="0"/>
          <w:sz w:val="24"/>
          <w:shd w:fill="auto" w:val="clear"/>
        </w:rPr>
        <w:t xml:space="preserve">Problemas do estruturalismo. </w:t>
      </w:r>
      <w:r>
        <w:rPr>
          <w:rFonts w:ascii="Times New Roman" w:hAnsi="Times New Roman" w:cs="Times New Roman" w:eastAsia="Times New Roman"/>
          <w:color w:val="auto"/>
          <w:spacing w:val="0"/>
          <w:position w:val="0"/>
          <w:sz w:val="24"/>
          <w:shd w:fill="auto" w:val="clear"/>
        </w:rPr>
        <w:t xml:space="preserve">Rio de Janeiro: Zahar Editores, s/a.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BUENO, L. </w:t>
      </w:r>
      <w:r>
        <w:rPr>
          <w:rFonts w:ascii="Times New Roman" w:hAnsi="Times New Roman" w:cs="Times New Roman" w:eastAsia="Times New Roman"/>
          <w:b/>
          <w:color w:val="auto"/>
          <w:spacing w:val="0"/>
          <w:position w:val="0"/>
          <w:sz w:val="24"/>
          <w:shd w:fill="auto" w:val="clear"/>
        </w:rPr>
        <w:t xml:space="preserve">Uma história do romance de 30.</w:t>
      </w:r>
      <w:r>
        <w:rPr>
          <w:rFonts w:ascii="Times New Roman" w:hAnsi="Times New Roman" w:cs="Times New Roman" w:eastAsia="Times New Roman"/>
          <w:color w:val="auto"/>
          <w:spacing w:val="0"/>
          <w:position w:val="0"/>
          <w:sz w:val="24"/>
          <w:shd w:fill="auto" w:val="clear"/>
        </w:rPr>
        <w:t xml:space="preserve"> São Paulo/Campinas: Edusp/Editora da Unicamp, 2006.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Cadernos de Literatura Brasileira:</w:t>
      </w:r>
      <w:r>
        <w:rPr>
          <w:rFonts w:ascii="Times New Roman" w:hAnsi="Times New Roman" w:cs="Times New Roman" w:eastAsia="Times New Roman"/>
          <w:color w:val="auto"/>
          <w:spacing w:val="0"/>
          <w:position w:val="0"/>
          <w:sz w:val="24"/>
          <w:shd w:fill="auto" w:val="clear"/>
        </w:rPr>
        <w:t xml:space="preserve"> Rachel de Queiroz</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Instituto Moreira Salles. Número 4. 1ª reimpressão, jan/2002.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CAMPOS, M. &amp; MONTENEGRO, J. A. </w:t>
      </w:r>
      <w:r>
        <w:rPr>
          <w:rFonts w:ascii="Times New Roman" w:hAnsi="Times New Roman" w:cs="Times New Roman" w:eastAsia="Times New Roman"/>
          <w:b/>
          <w:color w:val="auto"/>
          <w:spacing w:val="0"/>
          <w:position w:val="0"/>
          <w:sz w:val="24"/>
          <w:shd w:fill="auto" w:val="clear"/>
        </w:rPr>
        <w:t xml:space="preserve">Demócrito Rocha: o poeta e o jornalista. </w:t>
      </w:r>
      <w:r>
        <w:rPr>
          <w:rFonts w:ascii="Times New Roman" w:hAnsi="Times New Roman" w:cs="Times New Roman" w:eastAsia="Times New Roman"/>
          <w:color w:val="auto"/>
          <w:spacing w:val="0"/>
          <w:position w:val="0"/>
          <w:sz w:val="24"/>
          <w:shd w:fill="auto" w:val="clear"/>
        </w:rPr>
        <w:t xml:space="preserve">Fortaleza: Imprensa Universitária, 1989.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CHARTIER R. A história hoje: dúvidas, desafios, propostas. In: </w:t>
      </w:r>
      <w:r>
        <w:rPr>
          <w:rFonts w:ascii="Times New Roman" w:hAnsi="Times New Roman" w:cs="Times New Roman" w:eastAsia="Times New Roman"/>
          <w:b/>
          <w:color w:val="auto"/>
          <w:spacing w:val="0"/>
          <w:position w:val="0"/>
          <w:sz w:val="24"/>
          <w:shd w:fill="auto" w:val="clear"/>
        </w:rPr>
        <w:t xml:space="preserve">Estudos Históricos. </w:t>
      </w:r>
      <w:r>
        <w:rPr>
          <w:rFonts w:ascii="Times New Roman" w:hAnsi="Times New Roman" w:cs="Times New Roman" w:eastAsia="Times New Roman"/>
          <w:color w:val="auto"/>
          <w:spacing w:val="0"/>
          <w:position w:val="0"/>
          <w:sz w:val="24"/>
          <w:shd w:fill="auto" w:val="clear"/>
        </w:rPr>
        <w:t xml:space="preserve">Rio de Janeiro, vol. 07. no. 13, 1994.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COUTINHO, A. </w:t>
      </w:r>
      <w:r>
        <w:rPr>
          <w:rFonts w:ascii="Times New Roman" w:hAnsi="Times New Roman" w:cs="Times New Roman" w:eastAsia="Times New Roman"/>
          <w:b/>
          <w:color w:val="auto"/>
          <w:spacing w:val="0"/>
          <w:position w:val="0"/>
          <w:sz w:val="24"/>
          <w:shd w:fill="auto" w:val="clear"/>
        </w:rPr>
        <w:t xml:space="preserve">A literatura no Brasil. </w:t>
      </w:r>
      <w:r>
        <w:rPr>
          <w:rFonts w:ascii="Times New Roman" w:hAnsi="Times New Roman" w:cs="Times New Roman" w:eastAsia="Times New Roman"/>
          <w:color w:val="auto"/>
          <w:spacing w:val="0"/>
          <w:position w:val="0"/>
          <w:sz w:val="24"/>
          <w:shd w:fill="auto" w:val="clear"/>
        </w:rPr>
        <w:t xml:space="preserve">São Paulo: Global Editora, 1996.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CUNHA, C. </w:t>
      </w:r>
      <w:r>
        <w:rPr>
          <w:rFonts w:ascii="Times New Roman" w:hAnsi="Times New Roman" w:cs="Times New Roman" w:eastAsia="Times New Roman"/>
          <w:b/>
          <w:color w:val="auto"/>
          <w:spacing w:val="0"/>
          <w:position w:val="0"/>
          <w:sz w:val="24"/>
          <w:shd w:fill="auto" w:val="clear"/>
        </w:rPr>
        <w:t xml:space="preserve">Além do mar e das flores: </w:t>
      </w:r>
      <w:r>
        <w:rPr>
          <w:rFonts w:ascii="Times New Roman" w:hAnsi="Times New Roman" w:cs="Times New Roman" w:eastAsia="Times New Roman"/>
          <w:color w:val="auto"/>
          <w:spacing w:val="0"/>
          <w:position w:val="0"/>
          <w:sz w:val="24"/>
          <w:shd w:fill="auto" w:val="clear"/>
        </w:rPr>
        <w:t xml:space="preserve">primeiras escritoras cearenses. Fortaleza: Expressão Gráfica e Editora, 2008.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CERTEAU, M. </w:t>
      </w:r>
      <w:r>
        <w:rPr>
          <w:rFonts w:ascii="Times New Roman" w:hAnsi="Times New Roman" w:cs="Times New Roman" w:eastAsia="Times New Roman"/>
          <w:b/>
          <w:color w:val="auto"/>
          <w:spacing w:val="0"/>
          <w:position w:val="0"/>
          <w:sz w:val="24"/>
          <w:shd w:fill="auto" w:val="clear"/>
        </w:rPr>
        <w:t xml:space="preserve">A Invenção do Cotidiano. </w:t>
      </w:r>
      <w:r>
        <w:rPr>
          <w:rFonts w:ascii="Times New Roman" w:hAnsi="Times New Roman" w:cs="Times New Roman" w:eastAsia="Times New Roman"/>
          <w:color w:val="auto"/>
          <w:spacing w:val="0"/>
          <w:position w:val="0"/>
          <w:sz w:val="24"/>
          <w:shd w:fill="auto" w:val="clear"/>
        </w:rPr>
        <w:t xml:space="preserve">Petrópolis, Vozes, 1994.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FAR, A. </w:t>
      </w:r>
      <w:r>
        <w:rPr>
          <w:rFonts w:ascii="Times New Roman" w:hAnsi="Times New Roman" w:cs="Times New Roman" w:eastAsia="Times New Roman"/>
          <w:b/>
          <w:color w:val="auto"/>
          <w:spacing w:val="0"/>
          <w:position w:val="0"/>
          <w:sz w:val="24"/>
          <w:shd w:fill="auto" w:val="clear"/>
        </w:rPr>
        <w:t xml:space="preserve">O livro e a leitura no Brasil. </w:t>
      </w:r>
      <w:r>
        <w:rPr>
          <w:rFonts w:ascii="Times New Roman" w:hAnsi="Times New Roman" w:cs="Times New Roman" w:eastAsia="Times New Roman"/>
          <w:color w:val="auto"/>
          <w:spacing w:val="0"/>
          <w:position w:val="0"/>
          <w:sz w:val="24"/>
          <w:shd w:fill="auto" w:val="clear"/>
        </w:rPr>
        <w:t xml:space="preserve">Rio de Janeiro: Zahar, 2006.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ELEUTÉRIO, </w:t>
      </w:r>
      <w:r>
        <w:rPr>
          <w:rFonts w:ascii="Times New Roman" w:hAnsi="Times New Roman" w:cs="Times New Roman" w:eastAsia="Times New Roman"/>
          <w:b/>
          <w:color w:val="auto"/>
          <w:spacing w:val="0"/>
          <w:position w:val="0"/>
          <w:sz w:val="24"/>
          <w:shd w:fill="auto" w:val="clear"/>
        </w:rPr>
        <w:t xml:space="preserve">Vidas de romance. </w:t>
      </w:r>
      <w:r>
        <w:rPr>
          <w:rFonts w:ascii="Times New Roman" w:hAnsi="Times New Roman" w:cs="Times New Roman" w:eastAsia="Times New Roman"/>
          <w:color w:val="auto"/>
          <w:spacing w:val="0"/>
          <w:position w:val="0"/>
          <w:sz w:val="24"/>
          <w:shd w:fill="auto" w:val="clear"/>
        </w:rPr>
        <w:t xml:space="preserve">As mulheres e o exercício de ler e escrever no entresséculos (1890-1930). Rio de Janeiro: Topbooks, 2005.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FOUCAULT, M. </w:t>
      </w:r>
      <w:r>
        <w:rPr>
          <w:rFonts w:ascii="Times New Roman" w:hAnsi="Times New Roman" w:cs="Times New Roman" w:eastAsia="Times New Roman"/>
          <w:b/>
          <w:color w:val="auto"/>
          <w:spacing w:val="0"/>
          <w:position w:val="0"/>
          <w:sz w:val="24"/>
          <w:shd w:fill="auto" w:val="clear"/>
        </w:rPr>
        <w:t xml:space="preserve">O Que é um autor? </w:t>
      </w:r>
      <w:r>
        <w:rPr>
          <w:rFonts w:ascii="Times New Roman" w:hAnsi="Times New Roman" w:cs="Times New Roman" w:eastAsia="Times New Roman"/>
          <w:color w:val="auto"/>
          <w:spacing w:val="0"/>
          <w:position w:val="0"/>
          <w:sz w:val="24"/>
          <w:shd w:fill="auto" w:val="clear"/>
        </w:rPr>
        <w:t xml:space="preserve">Vega/Passagens: 2000.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FREYRE, G. </w:t>
      </w:r>
      <w:r>
        <w:rPr>
          <w:rFonts w:ascii="Times New Roman" w:hAnsi="Times New Roman" w:cs="Times New Roman" w:eastAsia="Times New Roman"/>
          <w:b/>
          <w:color w:val="auto"/>
          <w:spacing w:val="0"/>
          <w:position w:val="0"/>
          <w:sz w:val="24"/>
          <w:shd w:fill="auto" w:val="clear"/>
        </w:rPr>
        <w:t xml:space="preserve">Manifesto Regionalista. </w:t>
      </w:r>
      <w:r>
        <w:rPr>
          <w:rFonts w:ascii="Times New Roman" w:hAnsi="Times New Roman" w:cs="Times New Roman" w:eastAsia="Times New Roman"/>
          <w:color w:val="auto"/>
          <w:spacing w:val="0"/>
          <w:position w:val="0"/>
          <w:sz w:val="24"/>
          <w:shd w:fill="auto" w:val="clear"/>
        </w:rPr>
        <w:t xml:space="preserve">In: </w:t>
      </w:r>
      <w:hyperlink xmlns:r="http://schemas.openxmlformats.org/officeDocument/2006/relationships" r:id="docRId224">
        <w:r>
          <w:rPr>
            <w:rFonts w:ascii="Times New Roman" w:hAnsi="Times New Roman" w:cs="Times New Roman" w:eastAsia="Times New Roman"/>
            <w:color w:val="0000FF"/>
            <w:spacing w:val="0"/>
            <w:position w:val="0"/>
            <w:sz w:val="24"/>
            <w:u w:val="single"/>
            <w:shd w:fill="auto" w:val="clear"/>
          </w:rPr>
          <w:t xml:space="preserve">http://www.arq.ufsc.br/arq5625/modulo2modernidade/manifestos/manifestoregionalista.htm. Acessado em 28.05.2010</w:t>
        </w:r>
      </w:hyperlink>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HOLLANDA, H. B. . </w:t>
      </w:r>
      <w:r>
        <w:rPr>
          <w:rFonts w:ascii="Times New Roman" w:hAnsi="Times New Roman" w:cs="Times New Roman" w:eastAsia="Times New Roman"/>
          <w:b/>
          <w:color w:val="auto"/>
          <w:spacing w:val="0"/>
          <w:position w:val="0"/>
          <w:sz w:val="24"/>
          <w:shd w:fill="auto" w:val="clear"/>
        </w:rPr>
        <w:t xml:space="preserve">Os estudos sobre literatura no Brasil: uma primeira abordagem. </w:t>
      </w:r>
      <w:r>
        <w:rPr>
          <w:rFonts w:ascii="Times New Roman" w:hAnsi="Times New Roman" w:cs="Times New Roman" w:eastAsia="Times New Roman"/>
          <w:color w:val="auto"/>
          <w:spacing w:val="0"/>
          <w:position w:val="0"/>
          <w:sz w:val="24"/>
          <w:shd w:fill="auto" w:val="clear"/>
        </w:rPr>
        <w:t xml:space="preserve">Site </w:t>
      </w:r>
      <w:hyperlink xmlns:r="http://schemas.openxmlformats.org/officeDocument/2006/relationships" r:id="docRId225">
        <w:r>
          <w:rPr>
            <w:rFonts w:ascii="Times New Roman" w:hAnsi="Times New Roman" w:cs="Times New Roman" w:eastAsia="Times New Roman"/>
            <w:color w:val="0000FF"/>
            <w:spacing w:val="0"/>
            <w:position w:val="0"/>
            <w:sz w:val="24"/>
            <w:u w:val="single"/>
            <w:shd w:fill="auto" w:val="clear"/>
          </w:rPr>
          <w:t xml:space="preserve">http://www.heloisabuarquedehollanda.com.br/?p=680</w:t>
        </w:r>
        <w:r>
          <w:rPr>
            <w:rFonts w:ascii="Times New Roman" w:hAnsi="Times New Roman" w:cs="Times New Roman" w:eastAsia="Times New Roman"/>
            <w:vanish/>
            <w:color w:val="0000FF"/>
            <w:spacing w:val="0"/>
            <w:position w:val="0"/>
            <w:sz w:val="24"/>
            <w:u w:val="single"/>
            <w:shd w:fill="auto" w:val="clear"/>
          </w:rPr>
          <w:t xml:space="preserve">HYPERLINK "http://www.heloisabuarquedehollanda.com.br/?p=680&amp;cat=8"</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"http://www.heloisabuarquedehollanda.com.br/?p=680&amp;cat=8"</w:t>
        </w:r>
        <w:r>
          <w:rPr>
            <w:rFonts w:ascii="Times New Roman" w:hAnsi="Times New Roman" w:cs="Times New Roman" w:eastAsia="Times New Roman"/>
            <w:color w:val="0000FF"/>
            <w:spacing w:val="0"/>
            <w:position w:val="0"/>
            <w:sz w:val="24"/>
            <w:u w:val="single"/>
            <w:shd w:fill="auto" w:val="clear"/>
          </w:rPr>
          <w:t xml:space="preserve">cat=8</w:t>
        </w:r>
      </w:hyperlink>
      <w:r>
        <w:rPr>
          <w:rFonts w:ascii="Times New Roman" w:hAnsi="Times New Roman" w:cs="Times New Roman" w:eastAsia="Times New Roman"/>
          <w:color w:val="auto"/>
          <w:spacing w:val="0"/>
          <w:position w:val="0"/>
          <w:sz w:val="24"/>
          <w:shd w:fill="auto" w:val="clear"/>
        </w:rPr>
        <w:t xml:space="preserve">. Acessado em 13/06/2010.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 (Org.) </w:t>
      </w:r>
      <w:r>
        <w:rPr>
          <w:rFonts w:ascii="Times New Roman" w:hAnsi="Times New Roman" w:cs="Times New Roman" w:eastAsia="Times New Roman"/>
          <w:b/>
          <w:color w:val="auto"/>
          <w:spacing w:val="0"/>
          <w:position w:val="0"/>
          <w:sz w:val="24"/>
          <w:shd w:fill="auto" w:val="clear"/>
        </w:rPr>
        <w:t xml:space="preserve">Tendências e impasses: o feminismo como crítica da cultura.</w:t>
      </w:r>
      <w:r>
        <w:rPr>
          <w:rFonts w:ascii="Times New Roman" w:hAnsi="Times New Roman" w:cs="Times New Roman" w:eastAsia="Times New Roman"/>
          <w:color w:val="auto"/>
          <w:spacing w:val="0"/>
          <w:position w:val="0"/>
          <w:sz w:val="24"/>
          <w:shd w:fill="auto" w:val="clear"/>
        </w:rPr>
        <w:t xml:space="preserve"> Rio de Janeiro: Rocco, 1994.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LAJOLO, M. &amp; ZILBERMAN, R.</w:t>
      </w:r>
      <w:r>
        <w:rPr>
          <w:rFonts w:ascii="Times New Roman" w:hAnsi="Times New Roman" w:cs="Times New Roman" w:eastAsia="Times New Roman"/>
          <w:b/>
          <w:color w:val="auto"/>
          <w:spacing w:val="0"/>
          <w:position w:val="0"/>
          <w:sz w:val="24"/>
          <w:shd w:fill="auto" w:val="clear"/>
        </w:rPr>
        <w:t xml:space="preserve"> A formação da leitura no Brasil. </w:t>
      </w:r>
      <w:r>
        <w:rPr>
          <w:rFonts w:ascii="Times New Roman" w:hAnsi="Times New Roman" w:cs="Times New Roman" w:eastAsia="Times New Roman"/>
          <w:color w:val="auto"/>
          <w:spacing w:val="0"/>
          <w:position w:val="0"/>
          <w:sz w:val="24"/>
          <w:shd w:fill="auto" w:val="clear"/>
        </w:rPr>
        <w:t xml:space="preserve">São Paulo: Ática, 1998.</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LEITE, M. L. M. </w:t>
      </w:r>
      <w:r>
        <w:rPr>
          <w:rFonts w:ascii="Times New Roman" w:hAnsi="Times New Roman" w:cs="Times New Roman" w:eastAsia="Times New Roman"/>
          <w:b/>
          <w:color w:val="auto"/>
          <w:spacing w:val="0"/>
          <w:position w:val="0"/>
          <w:sz w:val="24"/>
          <w:shd w:fill="auto" w:val="clear"/>
        </w:rPr>
        <w:t xml:space="preserve">Maria Lacerda de Moura: </w:t>
      </w:r>
      <w:r>
        <w:rPr>
          <w:rFonts w:ascii="Times New Roman" w:hAnsi="Times New Roman" w:cs="Times New Roman" w:eastAsia="Times New Roman"/>
          <w:color w:val="auto"/>
          <w:spacing w:val="0"/>
          <w:position w:val="0"/>
          <w:sz w:val="24"/>
          <w:shd w:fill="auto" w:val="clear"/>
        </w:rPr>
        <w:t xml:space="preserve">uma feminista utópica. Florianópolis/Santa Cruz do Sul: Ed. Mulheres/Edunisc, 2005.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LIMA, E. de Q. </w:t>
      </w:r>
      <w:r>
        <w:rPr>
          <w:rFonts w:ascii="Times New Roman" w:hAnsi="Times New Roman" w:cs="Times New Roman" w:eastAsia="Times New Roman"/>
          <w:b/>
          <w:color w:val="auto"/>
          <w:spacing w:val="0"/>
          <w:position w:val="0"/>
          <w:sz w:val="24"/>
          <w:shd w:fill="auto" w:val="clear"/>
        </w:rPr>
        <w:t xml:space="preserve">Antiga Família do Sertão. </w:t>
      </w:r>
      <w:r>
        <w:rPr>
          <w:rFonts w:ascii="Times New Roman" w:hAnsi="Times New Roman" w:cs="Times New Roman" w:eastAsia="Times New Roman"/>
          <w:color w:val="auto"/>
          <w:spacing w:val="0"/>
          <w:position w:val="0"/>
          <w:sz w:val="24"/>
          <w:shd w:fill="auto" w:val="clear"/>
        </w:rPr>
        <w:t xml:space="preserve">Fortaleza: Editora Agir, 1946.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MARTINS, W. A Crítica Modernista. IN: COUTINHO, A. </w:t>
      </w:r>
      <w:r>
        <w:rPr>
          <w:rFonts w:ascii="Times New Roman" w:hAnsi="Times New Roman" w:cs="Times New Roman" w:eastAsia="Times New Roman"/>
          <w:b/>
          <w:color w:val="auto"/>
          <w:spacing w:val="0"/>
          <w:position w:val="0"/>
          <w:sz w:val="24"/>
          <w:shd w:fill="auto" w:val="clear"/>
        </w:rPr>
        <w:t xml:space="preserve">A Literatura No Brasil. </w:t>
      </w:r>
      <w:r>
        <w:rPr>
          <w:rFonts w:ascii="Times New Roman" w:hAnsi="Times New Roman" w:cs="Times New Roman" w:eastAsia="Times New Roman"/>
          <w:color w:val="auto"/>
          <w:spacing w:val="0"/>
          <w:position w:val="0"/>
          <w:sz w:val="24"/>
          <w:shd w:fill="auto" w:val="clear"/>
        </w:rPr>
        <w:t xml:space="preserve">São Paulo: Global Editora, 1996. P.591-634.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MICELI, S. </w:t>
      </w:r>
      <w:r>
        <w:rPr>
          <w:rFonts w:ascii="Times New Roman" w:hAnsi="Times New Roman" w:cs="Times New Roman" w:eastAsia="Times New Roman"/>
          <w:b/>
          <w:color w:val="auto"/>
          <w:spacing w:val="0"/>
          <w:position w:val="0"/>
          <w:sz w:val="24"/>
          <w:shd w:fill="auto" w:val="clear"/>
        </w:rPr>
        <w:t xml:space="preserve">Intelectuais À Brasileira. </w:t>
      </w:r>
      <w:r>
        <w:rPr>
          <w:rFonts w:ascii="Times New Roman" w:hAnsi="Times New Roman" w:cs="Times New Roman" w:eastAsia="Times New Roman"/>
          <w:color w:val="auto"/>
          <w:spacing w:val="0"/>
          <w:position w:val="0"/>
          <w:sz w:val="24"/>
          <w:shd w:fill="auto" w:val="clear"/>
        </w:rPr>
        <w:t xml:space="preserve">São Paulo: Companhia Das Letras, 2001.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MOI, T. </w:t>
      </w:r>
      <w:r>
        <w:rPr>
          <w:rFonts w:ascii="Times New Roman" w:hAnsi="Times New Roman" w:cs="Times New Roman" w:eastAsia="Times New Roman"/>
          <w:b/>
          <w:color w:val="auto"/>
          <w:spacing w:val="0"/>
          <w:position w:val="0"/>
          <w:sz w:val="24"/>
          <w:shd w:fill="auto" w:val="clear"/>
        </w:rPr>
        <w:t xml:space="preserve">Sexual/Textual Politics.</w:t>
      </w:r>
      <w:r>
        <w:rPr>
          <w:rFonts w:ascii="Times New Roman" w:hAnsi="Times New Roman" w:cs="Times New Roman" w:eastAsia="Times New Roman"/>
          <w:color w:val="auto"/>
          <w:spacing w:val="0"/>
          <w:position w:val="0"/>
          <w:sz w:val="24"/>
          <w:shd w:fill="auto" w:val="clear"/>
        </w:rPr>
        <w:t xml:space="preserve"> London: Methuen &amp; Co. Ltd, 1985.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MONTENEGRO, A. F. </w:t>
      </w:r>
      <w:r>
        <w:rPr>
          <w:rFonts w:ascii="Times New Roman" w:hAnsi="Times New Roman" w:cs="Times New Roman" w:eastAsia="Times New Roman"/>
          <w:b/>
          <w:color w:val="auto"/>
          <w:spacing w:val="0"/>
          <w:position w:val="0"/>
          <w:sz w:val="24"/>
          <w:shd w:fill="auto" w:val="clear"/>
        </w:rPr>
        <w:t xml:space="preserve">Júlio de Mattos Ibiapina: um pioneiro da sociologia regional no Ceará. </w:t>
      </w:r>
      <w:r>
        <w:rPr>
          <w:rFonts w:ascii="Times New Roman" w:hAnsi="Times New Roman" w:cs="Times New Roman" w:eastAsia="Times New Roman"/>
          <w:color w:val="auto"/>
          <w:spacing w:val="0"/>
          <w:position w:val="0"/>
          <w:sz w:val="24"/>
          <w:shd w:fill="auto" w:val="clear"/>
        </w:rPr>
        <w:t xml:space="preserve">Fortaleza: UFC, 2002.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NOBRE, F. S. </w:t>
      </w:r>
      <w:r>
        <w:rPr>
          <w:rFonts w:ascii="Times New Roman" w:hAnsi="Times New Roman" w:cs="Times New Roman" w:eastAsia="Times New Roman"/>
          <w:b/>
          <w:color w:val="auto"/>
          <w:spacing w:val="0"/>
          <w:position w:val="0"/>
          <w:sz w:val="24"/>
          <w:shd w:fill="auto" w:val="clear"/>
        </w:rPr>
        <w:t xml:space="preserve">Da Padaria Espiritual à Semana de Arte Moderna. </w:t>
      </w:r>
      <w:r>
        <w:rPr>
          <w:rFonts w:ascii="Times New Roman" w:hAnsi="Times New Roman" w:cs="Times New Roman" w:eastAsia="Times New Roman"/>
          <w:color w:val="auto"/>
          <w:spacing w:val="0"/>
          <w:position w:val="0"/>
          <w:sz w:val="24"/>
          <w:shd w:fill="auto" w:val="clear"/>
        </w:rPr>
        <w:t xml:space="preserve">Fortaleza: Edarl, 1992.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NYE, A. </w:t>
      </w:r>
      <w:r>
        <w:rPr>
          <w:rFonts w:ascii="Times New Roman" w:hAnsi="Times New Roman" w:cs="Times New Roman" w:eastAsia="Times New Roman"/>
          <w:b/>
          <w:color w:val="auto"/>
          <w:spacing w:val="0"/>
          <w:position w:val="0"/>
          <w:sz w:val="24"/>
          <w:shd w:fill="auto" w:val="clear"/>
        </w:rPr>
        <w:t xml:space="preserve">Teoria feminista e as filosofias do homem. </w:t>
      </w:r>
      <w:r>
        <w:rPr>
          <w:rFonts w:ascii="Times New Roman" w:hAnsi="Times New Roman" w:cs="Times New Roman" w:eastAsia="Times New Roman"/>
          <w:color w:val="auto"/>
          <w:spacing w:val="0"/>
          <w:position w:val="0"/>
          <w:sz w:val="24"/>
          <w:shd w:fill="auto" w:val="clear"/>
        </w:rPr>
        <w:t xml:space="preserve">Rio de Janeiro: Record/Rosa dos Tempos, 1995.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OLIVEIRA, L. L. Sinais da modernidade na Era Vargas: vida literária, cinema, rádio. In: FERREIRA, J. &amp; DELGADO, L. (Org.). </w:t>
      </w:r>
      <w:r>
        <w:rPr>
          <w:rFonts w:ascii="Times New Roman" w:hAnsi="Times New Roman" w:cs="Times New Roman" w:eastAsia="Times New Roman"/>
          <w:b/>
          <w:color w:val="auto"/>
          <w:spacing w:val="0"/>
          <w:position w:val="0"/>
          <w:sz w:val="24"/>
          <w:shd w:fill="auto" w:val="clear"/>
        </w:rPr>
        <w:t xml:space="preserve">O Brasil Republicano. </w:t>
      </w:r>
      <w:r>
        <w:rPr>
          <w:rFonts w:ascii="Times New Roman" w:hAnsi="Times New Roman" w:cs="Times New Roman" w:eastAsia="Times New Roman"/>
          <w:color w:val="auto"/>
          <w:spacing w:val="0"/>
          <w:position w:val="0"/>
          <w:sz w:val="24"/>
          <w:shd w:fill="auto" w:val="clear"/>
        </w:rPr>
        <w:t xml:space="preserve">Vol. 2. Rio de Janeiro: Civilização Brasileira, 2003. 327.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PERROT, M. </w:t>
      </w:r>
      <w:r>
        <w:rPr>
          <w:rFonts w:ascii="Times New Roman" w:hAnsi="Times New Roman" w:cs="Times New Roman" w:eastAsia="Times New Roman"/>
          <w:b/>
          <w:color w:val="auto"/>
          <w:spacing w:val="0"/>
          <w:position w:val="0"/>
          <w:sz w:val="24"/>
          <w:shd w:fill="auto" w:val="clear"/>
        </w:rPr>
        <w:t xml:space="preserve">Minha história das mulheres. </w:t>
      </w:r>
      <w:r>
        <w:rPr>
          <w:rFonts w:ascii="Times New Roman" w:hAnsi="Times New Roman" w:cs="Times New Roman" w:eastAsia="Times New Roman"/>
          <w:color w:val="auto"/>
          <w:spacing w:val="0"/>
          <w:position w:val="0"/>
          <w:sz w:val="24"/>
          <w:shd w:fill="auto" w:val="clear"/>
        </w:rPr>
        <w:t xml:space="preserve">São Paulo: Editora Contexto, 2008.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PONTE, S. R. </w:t>
      </w:r>
      <w:r>
        <w:rPr>
          <w:rFonts w:ascii="Times New Roman" w:hAnsi="Times New Roman" w:cs="Times New Roman" w:eastAsia="Times New Roman"/>
          <w:b/>
          <w:color w:val="auto"/>
          <w:spacing w:val="0"/>
          <w:position w:val="0"/>
          <w:sz w:val="24"/>
          <w:shd w:fill="auto" w:val="clear"/>
        </w:rPr>
        <w:t xml:space="preserve">Fortaleza Belle Époque: reformas urbanas e controle social (1860/1930).</w:t>
      </w:r>
      <w:r>
        <w:rPr>
          <w:rFonts w:ascii="Times New Roman" w:hAnsi="Times New Roman" w:cs="Times New Roman" w:eastAsia="Times New Roman"/>
          <w:color w:val="auto"/>
          <w:spacing w:val="0"/>
          <w:position w:val="0"/>
          <w:sz w:val="24"/>
          <w:shd w:fill="auto" w:val="clear"/>
        </w:rPr>
        <w:t xml:space="preserve"> Fortaleza: Fundações Demócrito Rocha, 1999.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PRIORE, Mary Del. (Org.).  </w:t>
      </w:r>
      <w:r>
        <w:rPr>
          <w:rFonts w:ascii="Times New Roman" w:hAnsi="Times New Roman" w:cs="Times New Roman" w:eastAsia="Times New Roman"/>
          <w:b/>
          <w:color w:val="auto"/>
          <w:spacing w:val="0"/>
          <w:position w:val="0"/>
          <w:sz w:val="24"/>
          <w:shd w:fill="auto" w:val="clear"/>
        </w:rPr>
        <w:t xml:space="preserve">História das mulheres no Brasil.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 Paulo: Editora Contexto/ Unesp, 1997.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SCOOT, J. Gênero: uma categoria útil de análise histórica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 </w:t>
      </w:r>
      <w:r>
        <w:rPr>
          <w:rFonts w:ascii="Times New Roman" w:hAnsi="Times New Roman" w:cs="Times New Roman" w:eastAsia="Times New Roman"/>
          <w:b/>
          <w:color w:val="auto"/>
          <w:spacing w:val="0"/>
          <w:position w:val="0"/>
          <w:sz w:val="24"/>
          <w:shd w:fill="auto" w:val="clear"/>
        </w:rPr>
        <w:t xml:space="preserve">Revista Educação e Realidade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Número 16(2), jul/dez.</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Porto Alegre: UFRS, 1990.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SHOWALTER, E. (Org.). </w:t>
      </w:r>
      <w:r>
        <w:rPr>
          <w:rFonts w:ascii="Times New Roman" w:hAnsi="Times New Roman" w:cs="Times New Roman" w:eastAsia="Times New Roman"/>
          <w:b/>
          <w:color w:val="auto"/>
          <w:spacing w:val="0"/>
          <w:position w:val="0"/>
          <w:sz w:val="24"/>
          <w:shd w:fill="auto" w:val="clear"/>
        </w:rPr>
        <w:t xml:space="preserve">The new feminist criticism. </w:t>
      </w:r>
      <w:r>
        <w:rPr>
          <w:rFonts w:ascii="Times New Roman" w:hAnsi="Times New Roman" w:cs="Times New Roman" w:eastAsia="Times New Roman"/>
          <w:color w:val="auto"/>
          <w:spacing w:val="0"/>
          <w:position w:val="0"/>
          <w:sz w:val="24"/>
          <w:shd w:fill="auto" w:val="clear"/>
        </w:rPr>
        <w:t xml:space="preserve">NewYork: Pantheon Books, 1985.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C. G. da. </w:t>
      </w:r>
      <w:r>
        <w:rPr>
          <w:rFonts w:ascii="Times New Roman" w:hAnsi="Times New Roman" w:cs="Times New Roman" w:eastAsia="Times New Roman"/>
          <w:b/>
          <w:color w:val="auto"/>
          <w:spacing w:val="0"/>
          <w:position w:val="0"/>
          <w:sz w:val="24"/>
          <w:shd w:fill="auto" w:val="clear"/>
        </w:rPr>
        <w:t xml:space="preserve">Modernizando o Casamento:</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leitura do casamento no discurso médico e na escrita literária feminina no Brasil moderno (1900-1940).141 f.  Dissertação (Mestrado em História), Setor de Ciências Humanas, Unicamp, Campinas, 2001.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SODRÉ, N. W. </w:t>
      </w:r>
      <w:r>
        <w:rPr>
          <w:rFonts w:ascii="Times New Roman" w:hAnsi="Times New Roman" w:cs="Times New Roman" w:eastAsia="Times New Roman"/>
          <w:b/>
          <w:color w:val="auto"/>
          <w:spacing w:val="0"/>
          <w:position w:val="0"/>
          <w:sz w:val="24"/>
          <w:shd w:fill="auto" w:val="clear"/>
        </w:rPr>
        <w:t xml:space="preserve">História da imprensa no Brasil. </w:t>
      </w:r>
      <w:r>
        <w:rPr>
          <w:rFonts w:ascii="Times New Roman" w:hAnsi="Times New Roman" w:cs="Times New Roman" w:eastAsia="Times New Roman"/>
          <w:color w:val="auto"/>
          <w:spacing w:val="0"/>
          <w:position w:val="0"/>
          <w:sz w:val="24"/>
          <w:shd w:fill="auto" w:val="clear"/>
        </w:rPr>
        <w:t xml:space="preserve">Rio de Janeiro: Mauad, 1999.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SOIHET, R. &amp; PEDRO, J. M. . A emergência da pesquisa da História das Mulheres e das Relações de Gênero. </w:t>
      </w:r>
      <w:r>
        <w:rPr>
          <w:rFonts w:ascii="Times New Roman" w:hAnsi="Times New Roman" w:cs="Times New Roman" w:eastAsia="Times New Roman"/>
          <w:b/>
          <w:color w:val="auto"/>
          <w:spacing w:val="0"/>
          <w:position w:val="0"/>
          <w:sz w:val="24"/>
          <w:shd w:fill="auto" w:val="clear"/>
        </w:rPr>
        <w:t xml:space="preserve">Revista Brasileira de História</w:t>
      </w:r>
      <w:r>
        <w:rPr>
          <w:rFonts w:ascii="Times New Roman" w:hAnsi="Times New Roman" w:cs="Times New Roman" w:eastAsia="Times New Roman"/>
          <w:color w:val="auto"/>
          <w:spacing w:val="0"/>
          <w:position w:val="0"/>
          <w:sz w:val="24"/>
          <w:shd w:fill="auto" w:val="clear"/>
        </w:rPr>
        <w:t xml:space="preserve">, v. 27,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Arquivos Consultados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Arquivo Pessoal de José Augusto Bezerra. Fortaleza/CE    AJAB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Biblioteca Pública de Fortaleza. Fortaleza/CE       ABPF</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Fundação Casa de Rui Barbosa. Rio de Janeiro/RJ     FCRB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Rosa é para meninas e azul para meninos. Até quando?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Reprodução dos estereótipos de gênero na educação infantil</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Isabel Gomes de Souza</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Universidade do Estado da Bahia</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Orientadora: Viviane dos Santos Carvalho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756"/>
        </w:numPr>
        <w:spacing w:before="0" w:after="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Nossa sociedade é caracterizada por relações hierárquicas e verticais de classe, raça e sexo, que classificam seres naturalmente iguais em superior e inferior baseadas em diferenças biológicas, bem como em diferenças historicamente construídas. As discriminações de classe e cor da pele são explícitas e, muitas vezes, escancaradas na sociedade ocidental extremamente preconceituosa e discriminatória, o que de certo modo propiciou a reação e o enfrentamento das minorias discriminadas que nas últimas décadas vêm alcançando algumas vitórias na elaboração de políticas públicas de igualdade e inclusão social. Entretanto, ainda permanecem intactos e pouco debatidos os preconceitos referentes às relações de gênero, às expectativas depositadas e o papel que cada um deve exercer de acordo com seu sexo.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diferenças biológicas entre macho e fêmea serviram e servem de lastro para a elaboração de papéis e comportamentos predefinidos para este ou aquele sexo que foram enquadrados em estereótipos rígidos e com ar de natural, o que sugere a evolução natural das coisas ignorando a ação e a vontade humanas. Quem nunca ouviu falar ou falou expressões como “homem não chora”, “as meninas são mais dóceis que os meninos”, “se comporte como uma mocinha!”...? São expressões corriqueiras e comuns numa sociedade patriarcal onde a mulher nasceu com dom natural para a vida doméstica e para servir aos homens e as que fogem a essa regra são diferentes, “machões” ou até mesmo bruxas que “mereceram” como castigo por sua transgressão, o calor e o ardor das chamas na fogueira, durante a Idade Média. São preconceitos cotidianos, latentes que passam muitas vezes despercebidos e atingem todos os segmentos da sociedade, independente da raça ou da classe social.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construção de nossa identidade se dá a partir das relações com os outros e com o mundo. As relações de gênero elaboradas e estabelecidas no decorrer da história da humanidade deu ao homem um lugar de destaque e importância tal que a ordenação da existência humana se configura em função do masculino, sobrepondo-o a mulher, considerada inferior, portanto subordinada, dominada, explorada. Uma vez dada pela natureza, as diferenças entre homens e mulheres são consideradas naturais, indiscutíveis e inquestionáveis. Diferenças biológicas se transformam em desigualdade social sob a veste da naturalidade. Assim, homem e mulher apresentam características e comportamentos culturalmente construídos e assimilados, agindo de acordo com as expectativas que a sociedade espera de cada um, cada uma. Estas relações são reflexos das concepções de gênero internalizadas por homens e mulheres, o que pode explicar a presença do machismo não somente no homem, mas a maioria das mulheres encara ambos os sexos de maneira diferenciada e preconceituosa.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processo de internalização e reprodução dos estereótipos sexuais, duas instituições são de vital importância: a família e a escola. A primeira, desde a concepção da criança, exprime seu desejo e expectativa em relação ao sexo do nascituro, o que se aprofunda com o passar dos anos; a mãe e o pai esperam e ensinam aos seus filhos e filhas comportamentos concernentes culturalmente ao seu sexo. Já a escola reforça os padrões sociais e os papéis predefinidos para meninas e meninos, corroborando com a idéia de naturalização das diferenças.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escola é um espaço de transformação, de desconstrução, do velho para a construção do novo, lugar de reflexão e mudanças, sendo a educação infantil um momento crucial e de extrema importância na formação pessoal e social da criança, no entanto ela também pode ser instrumento de manutenção e reprodução das desigualdades sociais. Segundo Althusser (1998), a escola funciona como Aparelho Ideológico do Estado, legitimando e reforçando as diferenças encontradas na sociedade.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Acreditamos, portanto, ter boas razões para afirmar que, por trás dos jogos de seu Aparelho Ideológico de Estado político, que ocupava o primeiro plano do palco, a burguesia estabeleceu como seu aparelho de Estado n° 1, e portanto dominante, o aparelho escolar, que, na realidade, substitui o antigo aparelho ideológico de Estado dominante, a Igreja, em suas funções. Podemos acrescentar: o par Escola–Família substitui o par Igreja–Família. (p.78)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cenário a escola de educação infantil pode exercer uma forte influência e um papel decisivo na construção das concepções de gênero das crianças que a freqüenta, seja no sentido conformador ou no sentido de ruptura e superação dos estereótipos que colocam meninos e meninas, homens e mulheres em posições opostas e assimétricas. </w:t>
      </w:r>
    </w:p>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trabalho pretende trazer à tona questões concernentes as relações de gênero na educação infantil, tendo como cenário o Centro Educacional Municipal de Paulo Afonso – CEMPA, escola municipal de educação infantil localizada no centro da cidade de Paulo Afonso – BA. O tratamento diferenciado, às vezes dissimulado, outras nem tanto, dado a meninas e meninos nas escolas de educação infantil chamam a atenção para a acuidade da escola e da concepção dos profissionais de educação que trabalham com essas crianças, haja vista que elas estão em processo de formação da personalidade e de suas representações sociais, sofrendo forte influência dos seus pares e, sobretudo, dos adultos com que convivem.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762"/>
        </w:numPr>
        <w:spacing w:before="0" w:after="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sociedade legitimou e vem legitimando o “poder do macho”, que resiste às mudanças políticas, econômicas e sociais que a humanidade vem sofrendo ao longo de sua história. Para Heleieth Saffioti (1987) o patriarcado, a forma mais antiga de dominação-exploração, não só resistiu às transformações vividas pela sociedade como aliou-se ao racismo e ao capitalismo, formando um único sistema de dominação-exploração por ela denominado de “patriarcado-racismo-capitalismo”. Para esta teórica do feminismo este único sistema está repleto de poder, econômico e político, e “o poder é macho, é rico e é branco” (p.16).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relações de gênero, juntamente com as de classe e raça/ etnia, formam as múltiplas facetas da desigualdade social. As relações hierárquicas e desiguais entre homens e mulheres presentes na sociedade, “patriarcal-racista-classista”, geram discriminações, preconceitos e delegam ao homem o domínio sobre a mulher, incluído aí também o domínio do corpo. É este domínio, este poder legitimado socialmente que contribui para que homens sintam-se donos de mulheres, sintam-se no direito de decidir o que ela pode ou não fazer, como ela deve ou não se comportar.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mesmo domínio faz com que a transgressão da mulher do seu papel socialmente construído seja encarado como uma afronta, um atentado a moral e a natureza das coisas. A partir das relações de dominação, hierárquicas e assimétricas, no caso da dominação da mulher pelo homem, que as pessoas, em particular as mulheres, deixam de ser sujeitos e passam a ser objetos, coisas, propriedades de outrem, que muitas vezes utiliza da força, física ou simbólica, para exercer o seu poder.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Assim, milhares de mulheres são espancadas diariamente por companheiros, pais, irmãos, que querem garantir sua supremacia e sua dominação masculina, seu poder de macho.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artigo objetiva analisar como se dão as relações de gênero nas escolas de educação infantil e como estas reproduzem os estereótipos sexuais presentes na sociedade, bem como identificar a representação social de gênero das professoras/ professores. Esse tema foi pensado e estruturado com o intuito de aprofundar e investigar melhor as concepções acerca do homem e da mulher presentes em nossa sociedade e reproduzidas, em sua maioria, nas nossas escolas, assim como, apontar e problematizar as relações de gênero estabelecidas no interior das escolas de educação infantil e sua influência na perpetuação da sociedade patriarcal. A motivação para a escolha deste tema nasceu do desejo de um mundo melhor, uma sociedade mais justa, sem distinções e discriminações por causa da classe, raça ou sexo dos indivíduos, mas o respeito ao ser humano, residente do mundo e construtor de nossa história, seja ele homem ou mulher.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764"/>
        </w:numPr>
        <w:spacing w:before="0" w:after="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Nas trilhas e caminhos das relações de gênero</w:t>
      </w:r>
    </w:p>
    <w:p>
      <w:pPr>
        <w:spacing w:before="0" w:after="0" w:line="360"/>
        <w:ind w:right="0" w:left="72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453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não tenho caminho novo. O que tenho de novo é o jeito de caminhar”. </w:t>
      </w:r>
    </w:p>
    <w:p>
      <w:pPr>
        <w:spacing w:before="0" w:after="0" w:line="360"/>
        <w:ind w:right="0" w:left="4536"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THIAGO DE MELLO</w:t>
      </w:r>
    </w:p>
    <w:p>
      <w:pPr>
        <w:spacing w:before="0" w:after="0" w:line="360"/>
        <w:ind w:right="0" w:left="4536"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investigar as relações e as representações sociais, no caso particular as relações e representações de gênero, estamos lidando com concepções, ideologias e subjetividades, o que implica o envolvimento direto do pesquisador com seu objeto de estudo, pois este tem suas próprias idéias e valores acerca do objeto pesquisado. Isto revela, segundo Lüdke e André (2005), uma relação direta entre o pesquisador e o objeto de pesquisa, sendo o primeiro também objeto do seu estudo, uma vez que apresenta suas próprias representações de gênero.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apreender os dados e nortear uma abordagem para além da realidade concreta, a pesquisa qualitativa foi a que melhor se configurou para este trabalho, uma vez que as relações sociais estudadas não são quantificáveis nem passíveis de mensuração, mas permeadas de significados e interpretações, pois como elucida Minayo (2000, p. 21-22):</w:t>
      </w:r>
    </w:p>
    <w:p>
      <w:pPr>
        <w:spacing w:before="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00" w:line="240"/>
        <w:ind w:right="0" w:left="23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diferença entre qualitativo-quantitativo é de natureza. Enquanto cientistas sociais que trabalham com estatística apreendem dos fenômenos apenas a região “visível, ecológica, morfológica e concreta”, a abordagem qualitativa aprofunda-se no mundo dos significados das ações e relações humanas, um lado não perceptível e não captável em equações, médias e estatísticas.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vez que as relações de gênero fazem parte de um conjunto complexo de relações sociais, estando presentes tanto na realidade cotidiana quanto na escolar, percorremos as trilhas da pesquisa etnográfica, por não se limitar apenas ao estudo das formas como as relações de gênero são estabelecidas na escola, mas o sentido dessas relações, seus significados, suas vinculações com as concepções de gênero predominantes na sociedade e suas contribuições para a formação das representações de gênero das crianças.   </w:t>
      </w:r>
    </w:p>
    <w:p>
      <w:pPr>
        <w:tabs>
          <w:tab w:val="left" w:pos="36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36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método etnográfico requer um intensivo trabalho em campo, decorrente da necessidade de uma maior aproximação entre pesquisador e pesquisado - pessoas, situações, lugares - e possibilita um contato face a face com a realidade escolar, permitindo uma compreensão mais profunda dos processos que nela acontecem, tornando visíveis processos até então considerados invisíveis.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artigo é fruto do trabalho de conclusão do curso de pedagogia realizado durante dois anos dedicados a análise e reflexão das relações de gênero e a reprodução dos estereótipos sexuais em uma escola de educação infantil na cidade de Paulo Afonso, interior da Bahia. Por se tratar de uma pesquisa qualitativa, do tipo etnográfico, que pretende relacionar o particular ao geral e o geral ao particular no que diz respeito às relações de gênero estabelecidas nas escolas de educação infantil e na sociedade como um todo, foram adotados como métodos de coleta dos dados: a observação, a entrevista e a análise de documentos.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Foram realizadas dezesseis sessões de observação na escola como um todo e em quatro turmas em particular, com duração média de quatro horas cada uma. Durante as sessões de observação, elaborou-se um diário de campo, relatando-se todos os aspectos observados na escola e tudo que acontecia nas turmas observadas relativas às questões de gênero: as atitudes, o comportamento, as verbalizações tanto da professora quanto das crianças, bem como as relações estabelecidas entre as crianças e entre estas e a professora.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importante salientar que não foi comunicado, detalhadamente, o objetivo central da pesquisa nem para a direção nem para as professoras observadas. Este procedimento foi utilizado para evitar que as professoras mascarassem seu comportamento habitual com relação à questão de gênero.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as sessões de observação foram feitas entrevistas com dois sujeitos diferentes: professoras e alunas/ alunos, uma vez que o objetivo da pesquisa é analisar como se dão as relações de gênero na escola e como esta reproduz os estereótipos de gênero presentes na sociedade. As entrevistas foram realizadas nas dependências da própria escola, no horário de aula, aplicadas a quatro professoras, vinte e quatro crianças, doze meninas e doze meninos, ambas observadas anteriormente. É importante ressaltar que a entrevista realizada com as crianças se deu de forma mais informal que a dos adultos, com perguntas simples e curtas que possibilitaram perceber as visões e concepções delas acerca das relações entre os sexos e as funções de cada um, cada uma.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Concomitantemente a observação e as entrevistas foi realizada a análise de documentos. Foram coletadas primeiramente as informações dos materiais produzidos pelas crianças, cadernos e trabalhos, depois foram analisados os livros, matriz curricular e, por último o Projeto Político Pedagógico da escola. Esta estratégia foi adotada a fim de relacionar o que acontece de fato na escola com o que é pensado e elaborado teoricamente, se este último está sendo realmente posto em prática.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5774"/>
        </w:numPr>
        <w:spacing w:before="0" w:after="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Gênero, Sociedade e Violência Simbólica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50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“Ninguém é igual a ninguém. Todo o ser humano é um estranho ímpar”.</w:t>
      </w:r>
    </w:p>
    <w:p>
      <w:pPr>
        <w:spacing w:before="0" w:after="0" w:line="240"/>
        <w:ind w:right="0" w:left="504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CARLOS DRUMMOND DE ANDRADE</w:t>
      </w:r>
    </w:p>
    <w:p>
      <w:pPr>
        <w:spacing w:before="0" w:after="0" w:line="360"/>
        <w:ind w:right="0" w:left="504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Nascemos assim ou aprendemos a ser assim? Os seres humanos nascem macho ou fêmea com características biológicas peculiares a cada sexo. As características de homem e mulher são apreendidas e construídas conforme a cultura e as concepções de gênero da sociedade em que o indivíduo está inserido.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“Nós nascemos, biologicamente, macho ou fêmea e a partir do processo histórico e cultural variável nos fazemos homens ou mulheres. Processo este, que pode ser modificado em função da luta política e das políticas públicas” </w:t>
      </w:r>
      <w:r>
        <w:rPr>
          <w:rFonts w:ascii="Times New Roman" w:hAnsi="Times New Roman" w:cs="Times New Roman" w:eastAsia="Times New Roman"/>
          <w:color w:val="auto"/>
          <w:spacing w:val="0"/>
          <w:position w:val="0"/>
          <w:sz w:val="24"/>
          <w:shd w:fill="auto" w:val="clear"/>
        </w:rPr>
        <w:t xml:space="preserve">(LOPES, 2000, p.94-95).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termo gênero nasceu enquanto categoria de análise no final do século XX a partir dos estudos e pesquisas de teóricas feministas, sob a perspectiva de compreender e responder, dentro de parâmetros científicos, a situação de desigualdade entre os sexos, a conseqüente subordinação da mulher e as influências desta situação no conjunto das relações sociais.</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Geralmente o verbete gênero é apresentado como sinônimo de sexo, sem considerar os aspectos social e cultural intrínsecos ao termo, ou ainda, como sinônimo de mulher, sem questionar porque as relações entre homens e mulheres estão construídas como estão, como funcionam e como se transformam. Para Lopes (2000, p.87) gênero é entendido em uma dimensão ampla, no plano das relações sociais. As relações de gênero são constituídas socialmente, sendo seu sentido geral cultural, construído a partir de relações sócio-históricas nas quais o sujeito está envolvido.</w:t>
      </w:r>
      <w:r>
        <w:rPr>
          <w:rFonts w:ascii="Times New Roman" w:hAnsi="Times New Roman" w:cs="Times New Roman" w:eastAsia="Times New Roman"/>
          <w:color w:val="auto"/>
          <w:spacing w:val="0"/>
          <w:position w:val="0"/>
          <w:sz w:val="20"/>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Enquanto categoria de análise o conceito se amplia, utilizado para designar as relações estabelecidas entre os sexos ao longo da história, sendo estas, relações de poder que estão associadas e interligadas às outras relações sociais, de classe e raça. A pesquisadora Joan Scott em seu artigo “Gênero: uma categoria útil de análise histórica” analisa de forma crítica e à luz da perspectiva histórica e pós-estruturalista três visões teóricas diferentes sobre o gênero: a dos teóricos do patriarcado, a elaborada pelas feministas marxistas e as teorias psicanalíticas de matriz pós-estruturalista e anglo-saxônica. A partir da crítica a essas visões, Scott (1995, p. 289) elabora seu próprio conceito de gênero: “o gênero é um elemento constitutivo das relações sociais baseadas nas diferenças que distinguem os sexos (...) é uma forma primária de relações significantes de poder”.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Seguindo a mesma linha teórico-metodológica de Scott, Pena e outras pesquisadoras feministas na obra “A Questão de Gênero no Brasil” defendem que: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conceito de gênero é uma construção sociológica relativamente recente, respondendo à necessidade de diferenciar o sexo biológico de sua tradução social em papéis sociais e expectativas de comportamentos femininos e masculinos, tradução esta demarcada pelas relações de poder entre homens e mulheres vigentes na sociedade.</w:t>
      </w: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Embora biologicamente fundamentado, gênero é uma categoria relacional que aponta papéis e relações socialmente construídas entre homens e mulheres. Nas palavras de Simone de Beauvoir, não se nasce mulher, torna-se mulher. </w:t>
      </w:r>
      <w:r>
        <w:rPr>
          <w:rFonts w:ascii="Times New Roman" w:hAnsi="Times New Roman" w:cs="Times New Roman" w:eastAsia="Times New Roman"/>
          <w:color w:val="auto"/>
          <w:spacing w:val="0"/>
          <w:position w:val="0"/>
          <w:sz w:val="24"/>
          <w:shd w:fill="auto" w:val="clear"/>
        </w:rPr>
        <w:t xml:space="preserve">(2003, p.16)</w:t>
      </w:r>
    </w:p>
    <w:p>
      <w:pPr>
        <w:spacing w:before="0" w:after="0" w:line="360"/>
        <w:ind w:right="0" w:left="234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gênero trata-se de uma noção construída culturalmente a partir das relações estabelecidas entre homens e mulheres ao longo da história das sociedades. A designação gênero ajuda a questionar os comportamentos culturalmente atribuídos a mulheres e homens, ao masculino e ao feminino, às diferenças culturalmente construídas entre os dois sexos e às construções sociais sobre os papéis próprios dos homens e das mulheres.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(1995) coloca as relações de gênero no cerne das relações sociais e de poder, uma vez que estas relações geram visões de mundo e percepções da organização social distintas a partir das referências dos papéis sociais atribuídos aos indivíduos de acordo com o sexo. A autora afirma que os conceitos de gênero estruturam a percepção e a organização de toda a vida social, influenciando as concepções, as construções, a legitimação e a distribuição do próprio poder: “... na medida em que essas referências estabelecem distribuição de poder (...) o gênero torna-se implicado na concepção e na construção do poder em si” (p. 16-17).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relações de gênero estão imbricadas de poder, pois se tratam de relações desiguais e hierárquicas onde o homem se sobrepõe à mulher, e estão presentes em todas as dimensões da vida social, constituindo-as, ainda que parcialmente.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autora rejeita o determinismo biológico e a idéia de que a distinção sexual é natural, universal ou invariante, a despeito das diferenças anatômicas entre machos e fêmeas na espécie humana, mas que essas diferenças se constroem discursivamente de forma inter-relacional, pressupondo relações hierárquicas de dominação.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o estudo das relações sociais de gênero apresenta-se necessário para a compreensão e análise das relações sociais e das formas de poder e dominação na sociedade capitalista. “Qualquer análise de relações sociais ou reflexão sobre o desenvolvimento do indivíduo não pode prescindir da análise das relações de gênero” (LOPES, 2000, p. 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construção social, a identidade de gênero, acontece e é reforçada por símbolos, leis, normas, valores, instituições e subjetividade. A realidade é construída pelas pessoas tanto pela via da razão, quanto pela da emoção.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Pena et all (2003, p. 45) defende que: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Tornar-se mulher, mas tornar-se homem também, são processos de aprendizado oriundos de padrões sociais estabelecidos, que são reforçados por normas, mas também por coerção, e modificados ao longo do tempo, refletindo as mudanças na estrutura normativa e de poder dos sistemas sociais.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mulher desde o nascimento aprende que sua posição na sociedade está num patamar inferior ao homem, que existem atividades que não poderá exercê-las, pois são típicas dos homens, que certos comportamentos e atitudes são comuns e inerentes a ela pelo simples fato de ser mulher. Aprende que pela ordem natural das coisas o homem nasceu para comandar, para pensar, para decidir; que para ser aceita e bem quista na sociedade é preciso ser meiga, carinhosa, dissimulada, o “sexo frágil”; aprende também que ser mãe é sinônimo de mártir e de “escrava do lar”, que se ela porventura decide não vivenciar a maternidade é uma insensível e uma mulher incompleta, o que muitas vezes frustra, atormenta e pune mulheres que biologicamente não puderam e não podem gerar filhos e filhas.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cultura machista, baseada na superioridade masculina, é uma das bases de sustentação da dominação masculina, não somente nos planos social e econômico, mas, sobretudo no campo cultural que lança as raízes da dominação às outras esferas sociais. A dominação masculina disseminada e naturalizada através da cultura androcêntrica perpassa todos os espaços e esferas de socialização e poder. A mulher, bem como o homem, é enquadrada nesta estrutura de dominação desde a tenra infância sob o discurso da naturalidade das diferenças sexuais e das relações entre os sexos.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Pierre Bourdieu</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(2002),</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 “A Dominação Masculina” afirma que:</w:t>
      </w:r>
    </w:p>
    <w:p>
      <w:pPr>
        <w:spacing w:before="0" w:after="0" w:line="240"/>
        <w:ind w:right="0" w:left="234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divisão entre os sexos parece estar na “ordem das coisas”, como se diz por vezes para falar do que é normal, natural, a ponto de ser inevitável: ela está presente, ao mesmo tempo, em estado objetivado nas coisas (na casa, por exemplo, cujas partes são todas “sexuadas”), em todo o mundo social e, em estado incorporado, nos corpos e nos habitus dos agentes, funcionando como sistemas de esquemas de percepção, de pensamento e de ação.</w:t>
      </w:r>
      <w:r>
        <w:rPr>
          <w:rFonts w:ascii="Times New Roman" w:hAnsi="Times New Roman" w:cs="Times New Roman" w:eastAsia="Times New Roman"/>
          <w:color w:val="auto"/>
          <w:spacing w:val="0"/>
          <w:position w:val="0"/>
          <w:sz w:val="24"/>
          <w:shd w:fill="auto" w:val="clear"/>
        </w:rPr>
        <w:t xml:space="preserve"> (p.08)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(2002) também defende que a sociedade naturaliza o processo histórico-social que deu o poder ao macho baseado nas diferenças biológicas, sendo estas, para ele, também uma construção social. Para ele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diferença entre os sexos biológicos é produto da relação arbitrária de dominação dos homens sobre as mulheres, que está inscrita na realidade do mundo enquanto estrutura fundamental da ordem social. Assim, faz aparecer a diferença biológica entre os corpos masculino e feminino.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34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força particular da sociodicéia masculina lhe vem do fato de ela acumular e condensar duas operações: ela legitima uma relação de dominação inscrevendo-a em uma natureza biológica que é, por sua vez, ela própria uma construção social naturalizada. </w:t>
      </w:r>
      <w:r>
        <w:rPr>
          <w:rFonts w:ascii="Times New Roman" w:hAnsi="Times New Roman" w:cs="Times New Roman" w:eastAsia="Times New Roman"/>
          <w:color w:val="auto"/>
          <w:spacing w:val="0"/>
          <w:position w:val="0"/>
          <w:sz w:val="24"/>
          <w:shd w:fill="auto" w:val="clear"/>
        </w:rPr>
        <w:t xml:space="preserve">(BOURDIEU, 2002, p.16)</w:t>
      </w:r>
      <w:r>
        <w:rPr>
          <w:rFonts w:ascii="Times New Roman" w:hAnsi="Times New Roman" w:cs="Times New Roman" w:eastAsia="Times New Roman"/>
          <w:color w:val="auto"/>
          <w:spacing w:val="0"/>
          <w:position w:val="0"/>
          <w:sz w:val="20"/>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esta violência sutil que legitima a supremacia e a dominação masculinas, internalizadas por homens e mulheres e reproduzidas na sociedade através de suas instituições, em especial a família e a escola.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793"/>
        </w:numPr>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Nas entrelinhas das relações de gênero</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450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chão se torna mais macio à medida que se caminha. A gente se habitua tanto a ser obediente, doce, bom, que já nem custa obedecer”.</w:t>
      </w:r>
    </w:p>
    <w:p>
      <w:pPr>
        <w:spacing w:before="0" w:after="0" w:line="240"/>
        <w:ind w:right="0" w:left="450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CONDESSA DE SÉGUR</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escola, juntamente com a família, vem por muito tempo reforçando os estereótipos sexuais vigentes em nossa sociedade. A educação infantil, por trabalhar com crianças em desenvolvimento tanto cognitivo quanto moral e social exerce um papel de extrema importância na formação dos infantes, neste caso em particular, na construção das concepções de gênero que as crianças irão ter durante sua vida.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O ambiente, as atitudes, os gestos, as atividades, o material didático, entre outros, são elementos que mostram qual visão de gênero a escola apresenta, bem como podem transmitir estereótipos e concepções sexistas.</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produtora e transmissora do saber, a escola exerce um papel imprescindível na construção das representações de gênero, sobretudo na educação infantil onde a influência social tem um maior poder na formação da personalidade da criança, em especial a construção de sua identidade de gênero.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criança chega à escola com concepções, comportamentos e atitudes concernentes a seu sexo que aprendeu desde cedo na família. Ela já percebe os diferentes padrões de comportamento para meninas e meninos e recebe na escola o reforço para a construção de seu papel sexual que persistirá durante sua vida adulta.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Belotti (1979) “as crianças que, como já vimos, em casa já absorveram perfeitamente o papel reservado aos dois sexos e a supremacia do masculino, encontrarão a confirmação desse estado de coisas também na escola” (p.117).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escola espera da criança um comportamento adequado e concernente a seu sexo. Para ela é normal meninos serem agressivos, bagunceiros, desatentos e as meninas obedientes, comportadas, passivas. Assim, através do currículo oficial e do currículo oculto, através da ideologia, a escola traz uma série de elementos que legitimam e reproduzem os estereótipos sexuais através da linguagem, das brincadeiras, do material didático e das atitudes de professoras e professores concernentes às relações de gênero no ambiente escolar, dentre outros.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linguagem escolar, a exemplo da linguagem fora da escola, também é sexista, nos livros, murais, na linguagem das professoras, funcionários e funcionárias. Vemos comumente nossas escolas se referirem as crianças como “alunos”, no masculino, seguindo a velha tradição de homem como sinônimo de humanidade, excluindo a mulher do processo histórico e cultural e “contribuindo para manter a imagem da mulher alienada, excluída do processo social e político. É como se ela não fizesse parte do mundo que nos está sendo apresentado” (TOSCANO, 2000, p.36).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do quadro docente da educação infantil ser composto majoritariamente por mulheres, a referência sempre se dá no masculino, professores. As professoras através da linguagem também reforçam os papéis sexuais quando trabalham conteúdos como: profissões, atribuindo aos homens a maioria delas; meios de transporte, ao relacioná-los diretamente com o mundo masculino; família, quando apresenta a família nuclear tradicional onde o pai é a pessoa que trabalha e a sustenta; nas datas comemorativas, dia do índio, dia do professor, dia do soldado, dia do carteiro, dia do trabalhador, dia do cantor, do escritor, do médico, do poeta, do engenheiro...; nos bilhetes direcionados aos “pais”, etc.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toda a pesquisa foram observados elementos sexistas presentes no ambiente escolar, a começar pelos cartazes de boas-vindas colados nas portas das salas de aula e no mural em frente ao portão da escola. Em todos os cartazes, sem exceção, está escrito a frase: “Sejam todos bem vindos”, invariavelmente no masculino.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é uma questão considerada por muitos como banal, sem importância, normal, já que em todo lugar costumamos usar o masculino como sinônimo de humanidade. Contudo, frases como esta, contribuem para a exclusão da mulher da sociedade, colocando-a no papel de coadjuvante da história, e ensinam desde cedo as crianças que o masculino é superior, mais importante, por isso é sempre usado para representar o coletivo.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percorrer toda a escola encontramos vários elementos sexistas na decoração das paredes, do pátio e das salas de aula. O organograma da estrutura da escola, pintado em lugar de destaque, segue a mesma lógica dos cartazes de boas-vindas, com uma linguagem extremamente sexista, se referindo a todas as funções no masculino: diretor, vice-diretor, coordenador, secretário, professores, apesar de não ter nenhum professor homem, alunos e demais funções. No entanto, há uma função, culturalmente tarefa das mulheres, flexionada no feminino, a merendeira.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sobre as ilustrações, foram observados também desenhos individuais de meninos e meninas brincando. Nestes desenhos a divisão das brincadeiras por sexo é bem nítida. Meninos brincam com carrinho, pipa, correm... As meninas brincam de boneca, acariciam um ursinho de pelúcia rosa e de cantiga de roda. Em dois desenhos meninos e meninas estão juntos, pulando corda e batendo palmas, mas ao mesmo tempo estão separados, uma vez que o menino bate palma e pula corda com outro menino, e a menina faz as mesmas atividades com outra menina. Estes desenhos retratam algumas brincadeiras culturalmente atribuídas a meninas e meninos, reforçando assim os estereótipos sexuais presentes na sociedade da existência natural de atividades masculinas e femininas.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aparente inocência destes elementos contribui para a (re)produção de identidades sociais, ensinando as crianças sobre os modos de ser homem ou mulher, e seguem construindo um discurso que determina um comportamento, uma forma de ser, naturalizando assim, atributos já instituídos, e considerados universais na determinação do feminino, masculino / homem, mulher. Assim sendo, Souza (2008) afirma que os meninos e as meninas vão construindo na escola uma identidade do que é "ser homem" ou do que é "ser mulher", adquirindo normas que os diferenciam. Segundo esta autora, os meninos e as meninas vão sendo regulados a desenvolver papéis sexuais diferentes.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linguagem sexista legitima comportamentos de desigualdade, discriminatórios e de desrespeito ao omitir o feminino, retirando sua importância e a reduzindo à inexistência. Tornaria (1993, p.69) apud Teixeira (2008, p. 02) afirma que “(...) de nada adianta o esforço para lembrar algumas mulheres ou suas ações se nossa linguagem em sala de aula e nos livros didáticos permanece vinculando a história e o acontecer do homem no lugar do acontecer humano”.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Juntamente com a linguagem, as brincadeiras que ocorrem na escola de educação infantil separam meninas e meninos, com a aprovação das professoras e da escola como um todo. As brincadeiras de bater, chutar, empurrar são naturalmente aceitas entre os meninos, o que não é permitido que aconteça entre as meninas, uma vez que estas devem se comportar como “mocinhas”, e “mocinhas” não brigam. As crianças nos jogos de imitação são influenciadas a brincar de atividades relacionadas ao seu sexo, assim, as meninas brincam de casinha, de maquiagem, de boneca, etc. enquanto os meninos são motoristas, bombeiros, lutadores, super-heróis... Meninos e meninas aprendem que devem brincar de coisas e de formas diferentes e que existem brincadeiras que não podem brincar. Meninos não brincam de boneca e meninas não brincam de carrinho, uma das regras fundamentais.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crianças entrevistadas ao falarem sobre suas brincadeiras preferidas mostram gostos diferentes, prevalecendo “brincar de boneca” entre as meninas e entre os meninos “jogar bola”. Brincadeiras como esconde-esconde e pega-pega apareceram tanto nas respostas de meninos e meninas, mas segundo eles/ elas não brincam misturados, somente em alguns casos. Apesar da maioria das crianças preferir brincar de brincadeiras destinadas culturalmente ao seu sexo, duas meninas me surpreenderam ao responder que sua brincadeira preferida é jogar bola. Uma delas respondeu que gosta mais de futebol, pois “é um esporte saudável”. Já a outra disse gostar de “jogar bola”. “Menina pode jogar bola, porque eu já vi; pode jogar queimada, vôlei... futebol não pode não” (2008). Mesmo gostando de “jogar bola”, ela limita a “permissão” ao vôlei e a queimada, fazendo questão de enfatizar a proibição do futebol.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o recreio, observando as crianças brincando, um episódio curioso me chamou a atenção:</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Algumas meninas estão brincando com uma boneca num canto do pátio. No mesmo grupo uma menina que se diferenciou das demais me intrigou. Ela, ao contrário das colegas, não brincava de boneca, mas de carrinho. Aproximei-me para observar melhor a cena.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Após me integrar ao grupo perguntei àquela menininha se ela gostava de brincar de carrinho. Quando esta iria responder, sua colega se intrometeu e respondeu: “mas não pode não, carrinho só pode menino, e ela é menina; menino brinca de carrinho e menina brinca de boneca”. A menina concordou, mas mesmo assim afirmou gostar de brincar com carrinho, “mas não pode”, disse ela. O carrinho era de um colega que logo veio tomá-lo, usando o mesmo argumento, de que só os meninos podem brincar com o referido brinquedo.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Meninas e meninos já sabem quais os brinquedos permitidos para cada sexo. Isso já está introjetado de tal maneira que elas mesmas coíbem e censuram quem foge a regra. No entanto, têm um desenvolvimento repressivo, castrador, que os enquadra em modelos engessados de seres humanos, uma vez que a brincadeira é uma representação da vida e por meio dela, as crianças dão sentido às experiências por que passam e reproduzem sua relação com as pessoas ao redor, segundo Bencini (2008).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livro didático também é carregado de estereótipos sexuais, através da linguagem, das figuras e mensagens que transmitem às crianças os diferentes papéis que homens e mulheres ocupam na sociedade, destinando o homem ao espaço público e a mulher ao espaço doméstico, muitas vezes excluindo esta da construção da história. Moema Toscano em seu livro “Estereótipos sexuais na educação: Um manual para o educador” analisou diversos livros utilizados em escolas públicas e privadas e a partir de uma leitura crítica concluiu que a maioria de nossos livros didáticos é extremamente sexista, que reforçam a velha imagem estereotipada da mulher dona de casa, frágil, medrosa, que está fora da ecologia, do esporte, do mercado de trabalho, da vida pública, da política, em suma, negam à mulher a condição de cidadã e protagonista de nossa história.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Toscano conclui que:</w:t>
      </w:r>
    </w:p>
    <w:p>
      <w:pPr>
        <w:spacing w:before="0" w:after="0" w:line="240"/>
        <w:ind w:right="0" w:left="23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 o nosso livro didático ainda não incorporou as grandes transformações que vêm ocorrendo na sociedade brasileira, no campo da divisão do trabalho por sexo, nem, muito menos, dos novos papéis da mulher. Mas não é tudo: seus autores, em geral, ainda não perceberam o papel importante que cabe a eles no processo de mudança de mentalidade das gerações mais jovens que freqüentam a escola; à medida que não trazem à discussão o tema da redistribuição de papéis entre homens e mulheres, estão perdendo uma grande oportunidade de contribuir para melhorar estas relações e torná-las mais democráticas. </w:t>
      </w:r>
      <w:r>
        <w:rPr>
          <w:rFonts w:ascii="Times New Roman" w:hAnsi="Times New Roman" w:cs="Times New Roman" w:eastAsia="Times New Roman"/>
          <w:color w:val="auto"/>
          <w:spacing w:val="0"/>
          <w:position w:val="0"/>
          <w:sz w:val="24"/>
          <w:shd w:fill="auto" w:val="clear"/>
        </w:rPr>
        <w:t xml:space="preserve">(2000, p. 88).</w:t>
      </w:r>
    </w:p>
    <w:p>
      <w:pPr>
        <w:spacing w:before="0" w:after="0" w:line="360"/>
        <w:ind w:right="0" w:left="234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234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livros apresentam à criança dois mundos, um masculino e um feminino, contribuindo para a formação dos padrões inconscientes de condutas nas meninas e nos meninos, que vão continuar atuando ao longo de toda a vida e vão aparecer como imodificáveis dados pela aquisição precoce.</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literatura infantil também traz imagens estereotipadas da mulher, colocando-a sempre submissa, dependente, ingênua, incapaz de se defender sozinha, precisando sempre de um salvador, de um príncipe encantado que a salve do sofrimento e do perigo. Com esta fórmula encontramos diversos contos de fadas: a chapeuzinho vermelho, que juntamente com sua vovozinha, também mulher, é salva do terrível lobo mal pelo valente caçador; a bela adormecida, que é despertada de anos de sono pelo belo príncipe encantado; a branca de neve, acolhida por sete anões e salva do feitiço da maçã, que ela ingenuamente comeu, por um bondoso e belo príncipe; assim como temos a dupla João e Maria, onde esta é a boba, a ingênua, que se não fosse seu esperto e corajoso irmão teria sido devorada pela terrível bruxa, que também é, uma mulher; entre outros recheados de mulheres ingênuas e frágeis e de astutos e corajosos homens.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Curiosamente, apesar da existência de outras obras na literatura infantil livres ou parcialmente isentas de estereótipos sexuais, como “A Princesa Sabichona”, “A Princesa vestida com um saco de papel” e “A princesa e o dragão”, que são “protagonizadas por figuras femininas na posição de heroínas ou protagonistas, todas as personagens não se restringem ao papel limitado pela condição de gênero” (ARGÜELLO, 2005, p. 154-155), professoras e professores insistem em contar e recontar histórias como aquelas, aparentemente ingênuas e bobas, mas que corroboram com as idéias sexistas difundidas na sociedade.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crianças da educação infantil, apesar de pequenas, já possuem suas próprias concepções de gênero, no entanto, ainda em formação. Durante a pesquisa verificamos que os alunos/ alunas já têm bem claro o que podem e o que não podem fazer de acordo com seu sexo; já sabem o que concerne aos meninos e o que concerne às meninas. Já estão introjetando os padrões sociais e os estereótipos de gênero e reproduzindo-os automaticamente, em especial, nas situações referentes a brinquedos, brincadeiras, cores, roupas...</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entrevistas, as respostas dadas à cor que mais gosta, o rosa bateu recorde entre as meninas e entre os meninos o azul e o verde. Apenas uma menina respondeu gostar de azul.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Vale transcrever aqui a fala de uma professora no intuito de mostrar a influência dos adultos na escolha das cores pelas crianças.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2268" w:leader="none"/>
        </w:tabs>
        <w:spacing w:before="0" w:after="0" w:line="240"/>
        <w:ind w:right="0" w:left="2268"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Outro dia chegou uma mãe aqui e disse: __ As coisas de minha filha eu gosto tudo rosa. Quando você for fazer uma lembrançinha ou qualquer coisa, faça a dela rosa, que ela não gosta de nada que não for rosa </w:t>
      </w:r>
      <w:r>
        <w:rPr>
          <w:rFonts w:ascii="Times New Roman" w:hAnsi="Times New Roman" w:cs="Times New Roman" w:eastAsia="Times New Roman"/>
          <w:color w:val="auto"/>
          <w:spacing w:val="0"/>
          <w:position w:val="0"/>
          <w:sz w:val="24"/>
          <w:shd w:fill="auto" w:val="clear"/>
        </w:rPr>
        <w:t xml:space="preserve">(PROFESSORA A, 2008).</w:t>
      </w:r>
      <w:r>
        <w:rPr>
          <w:rFonts w:ascii="Times New Roman" w:hAnsi="Times New Roman" w:cs="Times New Roman" w:eastAsia="Times New Roman"/>
          <w:color w:val="auto"/>
          <w:spacing w:val="0"/>
          <w:position w:val="0"/>
          <w:sz w:val="20"/>
          <w:shd w:fill="auto" w:val="clear"/>
        </w:rPr>
        <w:t xml:space="preserve">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mãe, apesar de influenciar a escolha da filha, faz questão de dizer que é a menina quem gosta, como se tivesse impresso em seu código genético, desde o nascimento, a preferência pelo rosa e não pelo azul ou outra cor, como se o sexo da criança definisse qual cor ela gosta mais.</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questão que mais evidencia as concepções que as crianças já apresentam sobre gênero é referente às meninas poderem ou não brincar de carrinho e os meninos, de boneca. Todas as crianças, menos uma, foram enfáticas ao responder que não pode de forma alguma. Vejamos algumas de suas respostas.</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Porque eu nunca vi menino brincar de boneca. Diz que vira viado”. (ALUNO X)</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mesma linha de raciocínio, outra criança informa que menino não pode brincar com boneca “porque senão vira menina”. (ALUNO Y)</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meninas não podem brincar de carrinho, porque não pode e a mãe não deixa; quem brinca de carrinho é menino. Menino brinca de carrinho, de robô... e menina brinca de boneca, de panelinha...” (ALUNA Z)</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um menino acha que as meninas podem brincar de vídeo-game, “porque é sensível”, mas não de carrinho. “Ela não é homem”.</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resposta mais recorrente foi que não pode brincar de forma alguma: “Não é homem/ mulher”, “Só pode os meninos/ as meninas”, “Vira homem/ mulher”, “Vira viado, gay”. Mais uma vez, as crianças demonstram já saberem quais os padrões de comportamento e o que é permitido ou proibido para cada sexo. Como mencionado anteriormente, Belotti (1979) defende que as crianças já absorveram perfeitamente o papel reservado aos dois sexos e a supremacia do masculino, encontrando na escola a confirmação desse estado de coisas. </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organização das salas na escola pesquisada também transmite estereótipos sexuais. As mesas são coloridas, com cores azul, marrom, verde, amarela e rosa. Ao chegarem às salas, as crianças se dirigem automaticamente para mesinhas de cor concernentes a seu sexo, meninos em mesas azuis e marrons, em alguns casos, verdes, e as meninas às mesas rosa e amarela. Foram raros os casos de meninas sentadas em mesas azuis e meninos em mesas rosas. Uma professora informou que é uma briga na hora da chegada, os meninos não querem sentar de forma alguma nas mesinhas cor de rosa. Ao ser perguntado por que não sentava em mesa rosa, um menino respondeu que: “Não sento não, tia, porque não pode. As mesinhas rosa são das meninas e as azul dos meninos. Quem já viu menino sentar em mesa rosa. É ruim”. As cores variadas das mesinhas é uma iniciativa interessante, pois dão um ar mais alegre e vivo às salas; entretanto, são cores que possibilitam a identificação das crianças com as cores atribuídas culturalmente a seu sexo e a divisão entre elas, uma vez que as mesas de cores iguais são colocadas umas junto das outras.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da decoração e da organização das salas, outro item observado foi a separação de objetos, como lápis grafite, lápis de cor, borrachas, de meninos e meninas existente em algumas salas. Estes objetos são dispostos em latinhas cor de rosa, com a figura de uma menina para as meninas, e azul com o rosto de um menino para os meninos. As crianças são ensinadas e condicionadas a utilizar os objetos de suas respectivas latinhas, sendo repreendidas por seus próprios colegas, caso pegue algo na lata “errada”. O uso de cores fortes, vibrantes é mais comum pelas meninas, especialmente o rosa choque, condenada e proibida para os meninos. Um menino ao ver o colega pegar um lápis rosa na latinha destinada às meninas, logo esbravejou: “Tia, além de pegar na lata errada, ainda pegou um lápis rosa!” (ALUNO X).</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maioria destes elementos reflete o androcentrismo a que estamos submetidos e são “quase” despercebidos em razão de que nos parece “familiar” e “natural” e por isso passamos a considerá-los como universal e eterno, isto é, eles não surpreendem, nem deixam espaço para a possibilidade de transformação. Sendo socialmente construídos os papéis atribuídos a homens e mulheres, a sociedade como um todo se empenha em imprimir as diferenças sexuais desde cedo nas crianças, especialmente na família e na escola.</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contexto, podemos inferir que a escola concorre de diversas formas para a manutenção e reprodução de estereótipos sexuais. Através de imagens, mensagens, objetos e outros elementos, a escola, em especial a de educação infantil, reproduz as diferenças sociais de gênero, impondo valores e padrões culturais discriminatórios.</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813"/>
        </w:numPr>
        <w:tabs>
          <w:tab w:val="left" w:pos="0" w:leader="none"/>
        </w:tabs>
        <w:spacing w:before="0" w:after="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Concluindo</w:t>
      </w:r>
    </w:p>
    <w:p>
      <w:pPr>
        <w:tabs>
          <w:tab w:val="left" w:pos="0" w:leader="none"/>
        </w:tabs>
        <w:spacing w:before="0" w:after="0" w:line="360"/>
        <w:ind w:right="0" w:left="36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sabido que as relações de gênero e as desigualdades decorrentes delas são construções culturais e que as instituições sociais, como a família e a escola, são as maiores propagadoras dessas relações. Contudo, a escola pode constituir um espaço de reflexão e transformação dessas desigualdades, primeiramente trabalhando a questão com os/ as profissionais que atuam nela e depois com as crianças.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Infelizmente, este trabalho nos mostrou que ela ainda é marcada por concepções de gênero estereotipadas, por práticas e posturas discriminatórias que concorrem para a permanência das desigualdades entre mulheres e homens e para a naturalização dessas mesmas desigualdades. A escola é repleta de elementos, imagens, mensagens, posturas, atitudes que mostram e reforçam as crianças, desde cedo, que meninos e meninas possuem naturezas diferentes e que devem manter-se separados. Assim, a escola continua a ser fermento para o bolo da desigualdade e da subordinação e discriminação femininas.</w:t>
      </w:r>
    </w:p>
    <w:p>
      <w:pPr>
        <w:tabs>
          <w:tab w:val="left" w:pos="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Percebemos que a construção da identidade e das concepções de gênero é vivida pelas crianças através das brincadeiras, das palavras, dos gestos, das atividades, das conversas e das relações estabelecidas com as professoras e entre elas. As crianças aprendem e internalizam, na família e na escola, os padrões sexuais enraizados na sociedade e os reproduzem como algo natural e imutável, como sendo parte de sua natureza. Desse modo, elas aprovam e defendem os papéis socialmente atribuídos aos gêneros, ao mesmo tempo em que reprimem qualquer comportamento desviante. Assim, meninos e meninas aprendem e encontram na escola as lições de como ser homens e mulheres.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Refletir nossas concepções, nossas práticas e relações de gênero enquanto indivíduos e educadoras, educadores, pode ser o primeiro passo para a superação dos estereótipos sexuais e para o estabelecimento de relações mais humanas e igualitárias.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Faz-se urgente e necessário que nossas professoras de educação infantil reflitam e revejam suas práticas pedagógicas e sua importância na formação de nossas crianças, para que essas não sejam pessoas frustradas, castradas e mutiladas, que não tiveram a oportunidade de um desenvolvimento pleno e saudável, livre de preconceitos e estereótipos.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pesquisa se apresenta como uma contribuição para a avaliação da escola enquanto reprodutora das desigualdades de gênero encontradas no bojo da sociedade capitalista e patriarcal e, sobretudo, sua importância para a superação dessas mesmas desigualdades.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818"/>
        </w:numPr>
        <w:tabs>
          <w:tab w:val="left" w:pos="0" w:leader="none"/>
        </w:tabs>
        <w:spacing w:before="0" w:after="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e Fontes</w:t>
      </w:r>
    </w:p>
    <w:p>
      <w:pPr>
        <w:tabs>
          <w:tab w:val="left" w:pos="0" w:leader="none"/>
        </w:tabs>
        <w:spacing w:before="0" w:after="0" w:line="276"/>
        <w:ind w:right="0" w:left="720" w:firstLine="0"/>
        <w:jc w:val="both"/>
        <w:rPr>
          <w:rFonts w:ascii="Times New Roman" w:hAnsi="Times New Roman" w:cs="Times New Roman" w:eastAsia="Times New Roman"/>
          <w:b/>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ALTHUSSER, Louis Pierre. </w:t>
      </w:r>
      <w:r>
        <w:rPr>
          <w:rFonts w:ascii="Times New Roman" w:hAnsi="Times New Roman" w:cs="Times New Roman" w:eastAsia="Times New Roman"/>
          <w:b/>
          <w:color w:val="auto"/>
          <w:spacing w:val="0"/>
          <w:position w:val="0"/>
          <w:sz w:val="24"/>
          <w:shd w:fill="auto" w:val="clear"/>
        </w:rPr>
        <w:t xml:space="preserve">Aparelhos Ideológicos de Estado.</w:t>
      </w:r>
      <w:r>
        <w:rPr>
          <w:rFonts w:ascii="Times New Roman" w:hAnsi="Times New Roman" w:cs="Times New Roman" w:eastAsia="Times New Roman"/>
          <w:color w:val="auto"/>
          <w:spacing w:val="0"/>
          <w:position w:val="0"/>
          <w:sz w:val="24"/>
          <w:shd w:fill="auto" w:val="clear"/>
        </w:rPr>
        <w:t xml:space="preserve"> 7 ed. Rio de Janeiro, Graal, 1998.</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ANDRADE, Maria Margarida de. </w:t>
      </w:r>
      <w:r>
        <w:rPr>
          <w:rFonts w:ascii="Times New Roman" w:hAnsi="Times New Roman" w:cs="Times New Roman" w:eastAsia="Times New Roman"/>
          <w:b/>
          <w:color w:val="auto"/>
          <w:spacing w:val="0"/>
          <w:position w:val="0"/>
          <w:sz w:val="24"/>
          <w:shd w:fill="auto" w:val="clear"/>
        </w:rPr>
        <w:t xml:space="preserve">Introdução à metodologia de trabalho científico: </w:t>
      </w:r>
      <w:r>
        <w:rPr>
          <w:rFonts w:ascii="Times New Roman" w:hAnsi="Times New Roman" w:cs="Times New Roman" w:eastAsia="Times New Roman"/>
          <w:color w:val="auto"/>
          <w:spacing w:val="0"/>
          <w:position w:val="0"/>
          <w:sz w:val="24"/>
          <w:shd w:fill="auto" w:val="clear"/>
        </w:rPr>
        <w:t xml:space="preserve">Elaboração de trabalhos na graduação. São Paulo: Atlas, 2001.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ARANHA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Maria Lúcia de Arruda. </w:t>
      </w:r>
      <w:r>
        <w:rPr>
          <w:rFonts w:ascii="Times New Roman" w:hAnsi="Times New Roman" w:cs="Times New Roman" w:eastAsia="Times New Roman"/>
          <w:b/>
          <w:color w:val="auto"/>
          <w:spacing w:val="0"/>
          <w:position w:val="0"/>
          <w:sz w:val="24"/>
          <w:shd w:fill="auto" w:val="clear"/>
        </w:rPr>
        <w:t xml:space="preserve">Filosofia da Educação.</w:t>
      </w:r>
      <w:r>
        <w:rPr>
          <w:rFonts w:ascii="Times New Roman" w:hAnsi="Times New Roman" w:cs="Times New Roman" w:eastAsia="Times New Roman"/>
          <w:color w:val="auto"/>
          <w:spacing w:val="0"/>
          <w:position w:val="0"/>
          <w:sz w:val="24"/>
          <w:shd w:fill="auto" w:val="clear"/>
        </w:rPr>
        <w:t xml:space="preserve"> 2 ed. São Paulo, Moderna, 2002.</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ARIÈS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Philippe.</w:t>
      </w:r>
      <w:r>
        <w:rPr>
          <w:rFonts w:ascii="Times New Roman" w:hAnsi="Times New Roman" w:cs="Times New Roman" w:eastAsia="Times New Roman"/>
          <w:b/>
          <w:color w:val="auto"/>
          <w:spacing w:val="0"/>
          <w:position w:val="0"/>
          <w:sz w:val="24"/>
          <w:shd w:fill="auto" w:val="clear"/>
        </w:rPr>
        <w:t xml:space="preserve"> História social da criança e da família. </w:t>
      </w:r>
      <w:r>
        <w:rPr>
          <w:rFonts w:ascii="Times New Roman" w:hAnsi="Times New Roman" w:cs="Times New Roman" w:eastAsia="Times New Roman"/>
          <w:color w:val="auto"/>
          <w:spacing w:val="0"/>
          <w:position w:val="0"/>
          <w:sz w:val="24"/>
          <w:shd w:fill="auto" w:val="clear"/>
        </w:rPr>
        <w:t xml:space="preserve">Trad. Dora Flaksman. 2. ed. Rio de Janeir, Zahar Editores, 1981.</w:t>
      </w:r>
    </w:p>
    <w:p>
      <w:pPr>
        <w:spacing w:before="0" w:after="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ARGÜELLO,</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Zandra Elisa Argüello. </w:t>
      </w:r>
      <w:r>
        <w:rPr>
          <w:rFonts w:ascii="Times New Roman" w:hAnsi="Times New Roman" w:cs="Times New Roman" w:eastAsia="Times New Roman"/>
          <w:b/>
          <w:color w:val="auto"/>
          <w:spacing w:val="0"/>
          <w:position w:val="0"/>
          <w:sz w:val="24"/>
          <w:shd w:fill="auto" w:val="clear"/>
        </w:rPr>
        <w:t xml:space="preserve">Dialogando com crianças sobre gênero através da literatura infantil</w:t>
      </w:r>
      <w:r>
        <w:rPr>
          <w:rFonts w:ascii="Times New Roman" w:hAnsi="Times New Roman" w:cs="Times New Roman" w:eastAsia="Times New Roman"/>
          <w:color w:val="auto"/>
          <w:spacing w:val="0"/>
          <w:position w:val="0"/>
          <w:sz w:val="24"/>
          <w:shd w:fill="auto" w:val="clear"/>
        </w:rPr>
        <w:t xml:space="preserve">. 193 f. Dissertação (Mestrado em Educação) – Universidade Federal do Rio Grande do Sul, Porto Alegre, 2005. Disponível em: </w:t>
      </w:r>
      <w:hyperlink xmlns:r="http://schemas.openxmlformats.org/officeDocument/2006/relationships" r:id="docRId226">
        <w:r>
          <w:rPr>
            <w:rFonts w:ascii="Times New Roman" w:hAnsi="Times New Roman" w:cs="Times New Roman" w:eastAsia="Times New Roman"/>
            <w:color w:val="0000FF"/>
            <w:spacing w:val="0"/>
            <w:position w:val="0"/>
            <w:sz w:val="24"/>
            <w:u w:val="single"/>
            <w:shd w:fill="auto" w:val="clear"/>
          </w:rPr>
          <w:t xml:space="preserve">http://hdl.handle.net/10183/6961</w:t>
        </w:r>
      </w:hyperlink>
      <w:r>
        <w:rPr>
          <w:rFonts w:ascii="Times New Roman" w:hAnsi="Times New Roman" w:cs="Times New Roman" w:eastAsia="Times New Roman"/>
          <w:color w:val="auto"/>
          <w:spacing w:val="0"/>
          <w:position w:val="0"/>
          <w:sz w:val="24"/>
          <w:shd w:fill="auto" w:val="clear"/>
        </w:rPr>
        <w:br/>
      </w:r>
      <w:hyperlink xmlns:r="http://schemas.openxmlformats.org/officeDocument/2006/relationships" r:id="docRId227">
        <w:r>
          <w:rPr>
            <w:rFonts w:ascii="Times New Roman" w:hAnsi="Times New Roman" w:cs="Times New Roman" w:eastAsia="Times New Roman"/>
            <w:color w:val="0000FF"/>
            <w:spacing w:val="0"/>
            <w:position w:val="0"/>
            <w:sz w:val="24"/>
            <w:u w:val="single"/>
            <w:shd w:fill="auto" w:val="clear"/>
          </w:rPr>
          <w:t xml:space="preserve">000537801</w:t>
        </w:r>
      </w:hyperlink>
      <w:r>
        <w:rPr>
          <w:rFonts w:ascii="Times New Roman" w:hAnsi="Times New Roman" w:cs="Times New Roman" w:eastAsia="Times New Roman"/>
          <w:color w:val="auto"/>
          <w:spacing w:val="0"/>
          <w:position w:val="0"/>
          <w:sz w:val="24"/>
          <w:shd w:fill="auto" w:val="clear"/>
        </w:rPr>
        <w:t xml:space="preserve">. Acesso em: 06/01/2009.</w:t>
      </w:r>
      <w:r>
        <w:rPr>
          <w:rFonts w:ascii="Times New Roman" w:hAnsi="Times New Roman" w:cs="Times New Roman" w:eastAsia="Times New Roman"/>
          <w:b/>
          <w:color w:val="auto"/>
          <w:spacing w:val="0"/>
          <w:position w:val="0"/>
          <w:sz w:val="24"/>
          <w:shd w:fill="auto" w:val="clear"/>
        </w:rPr>
        <w:t xml:space="preserve">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BELOTTI,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Elena Geanini. </w:t>
      </w:r>
      <w:r>
        <w:rPr>
          <w:rFonts w:ascii="Times New Roman" w:hAnsi="Times New Roman" w:cs="Times New Roman" w:eastAsia="Times New Roman"/>
          <w:b/>
          <w:color w:val="auto"/>
          <w:spacing w:val="0"/>
          <w:position w:val="0"/>
          <w:sz w:val="24"/>
          <w:shd w:fill="auto" w:val="clear"/>
        </w:rPr>
        <w:t xml:space="preserve">Educar para a submissão</w:t>
      </w:r>
      <w:r>
        <w:rPr>
          <w:rFonts w:ascii="Times New Roman" w:hAnsi="Times New Roman" w:cs="Times New Roman" w:eastAsia="Times New Roman"/>
          <w:color w:val="auto"/>
          <w:spacing w:val="0"/>
          <w:position w:val="0"/>
          <w:sz w:val="24"/>
          <w:shd w:fill="auto" w:val="clear"/>
        </w:rPr>
        <w:t xml:space="preserve">. O descondicionamento da mulher. Tradução de Ephraim Ferreira Alves. Petrópolis – RJ, Vozes, 1979.</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BENCINI,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Roberta.</w:t>
      </w:r>
      <w:r>
        <w:rPr>
          <w:rFonts w:ascii="Times New Roman" w:hAnsi="Times New Roman" w:cs="Times New Roman" w:eastAsia="Times New Roman"/>
          <w:b/>
          <w:color w:val="auto"/>
          <w:spacing w:val="0"/>
          <w:position w:val="0"/>
          <w:sz w:val="24"/>
          <w:shd w:fill="auto" w:val="clear"/>
        </w:rPr>
        <w:t xml:space="preserve"> Brincadeiras não têm sexo. </w:t>
      </w:r>
      <w:r>
        <w:rPr>
          <w:rFonts w:ascii="Times New Roman" w:hAnsi="Times New Roman" w:cs="Times New Roman" w:eastAsia="Times New Roman"/>
          <w:color w:val="auto"/>
          <w:spacing w:val="0"/>
          <w:position w:val="0"/>
          <w:sz w:val="24"/>
          <w:shd w:fill="auto" w:val="clear"/>
        </w:rPr>
        <w:t xml:space="preserve">Disponível em: </w:t>
      </w:r>
      <w:hyperlink xmlns:r="http://schemas.openxmlformats.org/officeDocument/2006/relationships" r:id="docRId228">
        <w:r>
          <w:rPr>
            <w:rFonts w:ascii="Times New Roman" w:hAnsi="Times New Roman" w:cs="Times New Roman" w:eastAsia="Times New Roman"/>
            <w:color w:val="0000FF"/>
            <w:spacing w:val="0"/>
            <w:position w:val="0"/>
            <w:sz w:val="24"/>
            <w:u w:val="single"/>
            <w:shd w:fill="auto" w:val="clear"/>
          </w:rPr>
          <w:t xml:space="preserve">www.revistaescola.abril.com.br/edicoes/0203/aberto/mt_233229.shtml</w:t>
        </w:r>
      </w:hyperlink>
      <w:r>
        <w:rPr>
          <w:rFonts w:ascii="Times New Roman" w:hAnsi="Times New Roman" w:cs="Times New Roman" w:eastAsia="Times New Roman"/>
          <w:color w:val="auto"/>
          <w:spacing w:val="0"/>
          <w:position w:val="0"/>
          <w:sz w:val="24"/>
          <w:shd w:fill="auto" w:val="clear"/>
        </w:rPr>
        <w:t xml:space="preserve">. Acesso em: 17/02/2008.</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p>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Pierre. </w:t>
      </w:r>
      <w:r>
        <w:rPr>
          <w:rFonts w:ascii="Times New Roman" w:hAnsi="Times New Roman" w:cs="Times New Roman" w:eastAsia="Times New Roman"/>
          <w:b/>
          <w:color w:val="auto"/>
          <w:spacing w:val="0"/>
          <w:position w:val="0"/>
          <w:sz w:val="24"/>
          <w:shd w:fill="auto" w:val="clear"/>
        </w:rPr>
        <w:t xml:space="preserve">A Dominação Masculina. </w:t>
      </w:r>
      <w:r>
        <w:rPr>
          <w:rFonts w:ascii="Times New Roman" w:hAnsi="Times New Roman" w:cs="Times New Roman" w:eastAsia="Times New Roman"/>
          <w:color w:val="auto"/>
          <w:spacing w:val="0"/>
          <w:position w:val="0"/>
          <w:sz w:val="24"/>
          <w:shd w:fill="auto" w:val="clear"/>
        </w:rPr>
        <w:t xml:space="preserve">Rio de Janeiro, Bertand Brasil, 2002.</w:t>
      </w:r>
      <w:r>
        <w:rPr>
          <w:rFonts w:ascii="Times New Roman" w:hAnsi="Times New Roman" w:cs="Times New Roman" w:eastAsia="Times New Roman"/>
          <w:b/>
          <w:color w:val="auto"/>
          <w:spacing w:val="0"/>
          <w:position w:val="0"/>
          <w:sz w:val="24"/>
          <w:shd w:fill="auto" w:val="clear"/>
        </w:rPr>
        <w:t xml:space="preserve">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O poder simbólico. 4 ed. Rio de Janeiro, Bertrand Brasil, 2001.</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CARLOTO</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Cássia Maria. </w:t>
      </w:r>
      <w:r>
        <w:rPr>
          <w:rFonts w:ascii="Times New Roman" w:hAnsi="Times New Roman" w:cs="Times New Roman" w:eastAsia="Times New Roman"/>
          <w:b/>
          <w:color w:val="auto"/>
          <w:spacing w:val="0"/>
          <w:position w:val="0"/>
          <w:sz w:val="24"/>
          <w:shd w:fill="auto" w:val="clear"/>
        </w:rPr>
        <w:t xml:space="preserve">O conceito de gênero e sua importância para a análise das relações sociais. </w:t>
      </w:r>
      <w:r>
        <w:rPr>
          <w:rFonts w:ascii="Times New Roman" w:hAnsi="Times New Roman" w:cs="Times New Roman" w:eastAsia="Times New Roman"/>
          <w:color w:val="auto"/>
          <w:spacing w:val="0"/>
          <w:position w:val="0"/>
          <w:sz w:val="24"/>
          <w:shd w:fill="auto" w:val="clear"/>
        </w:rPr>
        <w:t xml:space="preserve">Disponível em: </w:t>
      </w:r>
      <w:hyperlink xmlns:r="http://schemas.openxmlformats.org/officeDocument/2006/relationships" r:id="docRId229">
        <w:r>
          <w:rPr>
            <w:rFonts w:ascii="Times New Roman" w:hAnsi="Times New Roman" w:cs="Times New Roman" w:eastAsia="Times New Roman"/>
            <w:color w:val="0000FF"/>
            <w:spacing w:val="0"/>
            <w:position w:val="0"/>
            <w:sz w:val="24"/>
            <w:u w:val="single"/>
            <w:shd w:fill="auto" w:val="clear"/>
          </w:rPr>
          <w:t xml:space="preserve">www.ssrevista.uel.br/cv3n2</w:t>
        </w:r>
        <w:r>
          <w:rPr>
            <w:rFonts w:ascii="Times New Roman" w:hAnsi="Times New Roman" w:cs="Times New Roman" w:eastAsia="Times New Roman"/>
            <w:vanish/>
            <w:color w:val="0000FF"/>
            <w:spacing w:val="0"/>
            <w:position w:val="0"/>
            <w:sz w:val="24"/>
            <w:u w:val="single"/>
            <w:shd w:fill="auto" w:val="clear"/>
          </w:rPr>
          <w:t xml:space="preserve">HYPERLINK "http://www.ssrevista.uel.br/cv3n2genero.htm"</w:t>
        </w:r>
        <w:r>
          <w:rPr>
            <w:rFonts w:ascii="Times New Roman" w:hAnsi="Times New Roman" w:cs="Times New Roman" w:eastAsia="Times New Roman"/>
            <w:color w:val="0000FF"/>
            <w:spacing w:val="0"/>
            <w:position w:val="0"/>
            <w:sz w:val="24"/>
            <w:u w:val="single"/>
            <w:shd w:fill="auto" w:val="clear"/>
          </w:rPr>
          <w:t xml:space="preserve">genero</w:t>
        </w:r>
        <w:r>
          <w:rPr>
            <w:rFonts w:ascii="Times New Roman" w:hAnsi="Times New Roman" w:cs="Times New Roman" w:eastAsia="Times New Roman"/>
            <w:vanish/>
            <w:color w:val="0000FF"/>
            <w:spacing w:val="0"/>
            <w:position w:val="0"/>
            <w:sz w:val="24"/>
            <w:u w:val="single"/>
            <w:shd w:fill="auto" w:val="clear"/>
          </w:rPr>
          <w:t xml:space="preserve">HYPERLINK "http://www.ssrevista.uel.br/cv3n2genero.htm"</w:t>
        </w:r>
        <w:r>
          <w:rPr>
            <w:rFonts w:ascii="Times New Roman" w:hAnsi="Times New Roman" w:cs="Times New Roman" w:eastAsia="Times New Roman"/>
            <w:color w:val="0000FF"/>
            <w:spacing w:val="0"/>
            <w:position w:val="0"/>
            <w:sz w:val="24"/>
            <w:u w:val="single"/>
            <w:shd w:fill="auto" w:val="clear"/>
          </w:rPr>
          <w:t xml:space="preserve">.htm</w:t>
        </w:r>
      </w:hyperlink>
      <w:r>
        <w:rPr>
          <w:rFonts w:ascii="Times New Roman" w:hAnsi="Times New Roman" w:cs="Times New Roman" w:eastAsia="Times New Roman"/>
          <w:color w:val="auto"/>
          <w:spacing w:val="0"/>
          <w:position w:val="0"/>
          <w:sz w:val="24"/>
          <w:shd w:fill="auto" w:val="clear"/>
        </w:rPr>
        <w:t xml:space="preserve">. Acesso em 10/11/2007.</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Cláudia. </w:t>
      </w:r>
      <w:r>
        <w:rPr>
          <w:rFonts w:ascii="Times New Roman" w:hAnsi="Times New Roman" w:cs="Times New Roman" w:eastAsia="Times New Roman"/>
          <w:b/>
          <w:color w:val="auto"/>
          <w:spacing w:val="0"/>
          <w:position w:val="0"/>
          <w:sz w:val="24"/>
          <w:shd w:fill="auto" w:val="clear"/>
        </w:rPr>
        <w:t xml:space="preserve">Pesquisa qualitativa:</w:t>
      </w:r>
      <w:r>
        <w:rPr>
          <w:rFonts w:ascii="Times New Roman" w:hAnsi="Times New Roman" w:cs="Times New Roman" w:eastAsia="Times New Roman"/>
          <w:color w:val="auto"/>
          <w:spacing w:val="0"/>
          <w:position w:val="0"/>
          <w:sz w:val="24"/>
          <w:shd w:fill="auto" w:val="clear"/>
        </w:rPr>
        <w:t xml:space="preserve"> características gerais e referências. Disponível em: </w:t>
      </w:r>
      <w:hyperlink xmlns:r="http://schemas.openxmlformats.org/officeDocument/2006/relationships" r:id="docRId230">
        <w:r>
          <w:rPr>
            <w:rFonts w:ascii="Times New Roman" w:hAnsi="Times New Roman" w:cs="Times New Roman" w:eastAsia="Times New Roman"/>
            <w:color w:val="0000FF"/>
            <w:spacing w:val="0"/>
            <w:position w:val="0"/>
            <w:sz w:val="24"/>
            <w:u w:val="single"/>
            <w:shd w:fill="auto" w:val="clear"/>
          </w:rPr>
          <w:t xml:space="preserve">www.geocities.com/claudiaad/</w:t>
        </w:r>
        <w:r>
          <w:rPr>
            <w:rFonts w:ascii="Times New Roman" w:hAnsi="Times New Roman" w:cs="Times New Roman" w:eastAsia="Times New Roman"/>
            <w:vanish/>
            <w:color w:val="0000FF"/>
            <w:spacing w:val="0"/>
            <w:position w:val="0"/>
            <w:sz w:val="24"/>
            <w:u w:val="single"/>
            <w:shd w:fill="auto" w:val="clear"/>
          </w:rPr>
          <w:t xml:space="preserve">HYPERLINK "http://www.geocities.com/claudiaad/qualitativa.pdf"</w:t>
        </w:r>
        <w:r>
          <w:rPr>
            <w:rFonts w:ascii="Times New Roman" w:hAnsi="Times New Roman" w:cs="Times New Roman" w:eastAsia="Times New Roman"/>
            <w:color w:val="0000FF"/>
            <w:spacing w:val="0"/>
            <w:position w:val="0"/>
            <w:sz w:val="24"/>
            <w:u w:val="single"/>
            <w:shd w:fill="auto" w:val="clear"/>
          </w:rPr>
          <w:t xml:space="preserve">qualitativa</w:t>
        </w:r>
        <w:r>
          <w:rPr>
            <w:rFonts w:ascii="Times New Roman" w:hAnsi="Times New Roman" w:cs="Times New Roman" w:eastAsia="Times New Roman"/>
            <w:vanish/>
            <w:color w:val="0000FF"/>
            <w:spacing w:val="0"/>
            <w:position w:val="0"/>
            <w:sz w:val="24"/>
            <w:u w:val="single"/>
            <w:shd w:fill="auto" w:val="clear"/>
          </w:rPr>
          <w:t xml:space="preserve">HYPERLINK "http://www.geocities.com/claudiaad/qualitativa.pdf"</w:t>
        </w:r>
        <w:r>
          <w:rPr>
            <w:rFonts w:ascii="Times New Roman" w:hAnsi="Times New Roman" w:cs="Times New Roman" w:eastAsia="Times New Roman"/>
            <w:color w:val="0000FF"/>
            <w:spacing w:val="0"/>
            <w:position w:val="0"/>
            <w:sz w:val="24"/>
            <w:u w:val="single"/>
            <w:shd w:fill="auto" w:val="clear"/>
          </w:rPr>
          <w:t xml:space="preserve">.pdf</w:t>
        </w:r>
      </w:hyperlink>
      <w:r>
        <w:rPr>
          <w:rFonts w:ascii="Times New Roman" w:hAnsi="Times New Roman" w:cs="Times New Roman" w:eastAsia="Times New Roman"/>
          <w:color w:val="auto"/>
          <w:spacing w:val="0"/>
          <w:position w:val="0"/>
          <w:sz w:val="24"/>
          <w:shd w:fill="auto" w:val="clear"/>
        </w:rPr>
        <w:t xml:space="preserve">. Acesso em: 03/08/2008.</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FAZENDA,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Ivani. (org.). </w:t>
      </w:r>
      <w:r>
        <w:rPr>
          <w:rFonts w:ascii="Times New Roman" w:hAnsi="Times New Roman" w:cs="Times New Roman" w:eastAsia="Times New Roman"/>
          <w:b/>
          <w:color w:val="auto"/>
          <w:spacing w:val="0"/>
          <w:position w:val="0"/>
          <w:sz w:val="24"/>
          <w:shd w:fill="auto" w:val="clear"/>
        </w:rPr>
        <w:t xml:space="preserve">Metodologia da pesquisa educacional. </w:t>
      </w:r>
      <w:r>
        <w:rPr>
          <w:rFonts w:ascii="Times New Roman" w:hAnsi="Times New Roman" w:cs="Times New Roman" w:eastAsia="Times New Roman"/>
          <w:color w:val="auto"/>
          <w:spacing w:val="0"/>
          <w:position w:val="0"/>
          <w:sz w:val="24"/>
          <w:shd w:fill="auto" w:val="clear"/>
        </w:rPr>
        <w:t xml:space="preserve">5 ed.</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 Paulo, Cortez, 1999.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FINCO, Daniela. </w:t>
      </w:r>
      <w:r>
        <w:rPr>
          <w:rFonts w:ascii="Times New Roman" w:hAnsi="Times New Roman" w:cs="Times New Roman" w:eastAsia="Times New Roman"/>
          <w:b/>
          <w:color w:val="auto"/>
          <w:spacing w:val="0"/>
          <w:position w:val="0"/>
          <w:sz w:val="24"/>
          <w:shd w:fill="auto" w:val="clear"/>
        </w:rPr>
        <w:t xml:space="preserve">Socialização de gênero na Educação Infantil. </w:t>
      </w:r>
      <w:r>
        <w:rPr>
          <w:rFonts w:ascii="Times New Roman" w:hAnsi="Times New Roman" w:cs="Times New Roman" w:eastAsia="Times New Roman"/>
          <w:color w:val="auto"/>
          <w:spacing w:val="0"/>
          <w:position w:val="0"/>
          <w:sz w:val="24"/>
          <w:shd w:fill="auto" w:val="clear"/>
        </w:rPr>
        <w:t xml:space="preserve">Disponível em: </w:t>
      </w:r>
      <w:hyperlink xmlns:r="http://schemas.openxmlformats.org/officeDocument/2006/relationships" r:id="docRId231">
        <w:r>
          <w:rPr>
            <w:rFonts w:ascii="Times New Roman" w:hAnsi="Times New Roman" w:cs="Times New Roman" w:eastAsia="Times New Roman"/>
            <w:color w:val="0000FF"/>
            <w:spacing w:val="0"/>
            <w:position w:val="0"/>
            <w:sz w:val="24"/>
            <w:u w:val="single"/>
            <w:shd w:fill="auto" w:val="clear"/>
          </w:rPr>
          <w:t xml:space="preserve">www.fazendo</w:t>
        </w:r>
        <w:r>
          <w:rPr>
            <w:rFonts w:ascii="Times New Roman" w:hAnsi="Times New Roman" w:cs="Times New Roman" w:eastAsia="Times New Roman"/>
            <w:vanish/>
            <w:color w:val="0000FF"/>
            <w:spacing w:val="0"/>
            <w:position w:val="0"/>
            <w:sz w:val="24"/>
            <w:u w:val="single"/>
            <w:shd w:fill="auto" w:val="clear"/>
          </w:rPr>
          <w:t xml:space="preserve">HYPERLINK "http://www.fazendogenero8.ufsc.br/sts/ST10/Daniela_Finco10.pdf"</w:t>
        </w:r>
        <w:r>
          <w:rPr>
            <w:rFonts w:ascii="Times New Roman" w:hAnsi="Times New Roman" w:cs="Times New Roman" w:eastAsia="Times New Roman"/>
            <w:color w:val="0000FF"/>
            <w:spacing w:val="0"/>
            <w:position w:val="0"/>
            <w:sz w:val="24"/>
            <w:u w:val="single"/>
            <w:shd w:fill="auto" w:val="clear"/>
          </w:rPr>
          <w:t xml:space="preserve">genero</w:t>
        </w:r>
        <w:r>
          <w:rPr>
            <w:rFonts w:ascii="Times New Roman" w:hAnsi="Times New Roman" w:cs="Times New Roman" w:eastAsia="Times New Roman"/>
            <w:vanish/>
            <w:color w:val="0000FF"/>
            <w:spacing w:val="0"/>
            <w:position w:val="0"/>
            <w:sz w:val="24"/>
            <w:u w:val="single"/>
            <w:shd w:fill="auto" w:val="clear"/>
          </w:rPr>
          <w:t xml:space="preserve">HYPERLINK "http://www.fazendogenero8.ufsc.br/sts/ST10/Daniela_Finco10.pdf"</w:t>
        </w:r>
        <w:r>
          <w:rPr>
            <w:rFonts w:ascii="Times New Roman" w:hAnsi="Times New Roman" w:cs="Times New Roman" w:eastAsia="Times New Roman"/>
            <w:color w:val="0000FF"/>
            <w:spacing w:val="0"/>
            <w:position w:val="0"/>
            <w:sz w:val="24"/>
            <w:u w:val="single"/>
            <w:shd w:fill="auto" w:val="clear"/>
          </w:rPr>
          <w:t xml:space="preserve">8.ufsc.br/sts/ST10/Daniela_Finco10.pdf</w:t>
        </w:r>
      </w:hyperlink>
      <w:r>
        <w:rPr>
          <w:rFonts w:ascii="Times New Roman" w:hAnsi="Times New Roman" w:cs="Times New Roman" w:eastAsia="Times New Roman"/>
          <w:color w:val="auto"/>
          <w:spacing w:val="0"/>
          <w:position w:val="0"/>
          <w:sz w:val="24"/>
          <w:shd w:fill="auto" w:val="clear"/>
        </w:rPr>
        <w:t xml:space="preserve">. Acesso em: 06/11/2008.</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w:t>
      </w:r>
      <w:r>
        <w:rPr>
          <w:rFonts w:ascii="Times New Roman" w:hAnsi="Times New Roman" w:cs="Times New Roman" w:eastAsia="Times New Roman"/>
          <w:b/>
          <w:color w:val="auto"/>
          <w:spacing w:val="0"/>
          <w:position w:val="0"/>
          <w:sz w:val="24"/>
          <w:shd w:fill="auto" w:val="clear"/>
        </w:rPr>
        <w:t xml:space="preserve">Educação infantil, gênero e brincadeiras:</w:t>
      </w:r>
      <w:r>
        <w:rPr>
          <w:rFonts w:ascii="Times New Roman" w:hAnsi="Times New Roman" w:cs="Times New Roman" w:eastAsia="Times New Roman"/>
          <w:color w:val="auto"/>
          <w:spacing w:val="0"/>
          <w:position w:val="0"/>
          <w:sz w:val="24"/>
          <w:shd w:fill="auto" w:val="clear"/>
        </w:rPr>
        <w:t xml:space="preserve"> Das naturalidades às transgressões. Disponível em: </w:t>
      </w:r>
      <w:hyperlink xmlns:r="http://schemas.openxmlformats.org/officeDocument/2006/relationships" r:id="docRId232">
        <w:r>
          <w:rPr>
            <w:rFonts w:ascii="Times New Roman" w:hAnsi="Times New Roman" w:cs="Times New Roman" w:eastAsia="Times New Roman"/>
            <w:color w:val="0000FF"/>
            <w:spacing w:val="0"/>
            <w:position w:val="0"/>
            <w:sz w:val="24"/>
            <w:u w:val="single"/>
            <w:shd w:fill="auto" w:val="clear"/>
          </w:rPr>
          <w:t xml:space="preserve">www.anped.org.br/reunioes/28/textos/gt07/gt07945int.rtf</w:t>
        </w:r>
      </w:hyperlink>
      <w:r>
        <w:rPr>
          <w:rFonts w:ascii="Times New Roman" w:hAnsi="Times New Roman" w:cs="Times New Roman" w:eastAsia="Times New Roman"/>
          <w:color w:val="auto"/>
          <w:spacing w:val="0"/>
          <w:position w:val="0"/>
          <w:sz w:val="24"/>
          <w:shd w:fill="auto" w:val="clear"/>
        </w:rPr>
        <w:t xml:space="preserve">. Acesso em: 04/01/2009.</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FOUCAULT, Michel. </w:t>
      </w:r>
      <w:r>
        <w:rPr>
          <w:rFonts w:ascii="Times New Roman" w:hAnsi="Times New Roman" w:cs="Times New Roman" w:eastAsia="Times New Roman"/>
          <w:b/>
          <w:color w:val="auto"/>
          <w:spacing w:val="0"/>
          <w:position w:val="0"/>
          <w:sz w:val="24"/>
          <w:shd w:fill="auto" w:val="clear"/>
        </w:rPr>
        <w:t xml:space="preserve">Microfísica do poder.</w:t>
      </w:r>
      <w:r>
        <w:rPr>
          <w:rFonts w:ascii="Times New Roman" w:hAnsi="Times New Roman" w:cs="Times New Roman" w:eastAsia="Times New Roman"/>
          <w:color w:val="auto"/>
          <w:spacing w:val="0"/>
          <w:position w:val="0"/>
          <w:sz w:val="24"/>
          <w:shd w:fill="auto" w:val="clear"/>
        </w:rPr>
        <w:t xml:space="preserve"> Rio de Janeiro, Graal, 1999.</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FREIRE, Paulo. </w:t>
      </w:r>
      <w:r>
        <w:rPr>
          <w:rFonts w:ascii="Times New Roman" w:hAnsi="Times New Roman" w:cs="Times New Roman" w:eastAsia="Times New Roman"/>
          <w:b/>
          <w:color w:val="auto"/>
          <w:spacing w:val="0"/>
          <w:position w:val="0"/>
          <w:sz w:val="24"/>
          <w:shd w:fill="auto" w:val="clear"/>
        </w:rPr>
        <w:t xml:space="preserve">Educação e mudança.</w:t>
      </w:r>
      <w:r>
        <w:rPr>
          <w:rFonts w:ascii="Times New Roman" w:hAnsi="Times New Roman" w:cs="Times New Roman" w:eastAsia="Times New Roman"/>
          <w:color w:val="auto"/>
          <w:spacing w:val="0"/>
          <w:position w:val="0"/>
          <w:sz w:val="24"/>
          <w:shd w:fill="auto" w:val="clear"/>
        </w:rPr>
        <w:t xml:space="preserve"> Trad. Moacir Gadotti e Lílian Lopes Martin. São Paulo, Paz e Terra, 1979.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LOPES, Zaira de Almeida. </w:t>
      </w:r>
      <w:r>
        <w:rPr>
          <w:rFonts w:ascii="Times New Roman" w:hAnsi="Times New Roman" w:cs="Times New Roman" w:eastAsia="Times New Roman"/>
          <w:b/>
          <w:color w:val="auto"/>
          <w:spacing w:val="0"/>
          <w:position w:val="0"/>
          <w:sz w:val="24"/>
          <w:shd w:fill="auto" w:val="clear"/>
        </w:rPr>
        <w:t xml:space="preserve">Meninas para um lado, Meninos para outro.</w:t>
      </w:r>
      <w:r>
        <w:rPr>
          <w:rFonts w:ascii="Times New Roman" w:hAnsi="Times New Roman" w:cs="Times New Roman" w:eastAsia="Times New Roman"/>
          <w:color w:val="auto"/>
          <w:spacing w:val="0"/>
          <w:position w:val="0"/>
          <w:sz w:val="24"/>
          <w:shd w:fill="auto" w:val="clear"/>
        </w:rPr>
        <w:t xml:space="preserve"> Um estudo sobre Representação Social de Gênero de Educadoras de Creche. Campo Grande – MS, Ed. UFMS, 2000.</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LOURO, Guacira Lopes. </w:t>
      </w:r>
      <w:r>
        <w:rPr>
          <w:rFonts w:ascii="Times New Roman" w:hAnsi="Times New Roman" w:cs="Times New Roman" w:eastAsia="Times New Roman"/>
          <w:b/>
          <w:color w:val="auto"/>
          <w:spacing w:val="0"/>
          <w:position w:val="0"/>
          <w:sz w:val="24"/>
          <w:shd w:fill="auto" w:val="clear"/>
        </w:rPr>
        <w:t xml:space="preserve">Gênero, sexualidade e educação:</w:t>
      </w:r>
      <w:r>
        <w:rPr>
          <w:rFonts w:ascii="Times New Roman" w:hAnsi="Times New Roman" w:cs="Times New Roman" w:eastAsia="Times New Roman"/>
          <w:color w:val="auto"/>
          <w:spacing w:val="0"/>
          <w:position w:val="0"/>
          <w:sz w:val="24"/>
          <w:shd w:fill="auto" w:val="clear"/>
        </w:rPr>
        <w:t xml:space="preserve"> das afinidades políticas às tensões teórico-metodológicas.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Belo Horizonte,  n. 46, 2007.  Disponível em: </w:t>
      </w:r>
      <w:hyperlink xmlns:r="http://schemas.openxmlformats.org/officeDocument/2006/relationships" r:id="docRId233">
        <w:r>
          <w:rPr>
            <w:rFonts w:ascii="Times New Roman" w:hAnsi="Times New Roman" w:cs="Times New Roman" w:eastAsia="Times New Roman"/>
            <w:color w:val="0000FF"/>
            <w:spacing w:val="0"/>
            <w:position w:val="0"/>
            <w:sz w:val="24"/>
            <w:u w:val="single"/>
            <w:shd w:fill="auto" w:val="clear"/>
          </w:rPr>
          <w:t xml:space="preserve">www.scielo.br/scielo.php?script=sci_arttext</w:t>
        </w:r>
        <w:r>
          <w:rPr>
            <w:rFonts w:ascii="Times New Roman" w:hAnsi="Times New Roman" w:cs="Times New Roman" w:eastAsia="Times New Roman"/>
            <w:vanish/>
            <w:color w:val="0000FF"/>
            <w:spacing w:val="0"/>
            <w:position w:val="0"/>
            <w:sz w:val="24"/>
            <w:u w:val="single"/>
            <w:shd w:fill="auto" w:val="clear"/>
          </w:rPr>
          <w:t xml:space="preserve">HYPERLINK "http://www.scielo.br/scielo.php?script=sci_arttext&amp;pid"</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"http://www.scielo.br/scielo.php?script=sci_arttext&amp;pid"</w:t>
        </w:r>
        <w:r>
          <w:rPr>
            <w:rFonts w:ascii="Times New Roman" w:hAnsi="Times New Roman" w:cs="Times New Roman" w:eastAsia="Times New Roman"/>
            <w:color w:val="0000FF"/>
            <w:spacing w:val="0"/>
            <w:position w:val="0"/>
            <w:sz w:val="24"/>
            <w:u w:val="single"/>
            <w:shd w:fill="auto" w:val="clear"/>
          </w:rPr>
          <w:t xml:space="preserve">pid</w:t>
        </w:r>
      </w:hyperlink>
      <w:r>
        <w:rPr>
          <w:rFonts w:ascii="Times New Roman" w:hAnsi="Times New Roman" w:cs="Times New Roman" w:eastAsia="Times New Roman"/>
          <w:color w:val="auto"/>
          <w:spacing w:val="0"/>
          <w:position w:val="0"/>
          <w:sz w:val="24"/>
          <w:shd w:fill="auto" w:val="clear"/>
        </w:rPr>
        <w:t xml:space="preserve">. Acesso em: 30/07/2008.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LÜDKE,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Menga 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ANDRÉ,</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Marli E. D. A.</w:t>
      </w:r>
      <w:r>
        <w:rPr>
          <w:rFonts w:ascii="Times New Roman" w:hAnsi="Times New Roman" w:cs="Times New Roman" w:eastAsia="Times New Roman"/>
          <w:b/>
          <w:color w:val="auto"/>
          <w:spacing w:val="0"/>
          <w:position w:val="0"/>
          <w:sz w:val="24"/>
          <w:shd w:fill="auto" w:val="clear"/>
        </w:rPr>
        <w:t xml:space="preserve"> Pesquisa em Educação: </w:t>
      </w:r>
      <w:r>
        <w:rPr>
          <w:rFonts w:ascii="Times New Roman" w:hAnsi="Times New Roman" w:cs="Times New Roman" w:eastAsia="Times New Roman"/>
          <w:color w:val="auto"/>
          <w:spacing w:val="0"/>
          <w:position w:val="0"/>
          <w:sz w:val="24"/>
          <w:shd w:fill="auto" w:val="clear"/>
        </w:rPr>
        <w:t xml:space="preserve">abordagens qualitativas.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 Paulo, E.P.U., 2005.</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MARCONI, Marina de Andrade e LAKATOS, Eva Maria. </w:t>
      </w:r>
      <w:r>
        <w:rPr>
          <w:rFonts w:ascii="Times New Roman" w:hAnsi="Times New Roman" w:cs="Times New Roman" w:eastAsia="Times New Roman"/>
          <w:b/>
          <w:color w:val="auto"/>
          <w:spacing w:val="0"/>
          <w:position w:val="0"/>
          <w:sz w:val="24"/>
          <w:shd w:fill="auto" w:val="clear"/>
        </w:rPr>
        <w:t xml:space="preserve">Técnicas de pesquisa. </w:t>
      </w:r>
      <w:r>
        <w:rPr>
          <w:rFonts w:ascii="Times New Roman" w:hAnsi="Times New Roman" w:cs="Times New Roman" w:eastAsia="Times New Roman"/>
          <w:color w:val="auto"/>
          <w:spacing w:val="0"/>
          <w:position w:val="0"/>
          <w:sz w:val="24"/>
          <w:shd w:fill="auto" w:val="clear"/>
        </w:rPr>
        <w:t xml:space="preserve">São Paulo, Atlas, 1985.</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ROSEMBERG, Fúlvia. </w:t>
      </w:r>
      <w:r>
        <w:rPr>
          <w:rFonts w:ascii="Times New Roman" w:hAnsi="Times New Roman" w:cs="Times New Roman" w:eastAsia="Times New Roman"/>
          <w:b/>
          <w:color w:val="auto"/>
          <w:spacing w:val="0"/>
          <w:position w:val="0"/>
          <w:sz w:val="24"/>
          <w:shd w:fill="auto" w:val="clear"/>
        </w:rPr>
        <w:t xml:space="preserve">A escola e as diferenças sexuais.</w:t>
      </w:r>
      <w:r>
        <w:rPr>
          <w:rFonts w:ascii="Times New Roman" w:hAnsi="Times New Roman" w:cs="Times New Roman" w:eastAsia="Times New Roman"/>
          <w:color w:val="auto"/>
          <w:spacing w:val="0"/>
          <w:position w:val="0"/>
          <w:sz w:val="24"/>
          <w:shd w:fill="auto" w:val="clear"/>
        </w:rPr>
        <w:t xml:space="preserve"> Cadernos de Pesquisa. Fundação Carlos Chagas. São Paulo. p. 78-85, dez 1975.</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 </w:t>
      </w:r>
      <w:r>
        <w:rPr>
          <w:rFonts w:ascii="Times New Roman" w:hAnsi="Times New Roman" w:cs="Times New Roman" w:eastAsia="Times New Roman"/>
          <w:b/>
          <w:color w:val="auto"/>
          <w:spacing w:val="0"/>
          <w:position w:val="0"/>
          <w:sz w:val="24"/>
          <w:shd w:fill="auto" w:val="clear"/>
        </w:rPr>
        <w:t xml:space="preserve">Educação formal, mulher e gênero no Brasil contemporâneo. </w:t>
      </w:r>
      <w:r>
        <w:rPr>
          <w:rFonts w:ascii="Times New Roman" w:hAnsi="Times New Roman" w:cs="Times New Roman" w:eastAsia="Times New Roman"/>
          <w:color w:val="auto"/>
          <w:spacing w:val="0"/>
          <w:position w:val="0"/>
          <w:sz w:val="24"/>
          <w:shd w:fill="auto" w:val="clear"/>
        </w:rPr>
        <w:t xml:space="preserve">Disponível em: </w:t>
      </w:r>
      <w:hyperlink xmlns:r="http://schemas.openxmlformats.org/officeDocument/2006/relationships" r:id="docRId234">
        <w:r>
          <w:rPr>
            <w:rFonts w:ascii="Times New Roman" w:hAnsi="Times New Roman" w:cs="Times New Roman" w:eastAsia="Times New Roman"/>
            <w:color w:val="0000FF"/>
            <w:spacing w:val="0"/>
            <w:position w:val="0"/>
            <w:sz w:val="24"/>
            <w:u w:val="single"/>
            <w:shd w:fill="auto" w:val="clear"/>
          </w:rPr>
          <w:t xml:space="preserve">www.scielo.br/pdf/ref/v9n2/8638.pdf</w:t>
        </w:r>
      </w:hyperlink>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 em: 26/02/2008.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MELLO, Guiomar Namo de. </w:t>
      </w:r>
      <w:r>
        <w:rPr>
          <w:rFonts w:ascii="Times New Roman" w:hAnsi="Times New Roman" w:cs="Times New Roman" w:eastAsia="Times New Roman"/>
          <w:b/>
          <w:color w:val="auto"/>
          <w:spacing w:val="0"/>
          <w:position w:val="0"/>
          <w:sz w:val="24"/>
          <w:shd w:fill="auto" w:val="clear"/>
        </w:rPr>
        <w:t xml:space="preserve">Os estereótipos sexuais na escola.</w:t>
      </w:r>
      <w:r>
        <w:rPr>
          <w:rFonts w:ascii="Times New Roman" w:hAnsi="Times New Roman" w:cs="Times New Roman" w:eastAsia="Times New Roman"/>
          <w:color w:val="auto"/>
          <w:spacing w:val="0"/>
          <w:position w:val="0"/>
          <w:sz w:val="24"/>
          <w:shd w:fill="auto" w:val="clear"/>
        </w:rPr>
        <w:t xml:space="preserve"> Cadernos de Pesquisa. Fundação Carlos Chagas. São Paulo, n.15, p.141-144, dezembro, 1975.</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MINAYO, Maria Cecília de Souza (org.). </w:t>
      </w:r>
      <w:r>
        <w:rPr>
          <w:rFonts w:ascii="Times New Roman" w:hAnsi="Times New Roman" w:cs="Times New Roman" w:eastAsia="Times New Roman"/>
          <w:b/>
          <w:color w:val="auto"/>
          <w:spacing w:val="0"/>
          <w:position w:val="0"/>
          <w:sz w:val="24"/>
          <w:shd w:fill="auto" w:val="clear"/>
        </w:rPr>
        <w:t xml:space="preserve">Pesquisa Social: </w:t>
      </w:r>
      <w:r>
        <w:rPr>
          <w:rFonts w:ascii="Times New Roman" w:hAnsi="Times New Roman" w:cs="Times New Roman" w:eastAsia="Times New Roman"/>
          <w:color w:val="auto"/>
          <w:spacing w:val="0"/>
          <w:position w:val="0"/>
          <w:sz w:val="24"/>
          <w:shd w:fill="auto" w:val="clear"/>
        </w:rPr>
        <w:t xml:space="preserve">Teoria, método 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criatividade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3ª ed. Petrópolis, RJ, Vozes, 1994.</w:t>
      </w:r>
    </w:p>
    <w:p>
      <w:pPr>
        <w:tabs>
          <w:tab w:val="left" w:pos="2520" w:leader="none"/>
        </w:tabs>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SAFFIOTI, Heleieth. I. B. </w:t>
      </w:r>
      <w:r>
        <w:rPr>
          <w:rFonts w:ascii="Times New Roman" w:hAnsi="Times New Roman" w:cs="Times New Roman" w:eastAsia="Times New Roman"/>
          <w:b/>
          <w:color w:val="auto"/>
          <w:spacing w:val="0"/>
          <w:position w:val="0"/>
          <w:sz w:val="24"/>
          <w:shd w:fill="auto" w:val="clear"/>
        </w:rPr>
        <w:t xml:space="preserve">O Poder do Macho</w:t>
      </w:r>
      <w:r>
        <w:rPr>
          <w:rFonts w:ascii="Times New Roman" w:hAnsi="Times New Roman" w:cs="Times New Roman" w:eastAsia="Times New Roman"/>
          <w:color w:val="auto"/>
          <w:spacing w:val="0"/>
          <w:position w:val="0"/>
          <w:sz w:val="24"/>
          <w:shd w:fill="auto" w:val="clear"/>
        </w:rPr>
        <w:t xml:space="preserve">. Coleção Polêmica. São Paulo, Moderna, 1987.</w:t>
      </w:r>
    </w:p>
    <w:p>
      <w:pPr>
        <w:tabs>
          <w:tab w:val="left" w:pos="2520" w:leader="none"/>
        </w:tabs>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Joan. </w:t>
      </w:r>
      <w:r>
        <w:rPr>
          <w:rFonts w:ascii="Times New Roman" w:hAnsi="Times New Roman" w:cs="Times New Roman" w:eastAsia="Times New Roman"/>
          <w:b/>
          <w:color w:val="auto"/>
          <w:spacing w:val="0"/>
          <w:position w:val="0"/>
          <w:sz w:val="24"/>
          <w:shd w:fill="auto" w:val="clear"/>
        </w:rPr>
        <w:t xml:space="preserve">Gênero:</w:t>
      </w:r>
      <w:r>
        <w:rPr>
          <w:rFonts w:ascii="Times New Roman" w:hAnsi="Times New Roman" w:cs="Times New Roman" w:eastAsia="Times New Roman"/>
          <w:color w:val="auto"/>
          <w:spacing w:val="0"/>
          <w:position w:val="0"/>
          <w:sz w:val="24"/>
          <w:shd w:fill="auto" w:val="clear"/>
        </w:rPr>
        <w:t xml:space="preserve"> uma categoria útil de análise histórica. Educação e Realidade. Porto Alegre, v. 20, n. 2, p. 71-99. Jul./dez., 1995.</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SILVEIRA, Natália Silva da e </w:t>
      </w:r>
      <w:r>
        <w:rPr>
          <w:rFonts w:ascii="Times New Roman" w:hAnsi="Times New Roman" w:cs="Times New Roman" w:eastAsia="Times New Roman"/>
          <w:b/>
          <w:color w:val="auto"/>
          <w:spacing w:val="0"/>
          <w:position w:val="0"/>
          <w:sz w:val="24"/>
          <w:shd w:fill="auto" w:val="clear"/>
        </w:rPr>
        <w:t xml:space="preserve">SOUZA, </w:t>
      </w:r>
      <w:r>
        <w:rPr>
          <w:rFonts w:ascii="Times New Roman" w:hAnsi="Times New Roman" w:cs="Times New Roman" w:eastAsia="Times New Roman"/>
          <w:color w:val="auto"/>
          <w:spacing w:val="0"/>
          <w:position w:val="0"/>
          <w:sz w:val="24"/>
          <w:shd w:fill="auto" w:val="clear"/>
        </w:rPr>
        <w:t xml:space="preserve">Gisele Maria Costa. </w:t>
      </w:r>
      <w:r>
        <w:rPr>
          <w:rFonts w:ascii="Times New Roman" w:hAnsi="Times New Roman" w:cs="Times New Roman" w:eastAsia="Times New Roman"/>
          <w:b/>
          <w:color w:val="auto"/>
          <w:spacing w:val="0"/>
          <w:position w:val="0"/>
          <w:sz w:val="24"/>
          <w:shd w:fill="auto" w:val="clear"/>
        </w:rPr>
        <w:t xml:space="preserve">Atividades na Educação Infantil e Relações de Gênero.</w:t>
      </w:r>
      <w:r>
        <w:rPr>
          <w:rFonts w:ascii="Times New Roman" w:hAnsi="Times New Roman" w:cs="Times New Roman" w:eastAsia="Times New Roman"/>
          <w:color w:val="auto"/>
          <w:spacing w:val="0"/>
          <w:position w:val="0"/>
          <w:sz w:val="24"/>
          <w:shd w:fill="auto" w:val="clear"/>
        </w:rPr>
        <w:t xml:space="preserve"> In</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Fazendo Gênero 8 - Corpo, Violência e Poder. Disponível em: </w:t>
      </w:r>
      <w:hyperlink xmlns:r="http://schemas.openxmlformats.org/officeDocument/2006/relationships" r:id="docRId235">
        <w:r>
          <w:rPr>
            <w:rFonts w:ascii="Times New Roman" w:hAnsi="Times New Roman" w:cs="Times New Roman" w:eastAsia="Times New Roman"/>
            <w:color w:val="0000FF"/>
            <w:spacing w:val="0"/>
            <w:position w:val="0"/>
            <w:sz w:val="24"/>
            <w:u w:val="single"/>
            <w:shd w:fill="auto" w:val="clear"/>
          </w:rPr>
          <w:t xml:space="preserve">http://www.fazendogenero8.ufsc.br/sts/ST10/Silveira-Souza_10.pdf</w:t>
        </w:r>
      </w:hyperlink>
      <w:r>
        <w:rPr>
          <w:rFonts w:ascii="Times New Roman" w:hAnsi="Times New Roman" w:cs="Times New Roman" w:eastAsia="Times New Roman"/>
          <w:color w:val="auto"/>
          <w:spacing w:val="0"/>
          <w:position w:val="0"/>
          <w:sz w:val="24"/>
          <w:shd w:fill="auto" w:val="clear"/>
        </w:rPr>
        <w:t xml:space="preserve">. Acesso em: 04/11/2008.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SOUZA, Jane Felipe de.</w:t>
      </w:r>
      <w:r>
        <w:rPr>
          <w:rFonts w:ascii="Times New Roman" w:hAnsi="Times New Roman" w:cs="Times New Roman" w:eastAsia="Times New Roman"/>
          <w:b/>
          <w:color w:val="auto"/>
          <w:spacing w:val="0"/>
          <w:position w:val="0"/>
          <w:sz w:val="24"/>
          <w:shd w:fill="auto" w:val="clear"/>
        </w:rPr>
        <w:t xml:space="preserve"> Gênero e sexualidade nas pedagogias culturais:</w:t>
      </w:r>
      <w:r>
        <w:rPr>
          <w:rFonts w:ascii="Times New Roman" w:hAnsi="Times New Roman" w:cs="Times New Roman" w:eastAsia="Times New Roman"/>
          <w:color w:val="auto"/>
          <w:spacing w:val="0"/>
          <w:position w:val="0"/>
          <w:sz w:val="24"/>
          <w:shd w:fill="auto" w:val="clear"/>
        </w:rPr>
        <w:t xml:space="preserve"> implicações para a educação infantil. Disponível em: </w:t>
      </w:r>
      <w:hyperlink xmlns:r="http://schemas.openxmlformats.org/officeDocument/2006/relationships" r:id="docRId236">
        <w:r>
          <w:rPr>
            <w:rFonts w:ascii="Times New Roman" w:hAnsi="Times New Roman" w:cs="Times New Roman" w:eastAsia="Times New Roman"/>
            <w:color w:val="0000FF"/>
            <w:spacing w:val="0"/>
            <w:position w:val="0"/>
            <w:sz w:val="24"/>
            <w:u w:val="single"/>
            <w:shd w:fill="auto" w:val="clear"/>
          </w:rPr>
          <w:t xml:space="preserve">www.ced.ufsc.br/~nee0a6/SOUZA.pdf</w:t>
        </w:r>
      </w:hyperlink>
      <w:r>
        <w:rPr>
          <w:rFonts w:ascii="Times New Roman" w:hAnsi="Times New Roman" w:cs="Times New Roman" w:eastAsia="Times New Roman"/>
          <w:color w:val="auto"/>
          <w:spacing w:val="0"/>
          <w:position w:val="0"/>
          <w:sz w:val="24"/>
          <w:shd w:fill="auto" w:val="clear"/>
        </w:rPr>
        <w:t xml:space="preserve">. Acesso em: 06/10/2007. </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SOUZA,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Fabiana Cristina de e </w:t>
      </w:r>
      <w:r>
        <w:rPr>
          <w:rFonts w:ascii="Times New Roman" w:hAnsi="Times New Roman" w:cs="Times New Roman" w:eastAsia="Times New Roman"/>
          <w:b/>
          <w:color w:val="auto"/>
          <w:spacing w:val="0"/>
          <w:position w:val="0"/>
          <w:sz w:val="24"/>
          <w:shd w:fill="auto" w:val="clear"/>
        </w:rPr>
        <w:t xml:space="preserve">LEÃO</w:t>
      </w:r>
      <w:r>
        <w:rPr>
          <w:rFonts w:ascii="Times New Roman" w:hAnsi="Times New Roman" w:cs="Times New Roman" w:eastAsia="Times New Roman"/>
          <w:color w:val="auto"/>
          <w:spacing w:val="0"/>
          <w:position w:val="0"/>
          <w:sz w:val="24"/>
          <w:shd w:fill="auto" w:val="clear"/>
        </w:rPr>
        <w:t xml:space="preserve">, Andreza Marques de Castro. </w:t>
      </w:r>
      <w:r>
        <w:rPr>
          <w:rFonts w:ascii="Times New Roman" w:hAnsi="Times New Roman" w:cs="Times New Roman" w:eastAsia="Times New Roman"/>
          <w:b/>
          <w:color w:val="auto"/>
          <w:spacing w:val="0"/>
          <w:position w:val="0"/>
          <w:sz w:val="24"/>
          <w:shd w:fill="auto" w:val="clear"/>
        </w:rPr>
        <w:t xml:space="preserve">Entre o discurso pedagógico e ideológico na escola: estereótipos de classe, raça e gênero.</w:t>
      </w:r>
      <w:r>
        <w:rPr>
          <w:rFonts w:ascii="Times-Bold" w:hAnsi="Times-Bold" w:cs="Times-Bold" w:eastAsia="Times-Bold"/>
          <w:b/>
          <w:color w:val="auto"/>
          <w:spacing w:val="0"/>
          <w:position w:val="0"/>
          <w:sz w:val="23"/>
          <w:shd w:fill="auto" w:val="clear"/>
        </w:rPr>
        <w:t xml:space="preserve"> </w:t>
      </w:r>
      <w:r>
        <w:rPr>
          <w:rFonts w:ascii="Times New Roman" w:hAnsi="Times New Roman" w:cs="Times New Roman" w:eastAsia="Times New Roman"/>
          <w:color w:val="auto"/>
          <w:spacing w:val="0"/>
          <w:position w:val="0"/>
          <w:sz w:val="24"/>
          <w:shd w:fill="auto" w:val="clear"/>
        </w:rPr>
        <w:t xml:space="preserve">In</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Fazendo Gênero 8 - Corpo, Violência e Poder. Disponível em: </w:t>
      </w:r>
      <w:hyperlink xmlns:r="http://schemas.openxmlformats.org/officeDocument/2006/relationships" r:id="docRId237">
        <w:r>
          <w:rPr>
            <w:rFonts w:ascii="Times New Roman" w:hAnsi="Times New Roman" w:cs="Times New Roman" w:eastAsia="Times New Roman"/>
            <w:color w:val="0000FF"/>
            <w:spacing w:val="0"/>
            <w:position w:val="0"/>
            <w:sz w:val="24"/>
            <w:u w:val="single"/>
            <w:shd w:fill="auto" w:val="clear"/>
          </w:rPr>
          <w:t xml:space="preserve">http://www.fazendogenero8.ufsc.br/sts/ST1/Souza-Leao_01.pdf</w:t>
        </w:r>
      </w:hyperlink>
      <w:r>
        <w:rPr>
          <w:rFonts w:ascii="Times New Roman" w:hAnsi="Times New Roman" w:cs="Times New Roman" w:eastAsia="Times New Roman"/>
          <w:color w:val="auto"/>
          <w:spacing w:val="0"/>
          <w:position w:val="0"/>
          <w:sz w:val="24"/>
          <w:shd w:fill="auto" w:val="clear"/>
        </w:rPr>
        <w:t xml:space="preserve">. Acesso em: 21/07/2008. </w:t>
      </w:r>
    </w:p>
    <w:p>
      <w:pPr>
        <w:spacing w:before="0" w:after="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________. Meninos e Meninas na Escola: um encontro possível? </w:t>
      </w:r>
      <w:r>
        <w:rPr>
          <w:rFonts w:ascii="Times New Roman" w:hAnsi="Times New Roman" w:cs="Times New Roman" w:eastAsia="Times New Roman"/>
          <w:color w:val="auto"/>
          <w:spacing w:val="0"/>
          <w:position w:val="0"/>
          <w:sz w:val="24"/>
          <w:shd w:fill="auto" w:val="clear"/>
        </w:rPr>
        <w:t xml:space="preserve">Disponível em: </w:t>
      </w:r>
      <w:hyperlink xmlns:r="http://schemas.openxmlformats.org/officeDocument/2006/relationships" r:id="docRId238">
        <w:r>
          <w:rPr>
            <w:rFonts w:ascii="Times New Roman" w:hAnsi="Times New Roman" w:cs="Times New Roman" w:eastAsia="Times New Roman"/>
            <w:color w:val="0000FF"/>
            <w:spacing w:val="0"/>
            <w:position w:val="0"/>
            <w:sz w:val="24"/>
            <w:u w:val="single"/>
            <w:shd w:fill="auto" w:val="clear"/>
          </w:rPr>
          <w:t xml:space="preserve">http://www.editorazouk.com.br/trecho.asp?tipo=10</w:t>
        </w:r>
        <w:r>
          <w:rPr>
            <w:rFonts w:ascii="Times New Roman" w:hAnsi="Times New Roman" w:cs="Times New Roman" w:eastAsia="Times New Roman"/>
            <w:vanish/>
            <w:color w:val="0000FF"/>
            <w:spacing w:val="0"/>
            <w:position w:val="0"/>
            <w:sz w:val="24"/>
            <w:u w:val="single"/>
            <w:shd w:fill="auto" w:val="clear"/>
          </w:rPr>
          <w:t xml:space="preserve">HYPERLINK "http://www.editorazouk.com.br/trecho.asp?tipo=10&amp;cod=76&amp;rt=0"</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"http://www.editorazouk.com.br/trecho.asp?tipo=10&amp;cod=76&amp;rt=0"</w:t>
        </w:r>
        <w:r>
          <w:rPr>
            <w:rFonts w:ascii="Times New Roman" w:hAnsi="Times New Roman" w:cs="Times New Roman" w:eastAsia="Times New Roman"/>
            <w:color w:val="0000FF"/>
            <w:spacing w:val="0"/>
            <w:position w:val="0"/>
            <w:sz w:val="24"/>
            <w:u w:val="single"/>
            <w:shd w:fill="auto" w:val="clear"/>
          </w:rPr>
          <w:t xml:space="preserve">cod=76</w:t>
        </w:r>
        <w:r>
          <w:rPr>
            <w:rFonts w:ascii="Times New Roman" w:hAnsi="Times New Roman" w:cs="Times New Roman" w:eastAsia="Times New Roman"/>
            <w:vanish/>
            <w:color w:val="0000FF"/>
            <w:spacing w:val="0"/>
            <w:position w:val="0"/>
            <w:sz w:val="24"/>
            <w:u w:val="single"/>
            <w:shd w:fill="auto" w:val="clear"/>
          </w:rPr>
          <w:t xml:space="preserve">HYPERLINK "http://www.editorazouk.com.br/trecho.asp?tipo=10&amp;cod=76&amp;rt=0"</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vanish/>
            <w:color w:val="0000FF"/>
            <w:spacing w:val="0"/>
            <w:position w:val="0"/>
            <w:sz w:val="24"/>
            <w:u w:val="single"/>
            <w:shd w:fill="auto" w:val="clear"/>
          </w:rPr>
          <w:t xml:space="preserve">HYPERLINK "http://www.editorazouk.com.br/trecho.asp?tipo=10&amp;cod=76&amp;rt=0"</w:t>
        </w:r>
        <w:r>
          <w:rPr>
            <w:rFonts w:ascii="Times New Roman" w:hAnsi="Times New Roman" w:cs="Times New Roman" w:eastAsia="Times New Roman"/>
            <w:color w:val="0000FF"/>
            <w:spacing w:val="0"/>
            <w:position w:val="0"/>
            <w:sz w:val="24"/>
            <w:u w:val="single"/>
            <w:shd w:fill="auto" w:val="clear"/>
          </w:rPr>
          <w:t xml:space="preserve">rt=0</w:t>
        </w:r>
      </w:hyperlink>
      <w:r>
        <w:rPr>
          <w:rFonts w:ascii="Times New Roman" w:hAnsi="Times New Roman" w:cs="Times New Roman" w:eastAsia="Times New Roman"/>
          <w:color w:val="auto"/>
          <w:spacing w:val="0"/>
          <w:position w:val="0"/>
          <w:sz w:val="24"/>
          <w:shd w:fill="auto" w:val="clear"/>
        </w:rPr>
        <w:t xml:space="preserve">. Acesso em: 04/10/2007.</w:t>
      </w:r>
      <w:r>
        <w:rPr>
          <w:rFonts w:ascii="Times New Roman" w:hAnsi="Times New Roman" w:cs="Times New Roman" w:eastAsia="Times New Roman"/>
          <w:b/>
          <w:color w:val="auto"/>
          <w:spacing w:val="0"/>
          <w:position w:val="0"/>
          <w:sz w:val="24"/>
          <w:shd w:fill="auto" w:val="clear"/>
        </w:rPr>
        <w:t xml:space="preserve"> </w:t>
      </w:r>
    </w:p>
    <w:p>
      <w:pPr>
        <w:keepNext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________</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Diferenças de gênero na escola: </w:t>
      </w:r>
      <w:r>
        <w:rPr>
          <w:rFonts w:ascii="Times New Roman" w:hAnsi="Times New Roman" w:cs="Times New Roman" w:eastAsia="Times New Roman"/>
          <w:color w:val="auto"/>
          <w:spacing w:val="0"/>
          <w:position w:val="0"/>
          <w:sz w:val="24"/>
          <w:shd w:fill="auto" w:val="clear"/>
        </w:rPr>
        <w:t xml:space="preserve">Interiorização do masculino e do feminino. Disponível em: </w:t>
      </w:r>
      <w:hyperlink xmlns:r="http://schemas.openxmlformats.org/officeDocument/2006/relationships" r:id="docRId239">
        <w:r>
          <w:rPr>
            <w:rFonts w:ascii="Times New Roman" w:hAnsi="Times New Roman" w:cs="Times New Roman" w:eastAsia="Times New Roman"/>
            <w:color w:val="0000FF"/>
            <w:spacing w:val="0"/>
            <w:position w:val="0"/>
            <w:sz w:val="24"/>
            <w:u w:val="single"/>
            <w:shd w:fill="auto" w:val="clear"/>
          </w:rPr>
          <w:t xml:space="preserve">http://www.anped.org.br/reunioes/28/textos/ge23/ge231085int.doc</w:t>
        </w:r>
      </w:hyperlink>
      <w:r>
        <w:rPr>
          <w:rFonts w:ascii="Times New Roman" w:hAnsi="Times New Roman" w:cs="Times New Roman" w:eastAsia="Times New Roman"/>
          <w:color w:val="auto"/>
          <w:spacing w:val="0"/>
          <w:position w:val="0"/>
          <w:sz w:val="24"/>
          <w:shd w:fill="auto" w:val="clear"/>
        </w:rPr>
        <w:t xml:space="preserve">. Acesso em: 21/07/2008.</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TEIXEIRA,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Flavia do Bonsucesso. </w:t>
      </w:r>
      <w:r>
        <w:rPr>
          <w:rFonts w:ascii="Times New Roman" w:hAnsi="Times New Roman" w:cs="Times New Roman" w:eastAsia="Times New Roman"/>
          <w:b/>
          <w:color w:val="auto"/>
          <w:spacing w:val="0"/>
          <w:position w:val="0"/>
          <w:sz w:val="24"/>
          <w:shd w:fill="auto" w:val="clear"/>
        </w:rPr>
        <w:t xml:space="preserve">Brinquedos e brincadeiras infantis</w:t>
      </w:r>
      <w:r>
        <w:rPr>
          <w:rFonts w:ascii="Times New Roman" w:hAnsi="Times New Roman" w:cs="Times New Roman" w:eastAsia="Times New Roman"/>
          <w:color w:val="auto"/>
          <w:spacing w:val="0"/>
          <w:position w:val="0"/>
          <w:sz w:val="24"/>
          <w:shd w:fill="auto" w:val="clear"/>
        </w:rPr>
        <w:t xml:space="preserve">: entre diferenças e desigualdades. Disponível em: </w:t>
      </w:r>
      <w:hyperlink xmlns:r="http://schemas.openxmlformats.org/officeDocument/2006/relationships" r:id="docRId240">
        <w:r>
          <w:rPr>
            <w:rFonts w:ascii="Times New Roman" w:hAnsi="Times New Roman" w:cs="Times New Roman" w:eastAsia="Times New Roman"/>
            <w:color w:val="0000FF"/>
            <w:spacing w:val="0"/>
            <w:position w:val="0"/>
            <w:sz w:val="24"/>
            <w:u w:val="single"/>
            <w:shd w:fill="auto" w:val="clear"/>
          </w:rPr>
          <w:t xml:space="preserve">http://www.ichs.ufop.br/conifes/anais/EDU/edu0204.htm</w:t>
        </w:r>
      </w:hyperlink>
      <w:r>
        <w:rPr>
          <w:rFonts w:ascii="Times New Roman" w:hAnsi="Times New Roman" w:cs="Times New Roman" w:eastAsia="Times New Roman"/>
          <w:color w:val="auto"/>
          <w:spacing w:val="0"/>
          <w:position w:val="0"/>
          <w:sz w:val="24"/>
          <w:shd w:fill="auto" w:val="clear"/>
        </w:rPr>
        <w:t xml:space="preserve">. Acesso em:</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07/10/2008.</w:t>
      </w:r>
    </w:p>
    <w:p>
      <w:pPr>
        <w:tabs>
          <w:tab w:val="left" w:pos="2520" w:leader="none"/>
        </w:tabs>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TOSCANO, Moema.</w:t>
      </w:r>
      <w:r>
        <w:rPr>
          <w:rFonts w:ascii="Times New Roman" w:hAnsi="Times New Roman" w:cs="Times New Roman" w:eastAsia="Times New Roman"/>
          <w:b/>
          <w:color w:val="auto"/>
          <w:spacing w:val="0"/>
          <w:position w:val="0"/>
          <w:sz w:val="24"/>
          <w:shd w:fill="auto" w:val="clear"/>
        </w:rPr>
        <w:t xml:space="preserve"> Estereótipos Sexuais na Educação: </w:t>
      </w:r>
      <w:r>
        <w:rPr>
          <w:rFonts w:ascii="Times New Roman" w:hAnsi="Times New Roman" w:cs="Times New Roman" w:eastAsia="Times New Roman"/>
          <w:color w:val="auto"/>
          <w:spacing w:val="0"/>
          <w:position w:val="0"/>
          <w:sz w:val="24"/>
          <w:shd w:fill="auto" w:val="clear"/>
        </w:rPr>
        <w:t xml:space="preserve">Um Manual Para o Educador. Petrópolis-RJ, Vozes, 2000. </w:t>
      </w:r>
    </w:p>
    <w:p>
      <w:pPr>
        <w:tabs>
          <w:tab w:val="left" w:pos="2520" w:leader="none"/>
        </w:tabs>
        <w:spacing w:before="0" w:after="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VIÉGAS, Lygia de Sousa. </w:t>
      </w:r>
      <w:r>
        <w:rPr>
          <w:rFonts w:ascii="Times New Roman" w:hAnsi="Times New Roman" w:cs="Times New Roman" w:eastAsia="Times New Roman"/>
          <w:b/>
          <w:color w:val="auto"/>
          <w:spacing w:val="0"/>
          <w:position w:val="0"/>
          <w:sz w:val="24"/>
          <w:shd w:fill="auto" w:val="clear"/>
        </w:rPr>
        <w:t xml:space="preserve">Reflexões sobre a pesquisa etnográfica em Psicologia e Educação.</w:t>
      </w:r>
      <w:r>
        <w:rPr>
          <w:rFonts w:ascii="Times New Roman" w:hAnsi="Times New Roman" w:cs="Times New Roman" w:eastAsia="Times New Roman"/>
          <w:color w:val="auto"/>
          <w:spacing w:val="0"/>
          <w:position w:val="0"/>
          <w:sz w:val="24"/>
          <w:shd w:fill="auto" w:val="clear"/>
        </w:rPr>
        <w:t xml:space="preserve"> Diálogos Possíveis (FSBA), v. 1, p. 101-123, 2007. Disponível em: </w:t>
      </w:r>
      <w:hyperlink xmlns:r="http://schemas.openxmlformats.org/officeDocument/2006/relationships" r:id="docRId241">
        <w:r>
          <w:rPr>
            <w:rFonts w:ascii="Times New Roman" w:hAnsi="Times New Roman" w:cs="Times New Roman" w:eastAsia="Times New Roman"/>
            <w:color w:val="0000FF"/>
            <w:spacing w:val="0"/>
            <w:position w:val="0"/>
            <w:sz w:val="24"/>
            <w:u w:val="single"/>
            <w:shd w:fill="auto" w:val="clear"/>
          </w:rPr>
          <w:t xml:space="preserve">http://www.fsba.edu.br/dialogospossiveis/artigos/10/09.pdf</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  INTRODUÇÃO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mudanças conferidas ao tratamento do transtorno mental, advindas do Movimento de Reforma Psiquiátrica, culminaram na substituição das antigas formas de atendimento, tais como internações hospitalares e instituições manicomiais, por novas modalidades, a exemplo dos Hospitais – Dia, lares protegidos, Núcleos e Centros de Atenção Psicossocial (NAPS e CAPS).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Essas transformações, no campo da saúde mental, colocaram os familiares como protagonistas. Participando ativa e decisivamente para efetivar o tratamento e a socialização do portador de transtorno mental (MORENO, 2009). </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responsabilidade atribuída à família, com relação ao cuidado do portador de transtorno mental, as mudanças ocorridas no interior dessa instituição e a sobrecarga de atividades desempenhadas pelo grupo familiar, desencadeou a crise doméstica na provisão dos cuidados. Surgiu assim, a necessidade de reflexão sobre a quem caberia a responsabilidade do cuidar, tomando como eixo central as relações de gênero (ROSA, 2009).</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Embora a sociedade contemporânea propague a ideia de igualdade entre os gêneros, o que se presencia, atualmente, é que essa concepção não foi totalmente incorporada, no que diz respeito à divisão sexual do trabalho na esfera pública e privada.  </w:t>
      </w:r>
    </w:p>
    <w:p>
      <w:pPr>
        <w:spacing w:before="0" w:after="200" w:line="360"/>
        <w:ind w:right="0" w:left="0" w:firstLine="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Ridenti (1998) chama atenção para o reflexo da tradição patriarcal na divisão das atividades domésticas, em que a mulher é incumbida do cuidado dos filhos, como uma vocação natural de seu gênero; já ao homem é gerada a expectativa do provimento econômico. Esse fato seria consequência da socialização de homens e mulheres de acordo com seu sexo. </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sociedade atual, no entanto, há indícios do desejo masculino em ampliar seu envolvimento na criação dos filhos. Esse fenômeno foi detectado no Centro Campinense de Intervenção Precoce (CAPSi). Nessa instituição, embora haja a predominância feminina na condição de cuidadoras, já se encontram homens que assumiram essa função, fato que chamou-nos a atenção, durante o período de estágio curricular no local, realizado no período de agosto de 2008 a novembro de 2009.</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Surgiu, assim, da convivência com os familiares cuidadores (as), a necessidade de aprofundamento na análise do cuidado, enfocando a relação de gênero, questão pouco discutida no âmbito acadêmico.</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 OBJETIVOS</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5835"/>
        </w:numPr>
        <w:spacing w:before="0" w:after="200" w:line="360"/>
        <w:ind w:right="0" w:left="142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Analisar se homem e mulheres vivenciam o cuidar do portador de transtorno mental, de forma diferenciada;</w:t>
      </w:r>
    </w:p>
    <w:p>
      <w:pPr>
        <w:numPr>
          <w:ilvl w:val="0"/>
          <w:numId w:val="5835"/>
        </w:numPr>
        <w:spacing w:before="0" w:after="200" w:line="360"/>
        <w:ind w:right="0" w:left="142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Investigar as razões que induziram os cuidadores (as) a assumir tal função;</w:t>
      </w:r>
    </w:p>
    <w:p>
      <w:pPr>
        <w:numPr>
          <w:ilvl w:val="0"/>
          <w:numId w:val="5835"/>
        </w:numPr>
        <w:spacing w:before="0" w:after="200" w:line="360"/>
        <w:ind w:right="0" w:left="1425"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Evidenciar a questão de gênero no contexto da saúde mental, tema cuja produção acadêmica é bastante restrita.</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III METODOLOGIA</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Trata-se de uma pesquisa exploratória de natureza quantiqualitativa, submetida à análise de conteúdo. Segundo Triviños (1987), esta técnica propicia a sistematização e análise das informações adquiridas de dados quantitativos e qualitativos.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Utilizamos como instrumento de coleta de dados a entrevista semiestruturada, guiada por uma relação de pontos que permitiu-nos atingir os objetivos propostos.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Caracterizaram os critérios de inclusão cuidadores (as) que participavam do Grupo de Família do CAPSi – Centro Campinense de Intervenção Precoce,  no período compreendido entre agosto e novembro de 2009. Foram excluídos da pesquisa, os cuidadores (as) que se que negaram a assinar o Termo de Consentimento Livre e Esclarecido, respeitando assim, a Resolução 196/96 do Conselho Nacional de Saúde, que assegura o sigilo das informações coletadas, o anonimato do entrevistados e o acesso aos mesmo dos resultados obtidos.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amostra foi do tipo probabilística intencional, composta por 16 cuidadores (as) sendo em igual número homens e mulheres, visto que nosso objetivo era a comparação de dados em decorrência do gênero.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IV RESULTADOS DA PESQUISA E DISCUSSÃO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Através das entrevistas com os (as) cuidadores (as) dos usuários do CAPSi, além da análise da questão de gênero no contexto da saúde mental, foi possível traçar o perfil dos cuidadores (as).</w:t>
      </w:r>
    </w:p>
    <w:p>
      <w:pPr>
        <w:spacing w:before="0" w:after="0" w:line="360"/>
        <w:ind w:right="0" w:left="0" w:firstLine="708"/>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amostra foi investigada quanto às seguintes variáveis: sexo, idade, tipo de família, escolaridade, grau de parentesco e renda mensal familiar. </w:t>
      </w:r>
      <w:r>
        <w:rPr>
          <w:rFonts w:ascii="Times New Roman" w:hAnsi="Times New Roman" w:cs="Times New Roman" w:eastAsia="Times New Roman"/>
          <w:color w:val="FF0000"/>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Ressaltamos que no CAPSi,  aproximadamente 90% dos acompanhantes dos usuários são cuidadoras, sendo apenas 10% cuidadores, no entanto, como já mencionamos na metodologia utilizada para esta pesquisa, escolhemos intencionalmente a amostra de 8 homens e 8 mulheres, visto que nosso objetivo esta relacionado a comparação de dados.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Analisamos inicialmente a tipologia das famílias dos usuários. Kaslow (2001) </w:t>
      </w:r>
      <w:r>
        <w:rPr>
          <w:rFonts w:ascii="Times New Roman" w:hAnsi="Times New Roman" w:cs="Times New Roman" w:eastAsia="Times New Roman"/>
          <w:i/>
          <w:color w:val="auto"/>
          <w:spacing w:val="0"/>
          <w:position w:val="0"/>
          <w:sz w:val="24"/>
          <w:shd w:fill="auto" w:val="clear"/>
        </w:rPr>
        <w:t xml:space="preserve">apud</w:t>
      </w:r>
      <w:r>
        <w:rPr>
          <w:rFonts w:ascii="Times New Roman" w:hAnsi="Times New Roman" w:cs="Times New Roman" w:eastAsia="Times New Roman"/>
          <w:color w:val="auto"/>
          <w:spacing w:val="0"/>
          <w:position w:val="0"/>
          <w:sz w:val="24"/>
          <w:shd w:fill="auto" w:val="clear"/>
        </w:rPr>
        <w:t xml:space="preserve"> Szymanski (2002) identificou nove tipos de composição familiar, classificadas da seguinte forma: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Quadro Nº1: As Várias configurações de famílias</w:t>
      </w:r>
    </w:p>
    <w:tbl>
      <w:tblPr/>
      <w:tblGrid>
        <w:gridCol w:w="3369"/>
        <w:gridCol w:w="5811"/>
      </w:tblGrid>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TIPO DE FAMÍLIA</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DESCRIÇÃO</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 nuclear</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formadas por um casal com filhos biológicos.</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extensas</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formadas por três ou quatro gerações.</w:t>
            </w:r>
          </w:p>
        </w:tc>
      </w:tr>
      <w:tr>
        <w:trPr>
          <w:trHeight w:val="331" w:hRule="auto"/>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Famílias adotivas temporárias</w:t>
            </w:r>
          </w:p>
          <w:p>
            <w:pPr>
              <w:spacing w:before="0" w:after="0" w:line="360"/>
              <w:ind w:right="0" w:left="0" w:firstLine="0"/>
              <w:jc w:val="both"/>
              <w:rPr>
                <w:color w:val="auto"/>
                <w:spacing w:val="0"/>
                <w:position w:val="0"/>
                <w:shd w:fill="auto" w:val="clear"/>
              </w:rPr>
            </w:pP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formadas por um casal com filho não biológico temporariamente</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adotivas bi-raciais ou multiculturais;</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compostas por diversas etnias sem relação de parentesco</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Casais</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Homem e mulher com relação estável sem filhos</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monoparentais chefiadas por pai ou mãe;</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Pai/Mãe com filhos biológicos </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Casais homossexuais com ou sem crianças</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União estável de duas pessoas do mesmo sexo, com ou sem filhos adotivos</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Famílias reconstituídas </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Rearranjos familiares após o divórcio, unindo fragmentos de famílias distintas</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Várias pessoas vivendo juntas</w:t>
            </w:r>
          </w:p>
        </w:tc>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Pessoas que vivem juntas, sem laços legais, mas com forte compromisso mútuo.</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Fonte: Revista Quadrimestral de Serviço Social, 2002.</w:t>
      </w:r>
    </w:p>
    <w:p>
      <w:pPr>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Conforme a Figura 1, constatamos a prevalência da família nuclear (63%), porém salientamos que as demais configurações de família detectadas em um universo amostral tão pequeno, aponta para diversidade de famílias, natural da contemporâneidade. Observamos também que o segundo maior número de famílias (13%), são as monoparentais chefiadas por mulheres. </w:t>
      </w:r>
    </w:p>
    <w:p>
      <w:pPr>
        <w:tabs>
          <w:tab w:val="left" w:pos="2004" w:leader="none"/>
        </w:tabs>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r>
    </w:p>
    <w:p>
      <w:pPr>
        <w:spacing w:before="0" w:after="0" w:line="36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 Figura 1: tipologia das família dos usuários do CAPSi</w:t>
      </w:r>
    </w:p>
    <w:p>
      <w:pPr>
        <w:spacing w:before="0" w:after="0" w:line="36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 Fonte: CAPSi – Centro Campinense de Intervenção Precoce, 2009.</w:t>
      </w:r>
    </w:p>
    <w:p>
      <w:pPr>
        <w:spacing w:before="0" w:after="0" w:line="36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ab/>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mudanças na sociedade contemporânea afetaram diretamente a dinâmica familiar. O declínio da taxa de uniões formais e o aumento do divórcio propiciaram novos modelos familiares e ascensão das famílias monoparentais – famílias compostas por pai ou mãe e filhos - extinguiram assim, a concepção de família como instituição formada obrigatoriamente por dois adultos com filhos, coabitando no mesmo espaço doméstico (GIDDENS, 2005).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Dados do IBGE (2003) constataram na sociedade brasileira o número de famílias nucleares diminuiu ao mesmo tempo em que aumentou a proporção de outros tipos de composição familiar.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 acordo com a pesquisa acima citada, a redução no tamanho das famílias pode ser explicada, sobretudo, pela acentuada queda na taxa de fecundidade, consequência de fatores como: a mudança de valores culturais do brasileiro e o ingresso maciço de mulheres no mercado de trabalho.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Ao indagarmos aos cuidadores (as) das famílias monoparentais, sobre o envolvimento dos ex companheiros (as) no tratamento e na vida da criança, eles informaram que a participação destes era pouca ou nenhuma. Este fenômeno foi denominado por Giddens (2005) como “pai ausente”. Se antes o pai principal provedor só via o filho a noite e nos finais de semana, com o aumento da taxa de divorcio nos últimos anos, o problema do pai ausente assume um novo significado, tornou-se resultado da separação, são pais que mantém raro ou nenhum contato com os filhos.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referido autor, no entanto só mencionou o fenômeno na perspectiva da figura masculina.  Porém através da pesquisa percebemos que embora em menor número, também há casos em que ocorre essa quebra de vínculo da mulher com sua prole.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No tocante à distribuição dos cuidadores (as) por idade, observamos que 87,5% dos cuidadores (as) estão incluídos na faixa etária de 25-49 anos de idade. De acordo com o censo do IBGE (2003) esta faixa etária correspondia a 63% da população ocupada brasileira. Desse modo, entendemos, porque os (as) cuidadores (as) quando questionados sobre as dificuldades de cuidar de PTM, afirmaram ser o fato de abdicarem do trabalho. Como podemos constatar na seguinte falas: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283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mais difícil é cuidar né rapaz, porque você não pode fazer suas coisas, não pode trabalhar, tem que prestar atenção para não acontecer alguma coisa! (Entrevistado 4 )</w:t>
      </w:r>
    </w:p>
    <w:p>
      <w:pPr>
        <w:spacing w:before="0" w:after="200" w:line="240"/>
        <w:ind w:right="0" w:left="283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283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Eu sempre trabalhei e tive que parar por causa dele!  (Entrevistado 15)</w:t>
      </w:r>
    </w:p>
    <w:p>
      <w:pPr>
        <w:spacing w:before="0" w:after="200" w:line="240"/>
        <w:ind w:right="0" w:left="2832"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Conjuntamente com fato da não inserção no mercado de trabalho, durante a idade produtiva, surgem outros agravantes, tais como as questões econômicas e o embate entre a garantia do custeio da subsistência em detrimento a responsabilidade do cuidado.</w:t>
      </w:r>
    </w:p>
    <w:p>
      <w:pPr>
        <w:spacing w:before="0" w:after="0" w:line="360"/>
        <w:ind w:right="0" w:left="172"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Constatamos na pesquisa, que aproximadamente 45% dos cuidadores (as) dispõem de apenas 1 salário mínimo como renda familiar mensal. Tal fato é decorrente também, dentre outros motivos, da necessidade de um dos familiares do PTM, ter que dedicar-se em tempo integral ao cuidado do mesmo.</w:t>
      </w:r>
    </w:p>
    <w:p>
      <w:pPr>
        <w:spacing w:before="0" w:after="0" w:line="360"/>
        <w:ind w:right="0" w:left="172"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acordo com Koenig (1970), a partir da década de 90, após as transformações econômicas vigentes, a única forma de assegurar o sustento da família passou a ser a soma dos salários de homens e mulheres. Diante da impossibilidade da soma das rendas, temos uma maior pauperização na conjuntura familiar. Salientemos que este fator não é o único determinante para precarização financeira da família. </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Região Nordeste tem os menores índices de renda familiar de todo o país, sendo essa situação, reflexo de todo um ciclo: baixo nível de escolaridade que dificulta a preparação para a vida profissional da população, fazendo com que esta disponha de baixa renda.</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Nas entrevistas averiguamos o nível de escolaridade dos cuidadores (as), e observamos que nenhum possui ensino superior. A maior parcela (43,7%) não concluiu o Ensino Fundamental. Esse fator se reflete também nas oportunidades do mercado de trabalho, assim os cuidadores (as) que desenvolvem alguma atividade remunerada relataram, durante o período de estágio na instituição, que estão inseridos no mercado informal, outros afirmaram ainda que mantêm o provimento de sua família, apenas com o benefício recebido pelo portador de transtorno mental foi o caso das mulheres chefes de famílias monoparentais.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Rosa (2009) afirma que a sobrecarga nos cuidadores (as) de baixa renda, é ainda maior, pois estes enfrentam a dificuldade financeira de manutenção do tratamento da criança.</w:t>
      </w:r>
    </w:p>
    <w:p>
      <w:pPr>
        <w:spacing w:before="0" w:after="0" w:line="360"/>
        <w:ind w:right="-1"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Sabemos que os recursos financeiros são determinantes em qualquer idade porque afetam as condições de alimentação, saúde, moradia e segurança. A sobrecarga proveniente da baixa renda das famílias dificulta o convívio com o portador de transtorno mental, tanto por fatores de ordem emocional, como também por motivos financeiros, devido ao fato de terem que prover as necessidades de uma criança/ adolescente carente de cuidados especiais.</w:t>
      </w:r>
    </w:p>
    <w:p>
      <w:pPr>
        <w:spacing w:before="0" w:after="0" w:line="360"/>
        <w:ind w:right="-1"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ao grau de parentesco entre o cuidador (a) e o PTM, comprovamos que 100% dos cuidadores são pais das crianças/adolescentes em tratamento, já as mulheres possuem outro grau de parentesco com a criança. Assim, confirmamos o que Giddens (2005) caracterizou como atividade assistencialista, como essencialmente feminina independente do seu grau de parentesco com o indivíduo em questão. </w:t>
      </w:r>
    </w:p>
    <w:p>
      <w:pPr>
        <w:spacing w:before="0" w:after="0" w:line="360"/>
        <w:ind w:right="0" w:left="0" w:firstLine="708"/>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Rosa (2009) chama a atenção ao fato dos cuidadores (as)  não dividirem de forma equivalente os cuidados relacionados ao  portador de transtorno mental com outra pessoa. Salientando que esse fenômeno é mais acentuado no caso das mulheres cuidadoras, principalmente no caso de serem mães ou avós dos PTM. As mulheres tomam para si as atividades mais pesadas, como se fossem sua obrigação, em virtude do laço maternal que geram com seus filhos ou netos. Os homens só assumem as atividades domésticas e o papel de cuidador quando as mulheres da família, por algum motivo, estão impossibilitadas de executar tais funções. </w:t>
      </w:r>
    </w:p>
    <w:p>
      <w:pPr>
        <w:spacing w:before="0" w:after="0" w:line="360"/>
        <w:ind w:right="0" w:left="0" w:firstLine="708"/>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Como podemos verificar nas seguintes respostas dos cuidadores (as) quando questionados sobre os motivos pelos quais assumem a função de acompanhar a criança/adolescente em tratamento:</w:t>
      </w:r>
    </w:p>
    <w:p>
      <w:pPr>
        <w:spacing w:before="0" w:after="0" w:line="276"/>
        <w:ind w:right="0" w:left="2832"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Sou eu, porque não tem outra pessoa... mas quem tem uma mulher que tem saúde, tem que ser a mãe que tem que vir. A obrigação é da mãe e não do pai, o pai vem porque é obrigado,mas quem tem uma filha mais velha por exemplo tem que colocar ela pra vim...eu venho porque é jeito,mas é obrigação da mãe (Entrevistado 4)</w:t>
      </w:r>
    </w:p>
    <w:p>
      <w:pPr>
        <w:spacing w:before="0" w:after="0" w:line="276"/>
        <w:ind w:right="0" w:left="2832"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Assim, todos os homens entrevistados apontaram como principal causa de assumirem o acompanhamento da criança/adolescente no CAPSi a ausência da mãe ou outra figura feminina, não estarem aptas a fazê-lo no seu contexto familiar.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a mesma lógica, as mulheres afirmaram que são as responsáveis pelo cuidado do PTM, ressaltando a falta de interesse do parceiro no acompanhamento do tratamento da criança/adolescente. E assim nos relataram:</w:t>
      </w:r>
    </w:p>
    <w:p>
      <w:pPr>
        <w:spacing w:before="0" w:after="0" w:line="276"/>
        <w:ind w:right="0" w:left="2124" w:firstLine="708"/>
        <w:jc w:val="both"/>
        <w:rPr>
          <w:rFonts w:ascii="Times New Roman" w:hAnsi="Times New Roman" w:cs="Times New Roman" w:eastAsia="Times New Roman"/>
          <w:color w:val="auto"/>
          <w:spacing w:val="0"/>
          <w:position w:val="0"/>
          <w:sz w:val="20"/>
          <w:shd w:fill="auto" w:val="clear"/>
        </w:rPr>
      </w:pPr>
    </w:p>
    <w:p>
      <w:pPr>
        <w:spacing w:before="0" w:after="200" w:line="276"/>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Sou eu, o pai não quer vir de jeito nenhum. Ele veio uma vez, participou do grupo de família, mas ele não quer vir não. Toda vez que eu falo pra ele vir ele inventa uma desculpa (Entrevistada 16).</w:t>
      </w:r>
    </w:p>
    <w:p>
      <w:pPr>
        <w:spacing w:before="0" w:after="200" w:line="276"/>
        <w:ind w:right="0" w:left="2832"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Quando ocorre a identificação de um portador de transtorno mental na família, a tendência natural do processo de cuidado se direciona para a família consangüínea, mais precisamente à figura da mulher. Despreza-se, assim, a complexidade do cuidado doméstico ao portador de transtorno mental, além das emoções e frustrações enfrentadas no processo do cuidado (ROSA, 2009).</w:t>
      </w:r>
      <w:r>
        <w:rPr>
          <w:rFonts w:ascii="Times New Roman" w:hAnsi="Times New Roman" w:cs="Times New Roman" w:eastAsia="Times New Roman"/>
          <w:color w:val="auto"/>
          <w:spacing w:val="0"/>
          <w:position w:val="0"/>
          <w:sz w:val="20"/>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Maurin e Boyd (1990) </w:t>
      </w:r>
      <w:r>
        <w:rPr>
          <w:rFonts w:ascii="Times New Roman" w:hAnsi="Times New Roman" w:cs="Times New Roman" w:eastAsia="Times New Roman"/>
          <w:i/>
          <w:color w:val="auto"/>
          <w:spacing w:val="0"/>
          <w:position w:val="0"/>
          <w:sz w:val="24"/>
          <w:shd w:fill="auto" w:val="clear"/>
        </w:rPr>
        <w:t xml:space="preserve">apud</w:t>
      </w:r>
      <w:r>
        <w:rPr>
          <w:rFonts w:ascii="Times New Roman" w:hAnsi="Times New Roman" w:cs="Times New Roman" w:eastAsia="Times New Roman"/>
          <w:color w:val="auto"/>
          <w:spacing w:val="0"/>
          <w:position w:val="0"/>
          <w:sz w:val="24"/>
          <w:shd w:fill="auto" w:val="clear"/>
        </w:rPr>
        <w:t xml:space="preserve"> Barroso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(2007, p.271) afirmam que “tornar-se cuidador de um paciente psiquiátrico requer que os familiares coloquem suas necessidades e desejos em segundo plano”. </w:t>
      </w:r>
    </w:p>
    <w:p>
      <w:pPr>
        <w:spacing w:before="0" w:after="0" w:line="360"/>
        <w:ind w:right="0" w:left="0" w:firstLine="708"/>
        <w:jc w:val="both"/>
        <w:rPr>
          <w:rFonts w:ascii="Times New Roman" w:hAnsi="Times New Roman" w:cs="Times New Roman" w:eastAsia="Times New Roman"/>
          <w:caps w:val="true"/>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Soares e Munari (20070 afirmam a existência de duas dimensões de sobrecarga: a objetiva e a subjetiva. A primeira diz respeito às consequências perceptíveis visivelmente, como mudanças na rotina e redução da vida social e profissional. A segunda refere-se à preocupações, sentimentos negativos e o incômodo gerado pela responsabilidade do cuidado de um paciente psiquiátrico.</w:t>
      </w:r>
    </w:p>
    <w:p>
      <w:pPr>
        <w:spacing w:before="0" w:after="0" w:line="360"/>
        <w:ind w:right="0" w:left="0" w:firstLine="708"/>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Colvero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(2004), em sua pesquisa, constatou que os cuidadores (as) se sentiam mais sobrecarregados com a relação de extrema dependência material e afetiva, além da ausência evolutiva do portador de transtorno mental, apesar do esforço empenhando pelo cuidador</w:t>
      </w:r>
      <w:r>
        <w:rPr>
          <w:rFonts w:ascii="Arial" w:hAnsi="Arial" w:cs="Arial" w:eastAsia="Arial"/>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Assim, fazia dessa responsabilidade algo doloroso, e era visto como um esforço não reconhecido, nem retribuído e sem sentido.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a rotina de cuidados - a rotina de cuidados se refere aqui, a questão da alimentação, banho, auxílio ao deslocamento e cuidados com a medicação da criança -  93 % dos cuidadores afirmaram que a mulher é a responsável pela rotina de cuidados no âmbito doméstico, sendo a participação masculina neste sentido relacionada ao lazer. Como afirma o entrevistado a baixo:</w:t>
      </w:r>
    </w:p>
    <w:p>
      <w:pPr>
        <w:spacing w:before="0" w:after="20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sempre eu passeio com ela e de manhã ela se acorda, aí a mãe vai com ela escovar os dentes, ensinar a ela, aí ela vai tomar café [...] ( Entrevistado 3)  </w:t>
      </w:r>
    </w:p>
    <w:p>
      <w:pPr>
        <w:tabs>
          <w:tab w:val="left" w:pos="2325" w:leader="none"/>
        </w:tabs>
        <w:spacing w:before="0" w:after="200" w:line="360"/>
        <w:ind w:right="0" w:left="0" w:firstLine="709"/>
        <w:jc w:val="both"/>
        <w:rPr>
          <w:rFonts w:ascii="Times New Roman" w:hAnsi="Times New Roman" w:cs="Times New Roman" w:eastAsia="Times New Roman"/>
          <w:color w:val="auto"/>
          <w:spacing w:val="0"/>
          <w:position w:val="0"/>
          <w:sz w:val="22"/>
          <w:shd w:fill="auto" w:val="clear"/>
        </w:rPr>
      </w:pPr>
    </w:p>
    <w:p>
      <w:pPr>
        <w:tabs>
          <w:tab w:val="left" w:pos="2325" w:leader="none"/>
        </w:tabs>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único cuidador que assumiu a responsabilidade sobre a rotina de cuidados do filho é divorciado, mora sozinho com o filho e afirmou que a única figura feminina que poderia auxiliá-lo, que é a avó da criança em questão, não tem bom relacionamento com o menino, o que justificaria o motivo pelo qual ele não tem ajuda nesse sentido. Como podemos confirmar em seu discurso:</w:t>
      </w:r>
    </w:p>
    <w:p>
      <w:pPr>
        <w:tabs>
          <w:tab w:val="left" w:pos="2325" w:leader="none"/>
        </w:tabs>
        <w:spacing w:before="0" w:after="200" w:line="360"/>
        <w:ind w:right="0" w:left="0" w:firstLine="709"/>
        <w:jc w:val="both"/>
        <w:rPr>
          <w:rFonts w:ascii="Times New Roman" w:hAnsi="Times New Roman" w:cs="Times New Roman" w:eastAsia="Times New Roman"/>
          <w:color w:val="auto"/>
          <w:spacing w:val="0"/>
          <w:position w:val="0"/>
          <w:sz w:val="22"/>
          <w:shd w:fill="auto" w:val="clear"/>
        </w:rPr>
      </w:pPr>
    </w:p>
    <w:p>
      <w:pPr>
        <w:spacing w:before="0" w:after="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Sou eu, porque só tem eu. A minha família não ajuda não, minha mãe não pode nem ver ele, porque eles não se dão bem sabe?! (Entrevistado 5)</w:t>
      </w:r>
    </w:p>
    <w:p>
      <w:pPr>
        <w:tabs>
          <w:tab w:val="left" w:pos="2325" w:leader="none"/>
        </w:tabs>
        <w:spacing w:before="0" w:after="200" w:line="360"/>
        <w:ind w:right="0" w:left="0" w:firstLine="709"/>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relação as mulheres 100% em seu discurso afirmaram serem elas as responsáveis pela rotina de cuidados do PTM:</w:t>
      </w:r>
    </w:p>
    <w:p>
      <w:pPr>
        <w:spacing w:before="0" w:after="0" w:line="360"/>
        <w:ind w:right="0" w:left="0" w:firstLine="709"/>
        <w:jc w:val="both"/>
        <w:rPr>
          <w:rFonts w:ascii="Times New Roman" w:hAnsi="Times New Roman" w:cs="Times New Roman" w:eastAsia="Times New Roman"/>
          <w:color w:val="auto"/>
          <w:spacing w:val="0"/>
          <w:position w:val="0"/>
          <w:sz w:val="22"/>
          <w:shd w:fill="auto" w:val="clear"/>
        </w:rPr>
      </w:pPr>
    </w:p>
    <w:p>
      <w:pPr>
        <w:spacing w:before="0" w:after="200" w:line="276"/>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 gente se acorda, eu dou banho nele, ajeito ele e ele vai assistir TV[...] (Entrevistada 10).</w:t>
      </w:r>
    </w:p>
    <w:p>
      <w:pPr>
        <w:spacing w:before="0" w:after="0" w:line="360"/>
        <w:ind w:right="0" w:left="0" w:firstLine="709"/>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da análise das respostas do cuidadores (as), podemos constatar que o homem assume o cuidado quase que unanimemente no âmbito público, no caso aqui relatado, o CAPSi. A mulher, no entanto é cuidadora em tempo integral, o que torna sua sobrecarga maior.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século XVIII, a segregação dos gêneros em esfera pública e privada, demonstrava a divisão também existente no campo trabalhista: o homem assumiu o espaço público, o serviço remunerado, a condição de provedor da família e autoridade do lar, enquanto à mulher era reservado o ambiente privado, no qual eram realizados os serviços, denominados por Rosa (2009), como 'invisíveis', voltados para reprodução social do grupo familiar, administração do espaço doméstico, prestando cuidados ao marido e filhos.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divisão também demonstra as diferentes características atribuídas aos sexos: inteligência, controle emocional e virilidade estavam diretamente relacionados aos homens, enquanto a fragilidade, submissão e passionalidade, às mulheres.A respeito desse assunto, nos aponta Bourdieu (2003, p.20):</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diferença biológica entre os sexos, isto é, entre o corpo masculino e o corpo feminino, e, especificamente, a diferença anatômica entre os órgãos sexuais, pode assim ser vista como justificativa natural da diferença socialmente construída entre os gêneros e, principalmente da divisão social do trabalho. </w:t>
      </w:r>
    </w:p>
    <w:p>
      <w:pPr>
        <w:tabs>
          <w:tab w:val="center" w:pos="5951" w:leader="none"/>
        </w:tabs>
        <w:spacing w:before="0" w:after="200" w:line="276"/>
        <w:ind w:right="0" w:left="2124" w:firstLine="70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ab/>
        <w:tab/>
        <w:tab/>
      </w:r>
    </w:p>
    <w:p>
      <w:pPr>
        <w:tabs>
          <w:tab w:val="center" w:pos="5951" w:leader="none"/>
        </w:tabs>
        <w:spacing w:before="0" w:after="200" w:line="276"/>
        <w:ind w:right="0" w:left="2124" w:firstLine="708"/>
        <w:jc w:val="both"/>
        <w:rPr>
          <w:rFonts w:ascii="Times New Roman" w:hAnsi="Times New Roman" w:cs="Times New Roman" w:eastAsia="Times New Roman"/>
          <w:color w:val="auto"/>
          <w:spacing w:val="0"/>
          <w:position w:val="0"/>
          <w:sz w:val="20"/>
          <w:shd w:fill="auto" w:val="clear"/>
        </w:rPr>
      </w:pPr>
    </w:p>
    <w:p>
      <w:pPr>
        <w:spacing w:before="0" w:after="200" w:line="276"/>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fato também é percebido por Giddens (2005, p.107), quando assim declara:</w:t>
      </w:r>
    </w:p>
    <w:p>
      <w:pPr>
        <w:spacing w:before="0" w:after="0" w:line="240"/>
        <w:ind w:right="0" w:left="2829"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Os papéis dos homens, são em geral, muito mais valorizados e recompensados que os papéis das mulheres: em quase todas a culturas, as mulheres carregam a responsabilidade principal de cuidar das crianças e do trabalho doméstico, enquanto os homens, nascem tradicionalmente com a responsabilidade de sustentar a família. A preponderante divisão de trabalho entre os sexos levou homens e mulheres a assumir posições desiguais em termos de poder, prestígio e riqueza.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comportamento seria, ainda segundo o referido autor, fruto da socialização de gênero, que compreenderia homens e mulheres integrados em papéis diferenciados, através de incentivo ou repressão da sociedade a determinados comportamentos: “O mundo social constrói o corpo como realidade sexuada e como depositários de princípios de visão e de divisão sexualizante” (BOURDIEU, 2003, p.18).</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fato teria repercussão acentuada na participação na dinâmica familiar. Onde percebemos que dificilmente o homem tem sua rotina moldada às necessidades do lar. Já a mulher tem sua rotina adequada as necessidades do lar. Percebemos assim as disparidades advindas das relações de gênero as quais persistem na contemporaneidade.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2"/>
          <w:shd w:fill="auto" w:val="clear"/>
        </w:rPr>
        <w:tab/>
      </w:r>
      <w:r>
        <w:rPr>
          <w:rFonts w:ascii="Times New Roman" w:hAnsi="Times New Roman" w:cs="Times New Roman" w:eastAsia="Times New Roman"/>
          <w:color w:val="auto"/>
          <w:spacing w:val="0"/>
          <w:position w:val="0"/>
          <w:sz w:val="24"/>
          <w:shd w:fill="auto" w:val="clear"/>
        </w:rPr>
        <w:t xml:space="preserve">A esfera doméstica é o âmbito em que o PTM passa a maior parte do seu tempo. Esse lócus engloba todas as atividades cotidianas da criança/adolescente, assim é nesse âmbito que a figura do cuidador necessita de auxílio.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cuidador 3 afirma que na presença de outras figuras femininas elas conjuntamente proviam o cuidado ao PTM:</w:t>
      </w:r>
    </w:p>
    <w:p>
      <w:pPr>
        <w:spacing w:before="0" w:after="0" w:line="360"/>
        <w:ind w:right="0" w:left="0" w:firstLine="709"/>
        <w:jc w:val="both"/>
        <w:rPr>
          <w:rFonts w:ascii="Times New Roman" w:hAnsi="Times New Roman" w:cs="Times New Roman" w:eastAsia="Times New Roman"/>
          <w:color w:val="auto"/>
          <w:spacing w:val="0"/>
          <w:position w:val="0"/>
          <w:sz w:val="22"/>
          <w:shd w:fill="auto" w:val="clear"/>
        </w:rPr>
      </w:pPr>
    </w:p>
    <w:p>
      <w:pPr>
        <w:spacing w:before="0" w:after="0" w:line="276"/>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Agora quem faz as coisas sou só eu e a mãe. Tinham duas irmãs dela que ajudavam, mas ela foram morar fora (Entrevistado 3)</w:t>
      </w:r>
    </w:p>
    <w:p>
      <w:pPr>
        <w:spacing w:before="0" w:after="0" w:line="276"/>
        <w:ind w:right="0" w:left="2832"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A idéia da figura feminina enquanto provedora do cuidado, também está presente no discurso da entrevistada 7, como podemos observar a baixo:</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200" w:line="276"/>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Só eu. Olha isso aí foi bom você me perguntar viu?! eu nunca parei pra pensar nisso. Ter outra pessoa? Eu teria... Seria quem? Minha mãe né?? (Entrevistada 7)</w:t>
      </w:r>
    </w:p>
    <w:p>
      <w:pPr>
        <w:spacing w:before="0" w:after="200" w:line="276"/>
        <w:ind w:right="0" w:left="2832"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ab/>
      </w:r>
      <w:r>
        <w:rPr>
          <w:rFonts w:ascii="Times New Roman" w:hAnsi="Times New Roman" w:cs="Times New Roman" w:eastAsia="Times New Roman"/>
          <w:color w:val="auto"/>
          <w:spacing w:val="0"/>
          <w:position w:val="0"/>
          <w:sz w:val="24"/>
          <w:shd w:fill="auto" w:val="clear"/>
        </w:rPr>
        <w:t xml:space="preserve">A entrevistada 7 admite que nunca refletiu sobre o porquê dela ser a responsável pelo cuidado. Mas a primeira pessoa em que pensou para auxiliá-la, foi outra figura feminina, no caso sua mãe. Assim observamos que não são exclusivamente os homens que atribuem as tarefas domésticas as mulheres, mas elas próprias também reproduzem este pensamento.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Rosa (2009) considera esse fato como conseqüência da mulher esta associada a maternagem e por isso mais apta a responder pelo cuidado do filho, ou de outra pessoa em situação que requeira cuidado.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a mesma entrevistada, após ser questionada de quem seria a responsabilidade do cuidado ao PTM,  afirmou:</w:t>
      </w:r>
    </w:p>
    <w:p>
      <w:pPr>
        <w:spacing w:before="0" w:after="0" w:line="360"/>
        <w:ind w:right="0" w:left="0" w:firstLine="708"/>
        <w:jc w:val="both"/>
        <w:rPr>
          <w:rFonts w:ascii="Times New Roman" w:hAnsi="Times New Roman" w:cs="Times New Roman" w:eastAsia="Times New Roman"/>
          <w:color w:val="auto"/>
          <w:spacing w:val="0"/>
          <w:position w:val="0"/>
          <w:sz w:val="22"/>
          <w:shd w:fill="auto" w:val="clear"/>
        </w:rPr>
      </w:pPr>
    </w:p>
    <w:p>
      <w:pPr>
        <w:spacing w:before="0" w:after="200" w:line="276"/>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que sou a mãe no caso, e depois ele que é o pai [...] É obrigação dos dois, porque foi os dois que fez. Eu em primeiro lugar, porque eu sou a mãe né?! Eu tenho mais jeito, tenho amor, tenho atenção, carinho pra dar, entender, compreender o problema dela, o jeito dela agressivo (Entrevistada 7).</w:t>
      </w:r>
    </w:p>
    <w:p>
      <w:pPr>
        <w:spacing w:before="0" w:after="200" w:line="276"/>
        <w:ind w:right="0" w:left="2832" w:firstLine="0"/>
        <w:jc w:val="both"/>
        <w:rPr>
          <w:rFonts w:ascii="Times New Roman" w:hAnsi="Times New Roman" w:cs="Times New Roman" w:eastAsia="Times New Roman"/>
          <w:color w:val="auto"/>
          <w:spacing w:val="0"/>
          <w:position w:val="0"/>
          <w:sz w:val="20"/>
          <w:shd w:fill="auto" w:val="clear"/>
        </w:rPr>
      </w:pP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ab/>
      </w:r>
      <w:r>
        <w:rPr>
          <w:rFonts w:ascii="Times New Roman" w:hAnsi="Times New Roman" w:cs="Times New Roman" w:eastAsia="Times New Roman"/>
          <w:color w:val="auto"/>
          <w:spacing w:val="0"/>
          <w:position w:val="0"/>
          <w:sz w:val="24"/>
          <w:shd w:fill="auto" w:val="clear"/>
        </w:rPr>
        <w:t xml:space="preserve">A entrevistada 7 afirma que a mãe é a principal responsável pelo. Segundo Ridenti (1998), o âmbito doméstico é foco de tensão, pois em detrimento ao desejo feminino de compartilhar com os homens as responsabilidades familiares tem-se o sentimento da mulher de não abrir mão de um dos poucos espaços de poder que ela dispõe.</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Observamos deste modo, que não são os apenas os homens os responsáveis pela propagação e manutenção da imagem da mulher provedora de cuidados. Elas também contribuem, embora em menor proporção, para a difusão e permanência da relação mulher – cuidado.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Em detrimento ao caso mencionado a cima, outros cuidadores afirmaram que recebem o incentivo feminino para participar nas atividades domésticas. E assim nos relataram:</w:t>
      </w:r>
    </w:p>
    <w:p>
      <w:pPr>
        <w:spacing w:before="0" w:after="20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mãe incentiva que eu faça as coisas, eu até participo de faxina com ela! (Entrevistado 11)</w:t>
      </w:r>
    </w:p>
    <w:p>
      <w:pPr>
        <w:spacing w:before="0" w:after="200" w:line="360"/>
        <w:ind w:right="0" w:left="2832" w:firstLine="0"/>
        <w:jc w:val="both"/>
        <w:rPr>
          <w:rFonts w:ascii="Times New Roman" w:hAnsi="Times New Roman" w:cs="Times New Roman" w:eastAsia="Times New Roman"/>
          <w:color w:val="auto"/>
          <w:spacing w:val="0"/>
          <w:position w:val="0"/>
          <w:sz w:val="22"/>
          <w:shd w:fill="auto" w:val="clear"/>
        </w:rPr>
      </w:pPr>
    </w:p>
    <w:p>
      <w:pPr>
        <w:spacing w:before="0" w:after="20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Todavia é perceptível também a tensão vivenciada pelo homem, pela expectativa que os filhos suscitam em torno da figura materna na realização das funções domésticas. Como afirma o entrevistado seguinte:</w:t>
      </w:r>
    </w:p>
    <w:p>
      <w:pPr>
        <w:spacing w:before="0" w:after="20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2832"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 maioria das coisas ele não gosta que eu faça, ele prefere a mãe dele,quando é comida e tal, ele não gosta que eu faça não, ele prefere a mãe dele mesmo (Entrevistado 1).</w:t>
      </w:r>
    </w:p>
    <w:p>
      <w:pPr>
        <w:spacing w:before="0" w:after="200" w:line="276"/>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FF0000"/>
          <w:spacing w:val="0"/>
          <w:position w:val="0"/>
          <w:sz w:val="22"/>
          <w:shd w:fill="auto" w:val="clear"/>
        </w:rPr>
        <w:tab/>
      </w:r>
      <w:r>
        <w:rPr>
          <w:rFonts w:ascii="Times New Roman" w:hAnsi="Times New Roman" w:cs="Times New Roman" w:eastAsia="Times New Roman"/>
          <w:color w:val="auto"/>
          <w:spacing w:val="0"/>
          <w:position w:val="0"/>
          <w:sz w:val="24"/>
          <w:shd w:fill="auto" w:val="clear"/>
        </w:rPr>
        <w:t xml:space="preserve">Assim entendemos que tanto homens como mulheres vivenciam as dificuldades de superação dos resquícios da família patriarcal, que disseminou a divisão sexual do trabalho na esfera doméstica e privada.</w:t>
      </w:r>
    </w:p>
    <w:p>
      <w:pPr>
        <w:spacing w:before="0" w:after="20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center"/>
        <w:rPr>
          <w:rFonts w:ascii="Times New Roman" w:hAnsi="Times New Roman" w:cs="Times New Roman" w:eastAsia="Times New Roman"/>
          <w:b/>
          <w:color w:val="FF0000"/>
          <w:spacing w:val="0"/>
          <w:position w:val="0"/>
          <w:sz w:val="24"/>
          <w:shd w:fill="auto" w:val="clear"/>
        </w:rPr>
      </w:pPr>
    </w:p>
    <w:p>
      <w:pPr>
        <w:spacing w:before="100" w:after="100" w:line="36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 CONCLUSÕES</w:t>
      </w:r>
    </w:p>
    <w:p>
      <w:pPr>
        <w:spacing w:before="100" w:after="100" w:line="360"/>
        <w:ind w:right="0" w:left="0" w:firstLine="0"/>
        <w:jc w:val="both"/>
        <w:rPr>
          <w:rFonts w:ascii="Times New Roman" w:hAnsi="Times New Roman" w:cs="Times New Roman" w:eastAsia="Times New Roman"/>
          <w:b/>
          <w:color w:val="auto"/>
          <w:spacing w:val="0"/>
          <w:position w:val="0"/>
          <w:sz w:val="24"/>
          <w:shd w:fill="FFFFFF"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papel de cuidador do portador de transtorno mental é um processo muito doloroso e revestido de peculiaridades, esta função não deveria ser responsabilidade de apenas um sujeito, mas de uma rede de ações articuladas entre os membros que compreendem o âmbito privado e público, com a finalidade de promover a melhor compreensão dos entes familiares acerca do que representa cuidar de um portador de transtorno mental na esfera doméstica, visto que é neste lócus que, o PTM passa a grande parte do seu tempo.</w:t>
      </w:r>
    </w:p>
    <w:p>
      <w:pPr>
        <w:spacing w:before="0" w:after="0" w:line="36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 discurso atual difundido na sociedade é de que homens e mulheres estão vivenciam igualdade de direitos. Na divisão sexual do trabalho no âmbito público, porém nos deparamos com desiguais condições de trabalho e salariais, na esfera doméstica as mulheres majoritariamente continuam a assumir as atividades ali desenvolvidas.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No entanto, percebemos alguns avanços significativos nesta conjuntura. Se a grande maioria dos homens atribui como papel feminino o cuidado do PTM e só o realiza diante da impossibilidade de alguma mulher fazê-lo, o fato desse homem assumir essa tarefa já denota uma possível mudança. Nos modelos societários mais antigos executar uma atividade vista como feminina, era impensável e motivo de preconceito.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Mesmo que lentamente percebemos que o homem já assume compromissos vistos como exclusivamente femininos. No que diz respeito ao provimento de cuidados ao PTM, verificamos que a sobrecarga da mulher é muito maior, pois esta dificilmente conta com o auxílio de outrem, sendo a cuidadora em tempo integral.  Com relação aos homens a responsabilidade e a participação deste no tratamento do PTM se resume quase que exclusivamente ao acompanhamento do (a) filho (a) no CAPSi, sendo assim, concluímos que homens e mulheres  vivenciam o cuidar de forma desigual, sendo as mulheres as mais sobrecarregadas.</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36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 REFERÊNCIAS</w:t>
      </w:r>
    </w:p>
    <w:p>
      <w:pPr>
        <w:spacing w:before="0" w:after="20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BARROSO, S.M; BANDEIRA, M; NASCIMENTO,E.</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Sobrecarga de pacientes psiquiátricos atendido na rede pública.</w:t>
      </w:r>
      <w:r>
        <w:rPr>
          <w:rFonts w:ascii="Times New Roman" w:hAnsi="Times New Roman" w:cs="Times New Roman" w:eastAsia="Times New Roman"/>
          <w:b/>
          <w:color w:val="auto"/>
          <w:spacing w:val="0"/>
          <w:position w:val="0"/>
          <w:sz w:val="22"/>
          <w:shd w:fill="auto" w:val="clear"/>
        </w:rPr>
        <w:t xml:space="preserve"> Revista de Psiquiatria Clínica</w:t>
      </w:r>
      <w:r>
        <w:rPr>
          <w:rFonts w:ascii="Times New Roman" w:hAnsi="Times New Roman" w:cs="Times New Roman" w:eastAsia="Times New Roman"/>
          <w:color w:val="auto"/>
          <w:spacing w:val="0"/>
          <w:position w:val="0"/>
          <w:sz w:val="22"/>
          <w:shd w:fill="auto" w:val="clear"/>
        </w:rPr>
        <w:t xml:space="preserve">. v. 34 , 2007. Disponível em:&lt; </w:t>
      </w:r>
      <w:hyperlink xmlns:r="http://schemas.openxmlformats.org/officeDocument/2006/relationships" r:id="docRId242">
        <w:r>
          <w:rPr>
            <w:rFonts w:ascii="Times New Roman" w:hAnsi="Times New Roman" w:cs="Times New Roman" w:eastAsia="Times New Roman"/>
            <w:color w:val="0000FF"/>
            <w:spacing w:val="0"/>
            <w:position w:val="0"/>
            <w:sz w:val="22"/>
            <w:u w:val="single"/>
            <w:shd w:fill="auto" w:val="clear"/>
          </w:rPr>
          <w:t xml:space="preserve">http://www.hcnet.usp.br/ipq/revista/vol34/n6/270.html</w:t>
        </w:r>
      </w:hyperlink>
      <w:r>
        <w:rPr>
          <w:rFonts w:ascii="Times New Roman" w:hAnsi="Times New Roman" w:cs="Times New Roman" w:eastAsia="Times New Roman"/>
          <w:color w:val="auto"/>
          <w:spacing w:val="0"/>
          <w:position w:val="0"/>
          <w:sz w:val="22"/>
          <w:shd w:fill="auto" w:val="clear"/>
        </w:rPr>
        <w:t xml:space="preserve"> &gt; . Acesso em: 12 de maio de 2010.</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BOFF, L. </w:t>
      </w:r>
      <w:r>
        <w:rPr>
          <w:rFonts w:ascii="Times New Roman" w:hAnsi="Times New Roman" w:cs="Times New Roman" w:eastAsia="Times New Roman"/>
          <w:b/>
          <w:color w:val="auto"/>
          <w:spacing w:val="0"/>
          <w:position w:val="0"/>
          <w:sz w:val="22"/>
          <w:shd w:fill="auto" w:val="clear"/>
        </w:rPr>
        <w:t xml:space="preserve">Saber cuidar: </w:t>
      </w:r>
      <w:r>
        <w:rPr>
          <w:rFonts w:ascii="Times New Roman" w:hAnsi="Times New Roman" w:cs="Times New Roman" w:eastAsia="Times New Roman"/>
          <w:color w:val="auto"/>
          <w:spacing w:val="0"/>
          <w:position w:val="0"/>
          <w:sz w:val="22"/>
          <w:shd w:fill="auto" w:val="clear"/>
        </w:rPr>
        <w:t xml:space="preserve">ética do humano – compaixão pela terra. Petrópolis: Vozes, 1999.</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 </w:t>
      </w:r>
      <w:r>
        <w:rPr>
          <w:rFonts w:ascii="Times New Roman" w:hAnsi="Times New Roman" w:cs="Times New Roman" w:eastAsia="Times New Roman"/>
          <w:b/>
          <w:color w:val="auto"/>
          <w:spacing w:val="0"/>
          <w:position w:val="0"/>
          <w:sz w:val="24"/>
          <w:shd w:fill="auto" w:val="clear"/>
        </w:rPr>
        <w:t xml:space="preserve">A dominação masculina</w:t>
      </w:r>
      <w:r>
        <w:rPr>
          <w:rFonts w:ascii="Times New Roman" w:hAnsi="Times New Roman" w:cs="Times New Roman" w:eastAsia="Times New Roman"/>
          <w:color w:val="auto"/>
          <w:spacing w:val="0"/>
          <w:position w:val="0"/>
          <w:sz w:val="24"/>
          <w:shd w:fill="auto" w:val="clear"/>
        </w:rPr>
        <w:t xml:space="preserve">. Trad. Maria Helena Kuhner. 3 ed. Rio de Janeiro: Bertrand Brasil, 2003</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COLVERO, L. A.; IDE, C. A. C.; ROLIM, M. A. Família e doença mental: a difícil convivência com a diferença. </w:t>
      </w:r>
      <w:r>
        <w:rPr>
          <w:rFonts w:ascii="Times New Roman" w:hAnsi="Times New Roman" w:cs="Times New Roman" w:eastAsia="Times New Roman"/>
          <w:b/>
          <w:color w:val="auto"/>
          <w:spacing w:val="0"/>
          <w:position w:val="0"/>
          <w:sz w:val="22"/>
          <w:shd w:fill="auto" w:val="clear"/>
        </w:rPr>
        <w:t xml:space="preserve">Revista da Escola de Enfermagem da USP</w:t>
      </w:r>
      <w:r>
        <w:rPr>
          <w:rFonts w:ascii="Times New Roman" w:hAnsi="Times New Roman" w:cs="Times New Roman" w:eastAsia="Times New Roman"/>
          <w:color w:val="auto"/>
          <w:spacing w:val="0"/>
          <w:position w:val="0"/>
          <w:sz w:val="22"/>
          <w:shd w:fill="auto" w:val="clear"/>
        </w:rPr>
        <w:t xml:space="preserve">, São Paulo, v. 38, n. 2, p. 197-205, 2004. Disponível em: &lt;</w:t>
      </w:r>
      <w:hyperlink xmlns:r="http://schemas.openxmlformats.org/officeDocument/2006/relationships" r:id="docRId243">
        <w:r>
          <w:rPr>
            <w:rFonts w:ascii="Times New Roman" w:hAnsi="Times New Roman" w:cs="Times New Roman" w:eastAsia="Times New Roman"/>
            <w:color w:val="0000FF"/>
            <w:spacing w:val="0"/>
            <w:position w:val="0"/>
            <w:sz w:val="22"/>
            <w:u w:val="single"/>
            <w:shd w:fill="auto" w:val="clear"/>
          </w:rPr>
          <w:t xml:space="preserve">http://www.scielo.br/scielo.php?script=sci_arttext</w:t>
        </w:r>
        <w:r>
          <w:rPr>
            <w:rFonts w:ascii="Times New Roman" w:hAnsi="Times New Roman" w:cs="Times New Roman" w:eastAsia="Times New Roman"/>
            <w:vanish/>
            <w:color w:val="0000FF"/>
            <w:spacing w:val="0"/>
            <w:position w:val="0"/>
            <w:sz w:val="22"/>
            <w:u w:val="single"/>
            <w:shd w:fill="auto" w:val="clear"/>
          </w:rPr>
          <w:t xml:space="preserve">HYPERLINK "http://www.scielo.br/scielo.php?script=sci_arttext&amp;pid=S0080-62342004000200011"</w:t>
        </w:r>
        <w:r>
          <w:rPr>
            <w:rFonts w:ascii="Times New Roman" w:hAnsi="Times New Roman" w:cs="Times New Roman" w:eastAsia="Times New Roman"/>
            <w:color w:val="0000FF"/>
            <w:spacing w:val="0"/>
            <w:position w:val="0"/>
            <w:sz w:val="22"/>
            <w:u w:val="single"/>
            <w:shd w:fill="auto" w:val="clear"/>
          </w:rPr>
          <w:t xml:space="preserve">&amp;</w:t>
        </w:r>
        <w:r>
          <w:rPr>
            <w:rFonts w:ascii="Times New Roman" w:hAnsi="Times New Roman" w:cs="Times New Roman" w:eastAsia="Times New Roman"/>
            <w:vanish/>
            <w:color w:val="0000FF"/>
            <w:spacing w:val="0"/>
            <w:position w:val="0"/>
            <w:sz w:val="22"/>
            <w:u w:val="single"/>
            <w:shd w:fill="auto" w:val="clear"/>
          </w:rPr>
          <w:t xml:space="preserve">HYPERLINK "http://www.scielo.br/scielo.php?script=sci_arttext&amp;pid=S0080-62342004000200011"</w:t>
        </w:r>
        <w:r>
          <w:rPr>
            <w:rFonts w:ascii="Times New Roman" w:hAnsi="Times New Roman" w:cs="Times New Roman" w:eastAsia="Times New Roman"/>
            <w:color w:val="0000FF"/>
            <w:spacing w:val="0"/>
            <w:position w:val="0"/>
            <w:sz w:val="22"/>
            <w:u w:val="single"/>
            <w:shd w:fill="auto" w:val="clear"/>
          </w:rPr>
          <w:t xml:space="preserve">pid=S0080-62342004000200011</w:t>
        </w:r>
      </w:hyperlink>
      <w:r>
        <w:rPr>
          <w:rFonts w:ascii="Times New Roman" w:hAnsi="Times New Roman" w:cs="Times New Roman" w:eastAsia="Times New Roman"/>
          <w:color w:val="auto"/>
          <w:spacing w:val="0"/>
          <w:position w:val="0"/>
          <w:sz w:val="22"/>
          <w:shd w:fill="auto" w:val="clear"/>
        </w:rPr>
        <w:t xml:space="preserve">&gt;. Acesso em: 12 de maio de 2010.</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GIDDENS, A. </w:t>
      </w:r>
      <w:r>
        <w:rPr>
          <w:rFonts w:ascii="Times New Roman" w:hAnsi="Times New Roman" w:cs="Times New Roman" w:eastAsia="Times New Roman"/>
          <w:b/>
          <w:color w:val="auto"/>
          <w:spacing w:val="0"/>
          <w:position w:val="0"/>
          <w:sz w:val="24"/>
          <w:shd w:fill="auto" w:val="clear"/>
        </w:rPr>
        <w:t xml:space="preserve">Sociologia</w:t>
      </w:r>
      <w:r>
        <w:rPr>
          <w:rFonts w:ascii="Times New Roman" w:hAnsi="Times New Roman" w:cs="Times New Roman" w:eastAsia="Times New Roman"/>
          <w:color w:val="auto"/>
          <w:spacing w:val="0"/>
          <w:position w:val="0"/>
          <w:sz w:val="24"/>
          <w:shd w:fill="auto" w:val="clear"/>
        </w:rPr>
        <w:t xml:space="preserve">. 6.ed. Porto Alegra: Artmed, 2005.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IBGE. Instituto Brasileiro de Geografia e Estatística. Disponível em: &lt;</w:t>
      </w:r>
      <w:hyperlink xmlns:r="http://schemas.openxmlformats.org/officeDocument/2006/relationships" r:id="docRId244">
        <w:r>
          <w:rPr>
            <w:rFonts w:ascii="Times New Roman" w:hAnsi="Times New Roman" w:cs="Times New Roman" w:eastAsia="Times New Roman"/>
            <w:color w:val="0000FF"/>
            <w:spacing w:val="0"/>
            <w:position w:val="0"/>
            <w:sz w:val="24"/>
            <w:u w:val="single"/>
            <w:shd w:fill="auto" w:val="clear"/>
          </w:rPr>
          <w:t xml:space="preserve">http://www.ibge.gov.br</w:t>
        </w:r>
      </w:hyperlink>
      <w:r>
        <w:rPr>
          <w:rFonts w:ascii="Times New Roman" w:hAnsi="Times New Roman" w:cs="Times New Roman" w:eastAsia="Times New Roman"/>
          <w:color w:val="auto"/>
          <w:spacing w:val="0"/>
          <w:position w:val="0"/>
          <w:sz w:val="24"/>
          <w:shd w:fill="auto" w:val="clear"/>
        </w:rPr>
        <w:t xml:space="preserve">&gt;. Acesso em: 25 de maio de 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KOENIG, S. </w:t>
      </w:r>
      <w:r>
        <w:rPr>
          <w:rFonts w:ascii="Times New Roman" w:hAnsi="Times New Roman" w:cs="Times New Roman" w:eastAsia="Times New Roman"/>
          <w:b/>
          <w:color w:val="auto"/>
          <w:spacing w:val="0"/>
          <w:position w:val="0"/>
          <w:sz w:val="24"/>
          <w:shd w:fill="auto" w:val="clear"/>
        </w:rPr>
        <w:t xml:space="preserve">Elementos da sociologia</w:t>
      </w:r>
      <w:r>
        <w:rPr>
          <w:rFonts w:ascii="Times New Roman" w:hAnsi="Times New Roman" w:cs="Times New Roman" w:eastAsia="Times New Roman"/>
          <w:color w:val="auto"/>
          <w:spacing w:val="0"/>
          <w:position w:val="0"/>
          <w:sz w:val="24"/>
          <w:shd w:fill="auto" w:val="clear"/>
        </w:rPr>
        <w:t xml:space="preserve">. 7.ed., Rio de Janeiro: Zahar, 1970.</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MORENO, V. Familiares de portadores de transtorno mental: vivenciando o cuidado em um Centro de Atenção Psicossocial. </w:t>
      </w:r>
      <w:r>
        <w:rPr>
          <w:rFonts w:ascii="Times New Roman" w:hAnsi="Times New Roman" w:cs="Times New Roman" w:eastAsia="Times New Roman"/>
          <w:b/>
          <w:color w:val="auto"/>
          <w:spacing w:val="0"/>
          <w:position w:val="0"/>
          <w:sz w:val="22"/>
          <w:shd w:fill="auto" w:val="clear"/>
        </w:rPr>
        <w:t xml:space="preserve">Revista da Escola de Enfermagem da USP</w:t>
      </w:r>
      <w:r>
        <w:rPr>
          <w:rFonts w:ascii="Times New Roman" w:hAnsi="Times New Roman" w:cs="Times New Roman" w:eastAsia="Times New Roman"/>
          <w:color w:val="auto"/>
          <w:spacing w:val="0"/>
          <w:position w:val="0"/>
          <w:sz w:val="22"/>
          <w:shd w:fill="auto" w:val="clear"/>
        </w:rPr>
        <w:t xml:space="preserve">, v. 43, p. 566-72, 2009</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RIDENTI, S.G. (1998) – </w:t>
      </w:r>
      <w:r>
        <w:rPr>
          <w:rFonts w:ascii="Times New Roman" w:hAnsi="Times New Roman" w:cs="Times New Roman" w:eastAsia="Times New Roman"/>
          <w:b/>
          <w:color w:val="auto"/>
          <w:spacing w:val="0"/>
          <w:position w:val="0"/>
          <w:sz w:val="22"/>
          <w:shd w:fill="auto" w:val="clear"/>
        </w:rPr>
        <w:t xml:space="preserve">A desigualdade de gênero nas relações parentais: o exemplo da custódia dos filhos</w:t>
      </w:r>
      <w:r>
        <w:rPr>
          <w:rFonts w:ascii="Times New Roman" w:hAnsi="Times New Roman" w:cs="Times New Roman" w:eastAsia="Times New Roman"/>
          <w:color w:val="auto"/>
          <w:spacing w:val="0"/>
          <w:position w:val="0"/>
          <w:sz w:val="22"/>
          <w:shd w:fill="auto" w:val="clear"/>
        </w:rPr>
        <w:t xml:space="preserve">. In: ARILHA, Margareth; RIDENTI, S.G. Unbehaum e MEDRADO, Benedito (orgs.) – Homens e masculinidades: outras palavras. São Paulo: ECOS/Editora 34, p. 163-184.</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ROSA, L. C. dos S. As Condições da Família Brasileira de Baixa Renda no Provimento de Cuidados com o Portador de Transtorno Mental. In: VASCONCELOS, E. M. (Org.). </w:t>
      </w:r>
      <w:r>
        <w:rPr>
          <w:rFonts w:ascii="Times New Roman" w:hAnsi="Times New Roman" w:cs="Times New Roman" w:eastAsia="Times New Roman"/>
          <w:b/>
          <w:color w:val="auto"/>
          <w:spacing w:val="0"/>
          <w:position w:val="0"/>
          <w:sz w:val="22"/>
          <w:shd w:fill="auto" w:val="clear"/>
        </w:rPr>
        <w:t xml:space="preserve">Saúde Mental e Serviço Social:</w:t>
      </w:r>
      <w:r>
        <w:rPr>
          <w:rFonts w:ascii="Times New Roman" w:hAnsi="Times New Roman" w:cs="Times New Roman" w:eastAsia="Times New Roman"/>
          <w:color w:val="auto"/>
          <w:spacing w:val="0"/>
          <w:position w:val="0"/>
          <w:sz w:val="22"/>
          <w:shd w:fill="auto" w:val="clear"/>
        </w:rPr>
        <w:t xml:space="preserve"> o desafio da subjetividade e da interdisciplinaridade. São Paulo: Cortez, 2000, p.263-288.</w:t>
      </w: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ROSA, L.C.S.Provimento do cuidado doméstico à pessoa com transtorno mental. In: VASCONCELOS,E.M. (org) </w:t>
      </w:r>
      <w:r>
        <w:rPr>
          <w:rFonts w:ascii="Times New Roman" w:hAnsi="Times New Roman" w:cs="Times New Roman" w:eastAsia="Times New Roman"/>
          <w:b/>
          <w:color w:val="auto"/>
          <w:spacing w:val="0"/>
          <w:position w:val="0"/>
          <w:sz w:val="22"/>
          <w:shd w:fill="auto" w:val="clear"/>
        </w:rPr>
        <w:t xml:space="preserve">Abordagens psicossociais</w:t>
      </w:r>
      <w:r>
        <w:rPr>
          <w:rFonts w:ascii="Times New Roman" w:hAnsi="Times New Roman" w:cs="Times New Roman" w:eastAsia="Times New Roman"/>
          <w:color w:val="auto"/>
          <w:spacing w:val="0"/>
          <w:position w:val="0"/>
          <w:sz w:val="22"/>
          <w:shd w:fill="auto" w:val="clear"/>
        </w:rPr>
        <w:t xml:space="preserve">, volume III: perspectivas para o serviço social.  São Paulo: Aderaldo &amp; Rothschld, 2009.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SOARES, C.B; MUNARI,D.B. Considerações acerca da sobrecarga em familiares de pessoas com transtornos mentais.In: </w:t>
      </w:r>
      <w:r>
        <w:rPr>
          <w:rFonts w:ascii="Times New Roman" w:hAnsi="Times New Roman" w:cs="Times New Roman" w:eastAsia="Times New Roman"/>
          <w:b/>
          <w:color w:val="auto"/>
          <w:spacing w:val="0"/>
          <w:position w:val="0"/>
          <w:sz w:val="24"/>
          <w:shd w:fill="auto" w:val="clear"/>
        </w:rPr>
        <w:t xml:space="preserve">Ciência, cuidado e saúde</w:t>
      </w:r>
      <w:r>
        <w:rPr>
          <w:rFonts w:ascii="Times New Roman" w:hAnsi="Times New Roman" w:cs="Times New Roman" w:eastAsia="Times New Roman"/>
          <w:color w:val="auto"/>
          <w:spacing w:val="0"/>
          <w:position w:val="0"/>
          <w:sz w:val="24"/>
          <w:shd w:fill="auto" w:val="clear"/>
        </w:rPr>
        <w:t xml:space="preserve">,v.6,</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p.357-362,2007.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SZYMANSK, H. </w:t>
      </w:r>
      <w:r>
        <w:rPr>
          <w:rFonts w:ascii="Times New Roman" w:hAnsi="Times New Roman" w:cs="Times New Roman" w:eastAsia="Times New Roman"/>
          <w:b/>
          <w:color w:val="auto"/>
          <w:spacing w:val="0"/>
          <w:position w:val="0"/>
          <w:sz w:val="24"/>
          <w:shd w:fill="auto" w:val="clear"/>
        </w:rPr>
        <w:t xml:space="preserve">Viver em família como experiência de cuidado mútuo: </w:t>
      </w:r>
      <w:r>
        <w:rPr>
          <w:rFonts w:ascii="Times New Roman" w:hAnsi="Times New Roman" w:cs="Times New Roman" w:eastAsia="Times New Roman"/>
          <w:color w:val="auto"/>
          <w:spacing w:val="0"/>
          <w:position w:val="0"/>
          <w:sz w:val="24"/>
          <w:shd w:fill="auto" w:val="clear"/>
        </w:rPr>
        <w:t xml:space="preserve">desafios de um mundo em mudança. In: Serviço Social &amp; Sociedade, nº 71, ANO XXIII, setembro de 2002</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TRIVIÑOS, Augusto N. S. </w:t>
      </w:r>
      <w:r>
        <w:rPr>
          <w:rFonts w:ascii="Times New Roman" w:hAnsi="Times New Roman" w:cs="Times New Roman" w:eastAsia="Times New Roman"/>
          <w:b/>
          <w:color w:val="auto"/>
          <w:spacing w:val="0"/>
          <w:position w:val="0"/>
          <w:sz w:val="24"/>
          <w:shd w:fill="auto" w:val="clear"/>
        </w:rPr>
        <w:t xml:space="preserve">Introdução à Pesquisa em Ciências Socias: </w:t>
      </w:r>
      <w:r>
        <w:rPr>
          <w:rFonts w:ascii="Times New Roman" w:hAnsi="Times New Roman" w:cs="Times New Roman" w:eastAsia="Times New Roman"/>
          <w:color w:val="auto"/>
          <w:spacing w:val="0"/>
          <w:position w:val="0"/>
          <w:sz w:val="24"/>
          <w:shd w:fill="auto" w:val="clear"/>
        </w:rPr>
        <w:t xml:space="preserve">a pesquisa qualitativa em Educação. São Paulo: Artes, 1987</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360"/>
        <w:ind w:right="0" w:left="0" w:firstLine="0"/>
        <w:jc w:val="both"/>
        <w:rPr>
          <w:rFonts w:ascii="Times New Roman" w:hAnsi="Times New Roman" w:cs="Times New Roman" w:eastAsia="Times New Roman"/>
          <w:b/>
          <w:color w:val="auto"/>
          <w:spacing w:val="0"/>
          <w:position w:val="0"/>
          <w:sz w:val="22"/>
          <w:shd w:fill="FFFFFF" w:val="clear"/>
        </w:rPr>
      </w:pPr>
    </w:p>
    <w:p>
      <w:pPr>
        <w:spacing w:before="100" w:after="100" w:line="360"/>
        <w:ind w:right="0" w:left="0" w:firstLine="0"/>
        <w:jc w:val="both"/>
        <w:rPr>
          <w:rFonts w:ascii="Times New Roman" w:hAnsi="Times New Roman" w:cs="Times New Roman" w:eastAsia="Times New Roman"/>
          <w:color w:val="auto"/>
          <w:spacing w:val="0"/>
          <w:position w:val="0"/>
          <w:sz w:val="22"/>
          <w:shd w:fill="FFFFFF" w:val="clear"/>
        </w:rPr>
      </w:pPr>
    </w:p>
    <w:p>
      <w:pPr>
        <w:spacing w:before="0" w:after="200" w:line="360"/>
        <w:ind w:right="0" w:left="0" w:firstLine="0"/>
        <w:jc w:val="left"/>
        <w:rPr>
          <w:rFonts w:ascii="Times New Roman" w:hAnsi="Times New Roman" w:cs="Times New Roman" w:eastAsia="Times New Roman"/>
          <w:b/>
          <w:color w:val="auto"/>
          <w:spacing w:val="0"/>
          <w:position w:val="0"/>
          <w:sz w:val="22"/>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ARTIGO TEÓRICO</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COMPREENDER O AGRESSOR: PRIMEIRO PASSO PARA A PREVENÇÃO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Suzana Catanio Nardi</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RESUMO</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presente trabalho apresenta uma revisão teórica acerca da compreensão da problemática do agressor conjugal. Utiliza-se o referencial psicanalítico, com enfoque na teoria das relações objetais. São contemplados autores clássicos como Freud (1930) e Melanie Klein (1982) e contemporâneos como Kernberg (1995, 2002), Zosky (1999), Diamond, (2004), que tem contribuído para maior compreensão sobre o impacto de vivências traumáticas no desenvolvimento posterior de patologias, principalmente, acerca das situações de violência na vida adulta.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Palavras-chave: agressor, representações mentais, relações objetais</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ABSTRACT</w:t>
      </w:r>
    </w:p>
    <w:p>
      <w:pPr>
        <w:spacing w:before="0" w:after="0" w:line="480"/>
        <w:ind w:right="0" w:left="0" w:firstLine="708"/>
        <w:jc w:val="both"/>
        <w:rPr>
          <w:rFonts w:ascii="Times New Roman" w:hAnsi="Times New Roman" w:cs="Times New Roman" w:eastAsia="Times New Roman"/>
          <w:color w:val="888888"/>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present work presents a theoretical understanding about the issue of marital aggressor. We use the psychoanalytic approach, focusing on object relations theory.  Are included classical authors such as Freud (1930) and Melanie Klein (</w:t>
      </w:r>
      <w:r>
        <w:rPr>
          <w:rFonts w:ascii="Times New Roman" w:hAnsi="Times New Roman" w:cs="Times New Roman" w:eastAsia="Times New Roman"/>
          <w:color w:val="auto"/>
          <w:spacing w:val="0"/>
          <w:position w:val="0"/>
          <w:sz w:val="24"/>
          <w:shd w:fill="auto" w:val="clear"/>
        </w:rPr>
        <w:t xml:space="preserve">1982</w:t>
      </w:r>
      <w:r>
        <w:rPr>
          <w:rFonts w:ascii="Times New Roman" w:hAnsi="Times New Roman" w:cs="Times New Roman" w:eastAsia="Times New Roman"/>
          <w:color w:val="000000"/>
          <w:spacing w:val="0"/>
          <w:position w:val="0"/>
          <w:sz w:val="24"/>
          <w:shd w:fill="auto" w:val="clear"/>
        </w:rPr>
        <w:t xml:space="preserve">) and contemporaries as Kernberg (1995, 2002), zoski (1999), Diamond (2004), which has contributed to greater understanding of the impact of traumatic experience in the later development of diseases, especially about situations of violence in adulthood.</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Keywords: </w:t>
      </w:r>
      <w:r>
        <w:rPr>
          <w:rFonts w:ascii="Times New Roman" w:hAnsi="Times New Roman" w:cs="Times New Roman" w:eastAsia="Times New Roman"/>
          <w:color w:val="000000"/>
          <w:spacing w:val="0"/>
          <w:position w:val="0"/>
          <w:sz w:val="24"/>
          <w:shd w:fill="auto" w:val="clear"/>
        </w:rPr>
        <w:t xml:space="preserve">aggressor, mental representations, object relations.   </w:t>
      </w:r>
    </w:p>
    <w:p>
      <w:pPr>
        <w:spacing w:before="0" w:after="0" w:line="480"/>
        <w:ind w:right="0" w:left="0" w:firstLine="708"/>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48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INTRODUÇÃO</w:t>
      </w:r>
    </w:p>
    <w:p>
      <w:pPr>
        <w:spacing w:before="0" w:after="0" w:line="480"/>
        <w:ind w:right="0" w:left="0" w:firstLine="708"/>
        <w:jc w:val="both"/>
        <w:rPr>
          <w:rFonts w:ascii="Times New Roman" w:hAnsi="Times New Roman" w:cs="Times New Roman" w:eastAsia="Times New Roman"/>
          <w:color w:val="000000"/>
          <w:spacing w:val="0"/>
          <w:position w:val="0"/>
          <w:sz w:val="24"/>
          <w:shd w:fill="FFFFFF"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violência conjugal emerge da invisibilidade para a visibilidade no Brasil dos anos 70, quando os movimentos feministas ganham força e denunciam o sistema opressor patriarcal. Assim, surgem mobilizações para a punição do agressor, atenção à saúde da mulher, e grupos de mulheres para conscientização de seus direitos.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final dos anos de 1970, o termo violência contra a mulher ficou conhecido no Brasil através dos protestos feministas contra os assassinatos de mulheres por seus maridos, que eram absolvidos e ficavam livres das penas com a justiça, com a alegação de que era em defesa da honra, (Grossi, 1998). Foi a partir destes atos, que iniciaram os movimentos em defesa da mulher vítima da violência.</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Porém, o termo </w:t>
      </w:r>
      <w:r>
        <w:rPr>
          <w:rFonts w:ascii="Times New Roman" w:hAnsi="Times New Roman" w:cs="Times New Roman" w:eastAsia="Times New Roman"/>
          <w:color w:val="auto"/>
          <w:spacing w:val="0"/>
          <w:position w:val="0"/>
          <w:sz w:val="24"/>
          <w:shd w:fill="auto" w:val="clear"/>
        </w:rPr>
        <w:t xml:space="preserve">Violência conjugal, de acordo com Ravazzola (1997, 1999), é a violência contra a mulher cometida pelo parceiro intimo, onde  exista uma relação afetiva e sexual, mesmo não sendo formalizada, podendo ocorrer tanto no espaço doméstico quanto no espaço urbano.</w:t>
      </w:r>
      <w:r>
        <w:rPr>
          <w:rFonts w:ascii="Times New Roman" w:hAnsi="Times New Roman" w:cs="Times New Roman" w:eastAsia="Times New Roman"/>
          <w:color w:val="000000"/>
          <w:spacing w:val="0"/>
          <w:position w:val="0"/>
          <w:sz w:val="24"/>
          <w:shd w:fill="auto" w:val="clear"/>
        </w:rPr>
        <w:t xml:space="preserve">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Dessa maneira, aos poucos a problemática passou a tomar conta dos debates dentro do contexto social, conquistando novos espaços e culminando com a </w:t>
      </w:r>
      <w:r>
        <w:rPr>
          <w:rFonts w:ascii="Times New Roman" w:hAnsi="Times New Roman" w:cs="Times New Roman" w:eastAsia="Times New Roman"/>
          <w:color w:val="auto"/>
          <w:spacing w:val="0"/>
          <w:position w:val="0"/>
          <w:sz w:val="24"/>
          <w:shd w:fill="auto" w:val="clear"/>
        </w:rPr>
        <w:t xml:space="preserve">promulgação da Lei 11.340, em 07 de agosto de 2006. Esta lei ficou conhecida como Lei Maria da Penha, a qual referendou uma política que tem como objetivo atender de modo integral o enfrentamento da violência contra as mulheres.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Tanto Lei Maria da Penha quanto a criação </w:t>
      </w:r>
      <w:r>
        <w:rPr>
          <w:rFonts w:ascii="Times New Roman" w:hAnsi="Times New Roman" w:cs="Times New Roman" w:eastAsia="Times New Roman"/>
          <w:color w:val="58595B"/>
          <w:spacing w:val="0"/>
          <w:position w:val="0"/>
          <w:sz w:val="24"/>
          <w:shd w:fill="auto" w:val="clear"/>
        </w:rPr>
        <w:t xml:space="preserve">d</w:t>
      </w:r>
      <w:r>
        <w:rPr>
          <w:rFonts w:ascii="Times New Roman" w:hAnsi="Times New Roman" w:cs="Times New Roman" w:eastAsia="Times New Roman"/>
          <w:color w:val="000000"/>
          <w:spacing w:val="0"/>
          <w:position w:val="0"/>
          <w:sz w:val="24"/>
          <w:shd w:fill="auto" w:val="clear"/>
        </w:rPr>
        <w:t xml:space="preserve">as delegacias de mulheres, os conselhos municipais e estaduais da mulher por todo o país e a ampliação das políticas para as mulheres</w:t>
      </w:r>
      <w:r>
        <w:rPr>
          <w:rFonts w:ascii="Times New Roman" w:hAnsi="Times New Roman" w:cs="Times New Roman" w:eastAsia="Times New Roman"/>
          <w:color w:val="auto"/>
          <w:spacing w:val="0"/>
          <w:position w:val="0"/>
          <w:sz w:val="24"/>
          <w:shd w:fill="auto" w:val="clear"/>
        </w:rPr>
        <w:t xml:space="preserve"> surgiram pela pressão e </w:t>
      </w:r>
      <w:r>
        <w:rPr>
          <w:rFonts w:ascii="Times New Roman" w:hAnsi="Times New Roman" w:cs="Times New Roman" w:eastAsia="Times New Roman"/>
          <w:color w:val="000000"/>
          <w:spacing w:val="0"/>
          <w:position w:val="0"/>
          <w:sz w:val="24"/>
          <w:shd w:fill="auto" w:val="clear"/>
        </w:rPr>
        <w:t xml:space="preserve">força</w:t>
      </w:r>
      <w:r>
        <w:rPr>
          <w:rFonts w:ascii="Times New Roman" w:hAnsi="Times New Roman" w:cs="Times New Roman" w:eastAsia="Times New Roman"/>
          <w:color w:val="auto"/>
          <w:spacing w:val="0"/>
          <w:position w:val="0"/>
          <w:sz w:val="24"/>
          <w:shd w:fill="auto" w:val="clear"/>
        </w:rPr>
        <w:t xml:space="preserve"> dos movimentos feministas. </w:t>
      </w:r>
      <w:r>
        <w:rPr>
          <w:rFonts w:ascii="Times New Roman" w:hAnsi="Times New Roman" w:cs="Times New Roman" w:eastAsia="Times New Roman"/>
          <w:color w:val="000000"/>
          <w:spacing w:val="0"/>
          <w:position w:val="0"/>
          <w:sz w:val="24"/>
          <w:shd w:fill="auto" w:val="clear"/>
        </w:rPr>
        <w:t xml:space="preserve">Como resultado, </w:t>
      </w:r>
      <w:r>
        <w:rPr>
          <w:rFonts w:ascii="Times New Roman" w:hAnsi="Times New Roman" w:cs="Times New Roman" w:eastAsia="Times New Roman"/>
          <w:color w:val="auto"/>
          <w:spacing w:val="0"/>
          <w:position w:val="0"/>
          <w:sz w:val="24"/>
          <w:shd w:fill="auto" w:val="clear"/>
        </w:rPr>
        <w:t xml:space="preserve">a Lei Maria da Penha tornou-se símbolo da luta pela proteção dos direitos humanos das mulheres, tendo estabelecido medidas para sua proteção, assistência, punição e possibilidade de reeducação dos agressores.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Observa-se, entretanto, que a violência contra a mulher no contexto da conjugalidade vem sendo enfrentada buscando-se principalmente a punição deste homem agressor. Isto é, a ênfase no aspecto legal do ato agressor é prioritária e, sem dúvida, tem sido um avanço na conquista dos direitos da mulher, refletindo-se na ampliação do trabalho das Delegacias especializadas no reconhecimento desta violência. Porém, há necessidade de se ir além da penalização e responsabilização. É preciso também cuidar dos agressores no sentido subjetivo de suas relações, considerando não somente a perspectiva individual do sujeito violento, mas também o aspecto relacional e vincular com os contextos familiares e sociais.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são conhecidas, através das pesquisas, a extensão das consequencias, tanto para a mulher como também para as crianças da exposição direta e indireta à violência dos pais, produzindo seqüelas emocionais a curto e longo prazo (Benetti, 2006). Além disto, as conseqüências podem se reproduzir em seus relacionamentos adultos, observando-se então uma tendência a repetir a história dos genitores (Falcke, 2006; Mendlowicz &amp; Figueira, 2007).</w:t>
      </w:r>
    </w:p>
    <w:p>
      <w:pPr>
        <w:spacing w:before="0" w:after="0" w:line="48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que se refere as conseqüências para as mulheres são inúmeras, desde as questões de depressão (Adeodato et al, 2005), estresse pós-traumático (Day et al, 2003), até as enfermidades e queixas médicas devido à violência às quais são submetidas por seus cônjuges, demonstradas no estudo de </w:t>
      </w:r>
      <w:r>
        <w:rPr>
          <w:rFonts w:ascii="Times New Roman" w:hAnsi="Times New Roman" w:cs="Times New Roman" w:eastAsia="Times New Roman"/>
          <w:color w:val="000000"/>
          <w:spacing w:val="0"/>
          <w:position w:val="0"/>
          <w:sz w:val="24"/>
          <w:shd w:fill="auto" w:val="clear"/>
        </w:rPr>
        <w:t xml:space="preserve">Garbin</w:t>
      </w:r>
      <w:r>
        <w:rPr>
          <w:rFonts w:ascii="Times New Roman" w:hAnsi="Times New Roman" w:cs="Times New Roman" w:eastAsia="Times New Roman"/>
          <w:color w:val="auto"/>
          <w:spacing w:val="0"/>
          <w:position w:val="0"/>
          <w:sz w:val="24"/>
          <w:shd w:fill="auto" w:val="clear"/>
        </w:rPr>
        <w:t xml:space="preserve"> et al(2006), no qual refere que elas </w:t>
      </w:r>
      <w:r>
        <w:rPr>
          <w:rFonts w:ascii="Times New Roman" w:hAnsi="Times New Roman" w:cs="Times New Roman" w:eastAsia="Times New Roman"/>
          <w:color w:val="000000"/>
          <w:spacing w:val="0"/>
          <w:position w:val="0"/>
          <w:sz w:val="24"/>
          <w:shd w:fill="auto" w:val="clear"/>
        </w:rPr>
        <w:t xml:space="preserve">apresentam prejuízo na saúde seja porque apresentam lesões, ou porque tais lesões  já desencadearam outras patologias associadas a dores crônicas.</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Numa extensa revisão sobre a atenção à saúde da mulher em situação de violência de gênero, D’ Oliveira, Schraiber, Hanada e Durand (2009) referem à complexidade das estratégias necessárias para a identificação e atendimento dos casos, indicando a necessidade de uma interlocução dos diversos serviços para o atendimento à mulher e familiares.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Todavia, no âmbito governamental, a Secretaria Especial de Políticas para as Mulheres vem dando uma especial ênfase, tanto para as pesquisas quanto para a criação de políticas de atendimento, bem como a criação de centros de referência com serviços direcionados às vítimas. Observa-se, portanto, que em relação à intervenção, os trabalhos dirigem-se geralmente para o atendimento psicológico da vítima, sendo que poucos abordam o agressor.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Granja e Medrado (2009), ao analisar as posições de profissionais da rede de saúde sobre o atendimento a homens violentos, verificaram, por exemplo, que o atendimento psicológico, muitas vezes, é fundado somente na perspectiva do uso de álcool. Isto é, a associação entre violência e álcool é tomada como refletindo a maior parte do problema. Observa-se, portanto, que em relação à intervenção, os trabalhos dirigem-se para o atendimento psicológico da vítima, sendo que poucos abordam o agressor. Ainda, conforme estes autores, ao analisar as posições de profissionais da rede de saúde sobre o atendimento a homens violentos, verificaram, por exemplo, que o atendimento psicológico, muitas vezes, é fundado somente na perspectiva do uso de álcool. Isto é, a associação entre violência e álcool é tomada como refletindo a maior parte do problema. Além disto, o atendimento aos homens é compreendido como cumprimento de pena.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argumenta Fonagy (2003), é importante entrar no mundo subjetivo da pessoa violenta, não apenas no sentido de ser capaz de oferecer o tratamento, mas para antecipar a natureza dos riscos que estes representam tanto para si quanto para sua parceira. Portanto, para além da compreensão da violência, também necessitamos considerar um ponto fundamental para o enfrentamento do problema que é o estabelecimento de políticas de intervenção. Neste sentido, vários trabalhos a partir de diferentes referenciais teóricos (Alves &amp; Coura-Filho, 2001, Corbett &amp; Sei, 2003, Mota, 2004) têm sido desenvolvidos visando tanto compreender o fenômeno da violência, como também embasar modelos de intervenção para reverter à situação.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Compreender para explicar, esse é o primeiro passo no sentido de prevenir a violência. </w:t>
      </w:r>
    </w:p>
    <w:p>
      <w:pPr>
        <w:spacing w:before="0" w:after="0" w:line="480"/>
        <w:ind w:right="0" w:left="0" w:firstLine="567"/>
        <w:jc w:val="both"/>
        <w:rPr>
          <w:rFonts w:ascii="Times New Roman" w:hAnsi="Times New Roman" w:cs="Times New Roman" w:eastAsia="Times New Roman"/>
          <w:i/>
          <w:color w:val="auto"/>
          <w:spacing w:val="0"/>
          <w:position w:val="0"/>
          <w:sz w:val="24"/>
          <w:shd w:fill="auto" w:val="clear"/>
        </w:rPr>
      </w:pPr>
    </w:p>
    <w:p>
      <w:pPr>
        <w:spacing w:before="0" w:after="0" w:line="48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Violência conjugal: A dimensão da intervenção</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São vários os fatores associados à violência conjugal, tais como questões sociais, culturais, econômicos e de gênero (Angulo-Tuesta, 1997; Debert e Gregori, 2008; Minayo, 2005 e 1994; Narvaz e Koller, 2006; Oliveira e Souza, 2006; Saffioti, 1999; Schraiber e D'oliveira, 1999). Outros fatores também contribuem para a violência conjugal, tais como a vivência de experiências violentas nas histórias de vida dos indivíduos, como demonstram os estudos de Narvaz e Koller (2006), Potrich et al (2009).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Outros autores como Porto e Luz (2004), apontam também para relações iniciais como modelo das relações futuras, onde aspectos transgeracionais também foram identificados como associados à manutenção de uma história de violência. Assim, experiências traumáticas na infância, já em 1984, foram apontadas por Carmen et al (1984) como uma importante causa de comportamento agressivo na vida adulta, sendo que uma relevante seqüela da vitimização em meninos abusados é a hiperagressão. Desta maneira, meninos abusados têm maior probabilidade de se identificar com o agressor original e perpetuar o abuso com seu cônjuge e filhos. Além disto, lembranças de rejeição paterna são os maiores contribuintes para uma personalidade abusiva, já que experiências de humilhação e apego inseguro contribuem para o desenvolvimento da personalidade posterior.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Estudos iniciais sobre o tema (Landolt &amp; Dutton, 1997, Dutton &amp; Goland, 1997) tinham como objetivo identificar as características de personalidade de homens agressivos através de escalas de auto-relato preenchidas por homens abusivos, durante o processo de avaliação para o tratamento, cujos resultados foram corroborados por relatórios das parceiras do sexo feminino. Em geral, o grupo manifestava características de personalidade, tais como raiva, medo, sintomas crônicos de trauma e lembranças de rejeição paterna. Além disto, Dutton e Goland (1997) demonstraram que homens violentos possuem os seguintes tipos: (1) psicopático; (2) hipercontrolado; e (3) cíclico.</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O tipo psicopático é o mais incomum, a violência atinge não apenas a esposa, mas os filhos, parentes, vizinhos e conhecidos e constituindo um tipo de violência generalizada. Comumente, são indivíduos que possuem históricos criminais, como furto, falsificação, tráfico de drogas, assassinatos, entre outros. O senso moral é deficitário, não demonstrando arrependimento por seus atos e acreditando que são comportamentos que fazem parte da natureza masculina. Em decorrência, os agressores psicopáticos dificilmente aprendem com suas ações, sendo bastante resistentes ao processo psicoterapêutico.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Segundo Dutton e Goland (1997), aproximadamente 30% dos agressores são hipercontrolados. São homens que parecem estar desconectados de seus sentimentos, apresentando um comportamento passivo e evitando contato interpessoal. A agressão decorre do acúmulo progressivo de frustrações. São homens bem-vistos tanto no âmbito social quanto profissional, sendo que as pessoas próximas ficam surpresas ao descobrirem sua violência.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último tipo, agressores cíclicos ou emocionalmente instáveis, para os autores, é o mais encontrado. São descritos como inábeis na descoberta de seus reais sentimentos e desejam controlar a vida íntima da vítima. Comumente, ao dar início a um relacionamento amoroso, elegem determinada pessoa sobre a qual terão mais probabilidade de instituir controle e domínio psicológico ou físico,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mulheres com baixa auto-estima, desprovidas afetivamente, podendo apresentar algum déficit cognitivo, sem renda própria, tímidas ou ainda aquelas que se dedicam em tempo integral aos cuidados domésticos.</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Ampliando a compreensão dos fatores de personalidade de homens violentos, Holtzworth-Munroe e Stuart (2004) referem que, de modo geral, em grande parte dos estudos, os homens violentos são descritos com possuindo características similares e apresentando o mesmo padrão de violência. Estes autores, entretanto, contestam esta perspectiva, indicando que dois tipos ou níveis de violência nas relações familiares existem, um deles ligado a características específicas anti-sociais do agressor e o outro a aspectos de personalidade borderline. Dutton (2002) considera que o padrão de violência conjugal se expressa através de diferentes categorias de agressores que experimentam ciclos de tensão, os quais culminam em episódios de explosão violenta. Considera que estas categorias de agressores representam manifestações de </w:t>
      </w:r>
      <w:r>
        <w:rPr>
          <w:rFonts w:ascii="Times New Roman" w:hAnsi="Times New Roman" w:cs="Times New Roman" w:eastAsia="Times New Roman"/>
          <w:i/>
          <w:color w:val="auto"/>
          <w:spacing w:val="0"/>
          <w:position w:val="0"/>
          <w:sz w:val="24"/>
          <w:shd w:fill="auto" w:val="clear"/>
        </w:rPr>
        <w:t xml:space="preserve">organizações de personalidade borderlines</w:t>
      </w:r>
      <w:r>
        <w:rPr>
          <w:rFonts w:ascii="Times New Roman" w:hAnsi="Times New Roman" w:cs="Times New Roman" w:eastAsia="Times New Roman"/>
          <w:color w:val="auto"/>
          <w:spacing w:val="0"/>
          <w:position w:val="0"/>
          <w:sz w:val="24"/>
          <w:shd w:fill="auto" w:val="clear"/>
        </w:rPr>
        <w:t xml:space="preserve">. Isto é, as organizações borderlines referem-se a uma categoria clínica caracterizada por relações interpessoais instáveis, um sentido de </w:t>
      </w:r>
      <w:r>
        <w:rPr>
          <w:rFonts w:ascii="Times New Roman" w:hAnsi="Times New Roman" w:cs="Times New Roman" w:eastAsia="Times New Roman"/>
          <w:i/>
          <w:color w:val="auto"/>
          <w:spacing w:val="0"/>
          <w:position w:val="0"/>
          <w:sz w:val="24"/>
          <w:shd w:fill="auto" w:val="clear"/>
        </w:rPr>
        <w:t xml:space="preserve">self</w:t>
      </w:r>
      <w:r>
        <w:rPr>
          <w:rFonts w:ascii="Times New Roman" w:hAnsi="Times New Roman" w:cs="Times New Roman" w:eastAsia="Times New Roman"/>
          <w:color w:val="auto"/>
          <w:spacing w:val="0"/>
          <w:position w:val="0"/>
          <w:sz w:val="24"/>
          <w:shd w:fill="auto" w:val="clear"/>
        </w:rPr>
        <w:t xml:space="preserve"> também instável, raiva intensa e impulsividade. Já o Transtorno de Personalidade Borderline refere-se a uma manifestação mais grave, situando-se num extremo das organizações borderlines (Kernberg, 1995).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Guderson (2008), as principais características da Personalidade Borderline incluem uma tendência para relações interpessoais instáveis com oscilações depreciativas dos relacionamentos, manipulação, um sentido de self instável, temor à solidão, ansiedade de abandono, agressividade, impulsividade, associação com abuso de substâncias e promiscuidade.  Esta estrutura manifesta dificuldades importantes no estabelecimento de intimidade nas relações.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Através de diversos trabalhos de identificação das características de personalidade de homens violentos com diferentes grupos de agressores e grupos controles, Dutton identificou que atributos da </w:t>
      </w:r>
      <w:r>
        <w:rPr>
          <w:rFonts w:ascii="Times New Roman" w:hAnsi="Times New Roman" w:cs="Times New Roman" w:eastAsia="Times New Roman"/>
          <w:i/>
          <w:color w:val="auto"/>
          <w:spacing w:val="0"/>
          <w:position w:val="0"/>
          <w:sz w:val="24"/>
          <w:shd w:fill="auto" w:val="clear"/>
        </w:rPr>
        <w:t xml:space="preserve">organização borderline</w:t>
      </w:r>
      <w:r>
        <w:rPr>
          <w:rFonts w:ascii="Times New Roman" w:hAnsi="Times New Roman" w:cs="Times New Roman" w:eastAsia="Times New Roman"/>
          <w:color w:val="auto"/>
          <w:spacing w:val="0"/>
          <w:position w:val="0"/>
          <w:sz w:val="24"/>
          <w:shd w:fill="auto" w:val="clear"/>
        </w:rPr>
        <w:t xml:space="preserve">, tais como raiva, apego ansioso, sintomas crônicos de trauma e também representação de rejeição paterna eram características comuns aos agressores. Por sua vez, a origem dos comportamentos violentos nestes homens foi altamente associada a vivências abusivas durante a infância. Desta forma, Dutton considera que a qualidade das experiências infantis de vínculos com as figuras cuidadoras, principalmente sob a perspectiva da teoria do apego, podem ser elementos fundamentais para a compreensão destas características abusivas na vida adulta.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Neste sentido, experiências de humilhação e apego inseguro contribuem para o tipo vínculo entre pais e filhos, bem como o desenvolvimento da personalidade posterior. Portanto, com base na teoria do apego, Dutton (2002) sugere que as explosões violentas em homens agressivos, podem ser uma forma de comportamento de protesto direcionada à figura com a qual a criança na tenra infância se relacionou. No caso do adulto, direcionado ao parceiro sexual, sendo que os eventos agressivos seriam precipitados por ameaças percebidas de separação ou abandono. Este padrão relacional é semelhante ao padrão de apego inseguro, intensamente associado a questões de intimidade e raiva. </w:t>
      </w: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Modelos de Intervenções nas situações de violência</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da identificação das questões femininas associadas à violência e todo o esforço compreensivo na direção de desenvolver estudos que possam auxiliar em estratégias de enfrentamento e tratamento das vítimas, ainda são escassos os trabalhos voltados à compreensão e tratamento ao agressor.</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Observamos ainda a necessidade do tratamento ao agressor, visto que não bastam as medidas judiciais de afastamento ou punição, pois ele poderá mais tarde constituir uma nova família, vindo a repetir o mesmo modelo agressivo. Heru (2007)  refere que o uso do álcool e drogas está associado à violência conjugal, sendo que a eficácia do tratamento não está somente ligada à etiologia da violência, mas aos fatores associados e a motivação do casal que busca ajuda, diferentemente daqueles que são encaminhados via judicial.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contrapartida, a associação de repressão judicial e intervenção, demonstrada através do estudo de Tolman e Edleson (1995), demonstram que houve maior eficácia no tratamento e menor recidiva. Referem estes autores, que a </w:t>
      </w:r>
      <w:r>
        <w:rPr>
          <w:rFonts w:ascii="Times New Roman" w:hAnsi="Times New Roman" w:cs="Times New Roman" w:eastAsia="Times New Roman"/>
          <w:color w:val="000000"/>
          <w:spacing w:val="0"/>
          <w:position w:val="0"/>
          <w:sz w:val="24"/>
          <w:shd w:fill="auto" w:val="clear"/>
        </w:rPr>
        <w:t xml:space="preserve">maioria dos artigos publicados descrevendo tratamento com agressores utiliza alguma variação de terapia cognitivo-comportamental ou abordagem de aprendizagem social.</w:t>
      </w:r>
      <w:r>
        <w:rPr>
          <w:rFonts w:ascii="Times New Roman" w:hAnsi="Times New Roman" w:cs="Times New Roman" w:eastAsia="Times New Roman"/>
          <w:color w:val="auto"/>
          <w:spacing w:val="0"/>
          <w:position w:val="0"/>
          <w:sz w:val="24"/>
          <w:shd w:fill="auto" w:val="clear"/>
        </w:rPr>
        <w:t xml:space="preserve"> </w:t>
      </w:r>
    </w:p>
    <w:p>
      <w:pPr>
        <w:spacing w:before="24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Dutton (2007) </w:t>
      </w:r>
      <w:r>
        <w:rPr>
          <w:rFonts w:ascii="Times New Roman" w:hAnsi="Times New Roman" w:cs="Times New Roman" w:eastAsia="Times New Roman"/>
          <w:color w:val="000000"/>
          <w:spacing w:val="0"/>
          <w:position w:val="0"/>
          <w:sz w:val="24"/>
          <w:shd w:fill="auto" w:val="clear"/>
        </w:rPr>
        <w:t xml:space="preserve">tem como foco de sua proposta os homens, cujo abuso é específico para relacionamentos íntimos e se manifesta através de alterações de humor cíclico. Este grupo, que parece incluir cerca de 40% de todos os homens que se apresentam para tratamento de agressão à esposa, parecem possuir uma estrutura de personalidade borderline. Para estes homens, a grosseria é desencadeada por estados de humor interno e não por acontecimentos externos. Ele argumenta que o conceito de organização de personalidade borderline, é um problema estrutural do ego que é concebida como um prolongamento de severidade com transtorno de personalidade borderline em um extremo, é a base intrapsíquica para tais ciclos de violência.</w:t>
      </w:r>
    </w:p>
    <w:p>
      <w:pPr>
        <w:spacing w:before="0" w:after="0" w:line="48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Recentemente, Fonagy (2002) refere a partir da teoria psicanalítica, que as características vinculares nas situações de violência entre parceiros íntimos apresentam alguns aspectos importantes. </w:t>
      </w:r>
      <w:r>
        <w:rPr>
          <w:rFonts w:ascii="Times New Roman" w:hAnsi="Times New Roman" w:cs="Times New Roman" w:eastAsia="Times New Roman"/>
          <w:color w:val="000000"/>
          <w:spacing w:val="0"/>
          <w:position w:val="0"/>
          <w:sz w:val="24"/>
          <w:shd w:fill="auto" w:val="clear"/>
        </w:rPr>
        <w:t xml:space="preserve">Sugerem que os atos violentos contra as mulheres, são muitas vezes cometidos por homens com precária capacidade de mentalização, </w:t>
      </w:r>
      <w:r>
        <w:rPr>
          <w:rFonts w:ascii="Times New Roman" w:hAnsi="Times New Roman" w:cs="Times New Roman" w:eastAsia="Times New Roman"/>
          <w:color w:val="auto"/>
          <w:spacing w:val="0"/>
          <w:position w:val="0"/>
          <w:sz w:val="24"/>
          <w:shd w:fill="auto" w:val="clear"/>
        </w:rPr>
        <w:t xml:space="preserve">apontando que a psicanálise pode se constituir como um campo de intervenção focalizando o atendimento do agressor, e a prevenção primária</w:t>
      </w:r>
      <w:r>
        <w:rPr>
          <w:rFonts w:ascii="Times New Roman" w:hAnsi="Times New Roman" w:cs="Times New Roman" w:eastAsia="Times New Roman"/>
          <w:color w:val="000000"/>
          <w:spacing w:val="0"/>
          <w:position w:val="0"/>
          <w:sz w:val="24"/>
          <w:shd w:fill="auto" w:val="clear"/>
        </w:rPr>
        <w:t xml:space="preserve">. </w:t>
      </w:r>
    </w:p>
    <w:p>
      <w:pPr>
        <w:spacing w:before="0" w:after="0" w:line="48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observa-se que a contribuição psicanalítica tem se orientado para o trabalho clínico principalmente considerando os aspectos estruturais da personalidade, localizando padrões agressivos de interação nas situações de funcionamento limítrofe ou borderline. Ainda que este enfoque tenha contribuído de forma significativa para o avanço do atendimento destas patologias, seria interessante uma compreensão mais aprofundada dos vínculos na violência conjugal. </w:t>
      </w:r>
    </w:p>
    <w:p>
      <w:pPr>
        <w:spacing w:before="0" w:after="0" w:line="48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Eizerik e Fonagy (2009) propõe um modelo de terapia, para homens com transtorno de personalidade borderline, baseado na mentalização, que definem como uma atividade mental predominantemente pré-consciente que habilita a pessoa na compreensão a si própria e dos outros no que se refere aos processos mentais e estados subjetivos. Traumas psicológicos nas fases iniciais da infância estão associados a prejuízos na capacidade de mentalização e com o desenvolvimento da patologia de transtorno de personalidade borderline</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A terapia de mentalização é uma psicoterapia que tem por objetivo um processo terapêutico de cujo foco seja o desenvolvimento da capacidade de mentalização do paciente.</w:t>
      </w:r>
      <w:r>
        <w:rPr>
          <w:rFonts w:ascii="Times New Roman" w:hAnsi="Times New Roman" w:cs="Times New Roman" w:eastAsia="Times New Roman"/>
          <w:color w:val="000000"/>
          <w:spacing w:val="0"/>
          <w:position w:val="0"/>
          <w:sz w:val="24"/>
          <w:shd w:fill="auto" w:val="clear"/>
        </w:rPr>
        <w:t xml:space="preserve"> </w:t>
      </w:r>
    </w:p>
    <w:p>
      <w:pPr>
        <w:spacing w:before="0" w:after="0" w:line="48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 funcionamento borderline de personalidade pode ser entendido, como a conseqüência de uma falha de mentalização associada à capacidade para representação, regulação do afeto e controle da atenção, juntamente com o ressurgimento de antigas formas de subjetividade e, finalmente, a desorganização profunda  da auto-estrutura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Nesta ótica, os autores consideram que a recuperação da mentalização no contexto das relações vínculares, pode ser um mecanismo comum de muitos tratamentos psicossociais para a desordem de personalidade borderline. Porém, lançam como objetivo geral da terapia baseada na mentalização, tendo como foco desenvolver um processo terapêutico de percepção do paciente de sua própria mente e as dos outros. O objetivo do desenvolvimento de intervenções psicodinâmicas é identificar e reparar as falhas especificamente envolvidas na psicopatologia, sendo essencial para aumentar a eficácia do tratamento orientado psicanaliticamente.</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Recentemente, algumas contribuições psicanalíticas têm ampliado a compreensão dos processos relacionais envolvidos nas situações de violência, principalmente compreendendo o papel das características vinculares estabelecidas nos relacionamentos primitivos com as figuras parentais, bem como as características das representações objetais sob o vértice do funcionamento borderline. Para uma maior compreensão destes aspectos, serão apresentados alguns elementos teóricos da psicanálise em relação à violência. Conforme Schmidt-Hellerau (2002), a agressão é um fenômeno complexo e importante no comportamento humano, mas apesar disto, parece haver certa falta de nitidez a respeito do tema em psicanálise.</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Em termos de atendimento psicoterápico, alguns modelos de intervenção fundamentados na psicanálise foram desenvolvidos dirigidos para tais quadros clínicos, tal como a psicoterapia focada na transferência, a qual tem obtido melhores resultados nos estudos randomizados nos casos de agressividade, suicídio, depressão, ansiedade (Silva, Yazigi, Fiore, 2008). A psicoterapia focada na transferência (Transference Focused Therapy) (TFP) fundamenta-se na abordagem psicanalítica das relações de objeto, compreensão extensamente desenvolvida através dos trabalhos de Kernberg (Levy, Yeomans, Clarkin &amp;, Kernberg 2008). Esta abordagem volta-se principalmente para o trabalho clínico visando à integração dos aspectos polarizados das representações do self e dos demais através de um setting mais estruturado e de intervenções baseadas na clarificação e confrontação e uma ênfase importante na vivência transferencial do aqui e agora da sessão terapêutica (Levy e cols. 2006). Deste modo, a estruturação do tratamento, a análise das dificuldades de forma clara e precisa e a compreensão da relação terapêutica que se estabelece na sessão determinam uma abordagem mais organizada voltada para a integração das representações do objeto e do self de forma mais coesa. </w:t>
      </w:r>
    </w:p>
    <w:p>
      <w:pPr>
        <w:spacing w:before="0" w:after="0" w:line="48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disto, a postura do terapeuta é mais ativa e conscientemente atenta ao paciente, criando um setting caracterizado por experiências de contingência dos afetos (holding) que por si só exercem efeitos terapêuticos importantes. Por último, a interpretação é dirigida aos temas trazidos para a sessão, apontando as dificuldades do paciente em reconhecer os estados afetivos presentes nas situações. Isto, da mesma forma, possibilita uma maior reflexão sobre as representações internas que, por sua vez, modificam gradualmente a polaridade e ambivalências vividas anteriormente. Neste sentido, as experiências traumáticas são revividas e exploradas de forma mais reflexiva, possibilitando novas formas interpretativas e elaborativas das situações, mas, principalmente, possibilitando a integração das experiências através de uma relação terapêutica estável, constante e contingente. A ênfase na capacidade reflexiva resulta na perspectiva da integração das imagens parciais do objeto e na capacidade de pensar sobre as experiências. Este padrão de funcionamento relaciona-se ao modelo de funcionamento interno da teoria do apego. As distorções cognitivas e o afeto dissociado caracterizam representações vinculares inseguras e ansiosas, as quais devem ser contidas na experiência terapêutica (Levy e cols. 2006).</w:t>
      </w:r>
    </w:p>
    <w:p>
      <w:pPr>
        <w:spacing w:before="0" w:after="0" w:line="480"/>
        <w:ind w:right="0" w:left="0" w:firstLine="567"/>
        <w:jc w:val="both"/>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Contribuições psicanalíticas</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violência contra a mulher, no contexto da conjugalidade, não tem sido especificamente um objeto de estudo da psicanálise, mas também das áreas da abordagem sistêmica e da psicologia cognitiva. </w:t>
        <w:tab/>
        <w:t xml:space="preserve">Na abordagem psicanalítica, porém, a compreensão da agressividade no ser humano produz um paradoxo. Ainda que reconhecida, há dificuldade, segundo Freud (1930), em sua aceitação enquanto aspecto intrínseco da natureza humana.</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na perspectiva psicanalítica, a agressividade faz parte da própria constituição psíquica do sujeito, sendo fundamental para a construção do processo civilizatório.</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Através do mito e das restrições impostas pela civilização, o homem inseri-se no simbólico, processo que dá à existência do sujeito o status de ser humano e ser social, permitindo-lhe o acesso à linguagem e comunicação interpessoal. Para Freud, a civilização exerce o papel limitador da maldade no ser humano, atuando como impeditório para a realização das fantasias e dos desejos primitivos. </w:t>
      </w:r>
    </w:p>
    <w:p>
      <w:pPr>
        <w:spacing w:before="0" w:after="0" w:line="48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Inicialmente o bebê, sendo este extremamente frágil, tanto no aspecto físico de cuidados, quanto emocional, é dependente da mãe ou de um cuidador. Esta relação que se estabelece entre mãe-bebê é especial. A este vínculo, tão importante Klein (1989) chamou de “Relações de Objeto", quando ela aprofunda os estudos e ressalta seu valor para a constituição da personalidade, uma vez que tais relações são construídas, sobretudo no primeiro ano de vida, onde o bebê estabelece já muito cedo o modelo que será a base futura de relacionamentos tanto consigo, quanto com os outros, durante todo o ciclo vital. Ao longo do tempo este modelo não terá mudanças significativas, ainda que ele possa vivenciar experiências que tragam desenvolvimento individual até chegar à vida adulta Esse modelo básico o acompanhará sem grandes mudanças ao longo do ciclo vital. </w:t>
      </w:r>
    </w:p>
    <w:p>
      <w:pPr>
        <w:spacing w:before="100" w:after="10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a primeira infância o bebê vai conhecendo frustrações, as quais são importantes no desenvolvimento, para que ele possa adquirir capacidade de tolerá-las, porém se elas forem excessivas, podem gerar intenso sentimento de ódio e ser vivenciado como uma ameaça terrorífica à sobrevivência, sob a forma de terror de fragmentação, então ele lança mão de um mecanismo mental extremamente primitivo, onde ele coloca para fora de si, colocando no seio materno os conteúdos agressivos, os quais ele necessita livrar-se, pois não consegue percebe-los como algo próprio. O sentimento de ódio então é percebido como algo que vem de fora, assim o seio materno torna-se um objeto de perseguição que acaba gerando na criança um intenso temor deste seio mau, perseguidor e destruidor. </w:t>
      </w:r>
    </w:p>
    <w:p>
      <w:pPr>
        <w:spacing w:before="100" w:after="100" w:line="48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a mãe fica angustiada com as reações e projeções do bebê, não sendo capaz de digerir internamente toda a angústia e raiva projetada pelo bebê sobre ela, esta interação fica carregada de sentimentos ambivalentes, raiva e insegurança, que acaba provocando no bebê a fantasia</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rPr>
        <w:t xml:space="preserve">inconsciente de que ele é detentor de elementos extremamente destrutivos e, o seio, objeto de tal ódio, é possuidor de conteúdos maléficos e capacidade de destruição. Assim, o ego do bebê não pode se desenvolver de maneira adequada, proporcionando a ele a percepção distorcida de um mundo hostil, sem capacidade de tolerar suas angustias, seu ódio, ou ela própria. Porém, se houver vivências agradáveis onde o bebê é amamentado, afagado e olhado nos olhos, além de ouvir palavras afetuosas da mãe, isso suscita no bebê a experiência de um seio bom, gratificador, o que gera nele a percepção de um mundo acolhedor, seguro, tranqüilizante.</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Contribuições contemporâneas (Kernberg, 1995, 2002, Zosky, 1999, Diamond, 2004), com base na teoria das relações objetais têm possibilitado um maior compreensão do impacto das vivências traumáticas no desenvolvimento posterior de patologias, principalmente acerca das situações de violência na vida adulta. Neste caso, são destacados os elementos vinculares estabelecidos ao longo do desenvolvimento, estabelecidos sobre as representações mentais do objeto e determinantes da capacidade de simbolização dos impulsos agressivos. Especificamente, o uso da expressão relação de objeto, de acordo com Laplanche e Pontalis (2001), é utilizado de maneira frequente na psicanálise contemporânea para designar a maneira como o sujeito se relaciona com seu mundo. Esta relação é conseqüência de uma organização de personalidade específica, da apreensão mais ou menos fantasiosa dos objetos e de determinados tipos de defesa.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conforme Bruscatto (1998), o termo relação objetal se refere à habilidade dos indivíduos para os relacionamentos interpessoais, indicando as atitudes e comportamentos em relação aos seus objetos, seja referindo-se aos indivíduos reais ou a imagens mentais.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termo objeto é utilizado em relação a uma pessoa ou algo concreto, real, porém externo e diferindo-se do sujeito. A representação objetal ou objeto interno contém as diversas qualidades do objeto externo. Assim, a relação objetal se refere as representações intrapsíquicas das relações com os outros. Estas relações são inferidas baseadas nas experiências relatadas ou condutas observadas nos relacionamentos objetais (Moore &amp; Fine, 1990; Nigg et al. 1991), já que os objetos internos são representações intrapsíquicas das relações com outros indivíduos.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teoria das relações objetais concebe o funcionamento psíquico como originado da interação entre aspectos internos e externos, elementos provenientes do relacionamento com os outros. No decorrer dos relacionamentos com estes objetos externos ocorre a internalização do objeto e de suas características. Desta maneira, elementos do mundo externo e das interações com estes são colocados para dentro do organismo, passando a ser representados na estrutura interna. Logo, este processo é de fundamental importância para o desenvolvimento tanto da estrutura psíquica, quanto da personalidade e do funcionamento mental (Moore &amp; Fine, 1990).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disto, as bases conceituais da abordagem psicanalítica das relações de objeto sustentam-se no entendimento de que os sintomas emocionais refletem o funcionamento psíquico característico de estruturas psicológicas. Partindo da noção freudiana do papel dos impulsos libidinais e agressivos na constituição psíquica do sujeito, a teoria das relações objetais destaca o caráter relacional desta perspectiva. Isto é, os impulsos são experienciados em relação às interações com o </w:t>
      </w:r>
      <w:r>
        <w:rPr>
          <w:rFonts w:ascii="Times New Roman" w:hAnsi="Times New Roman" w:cs="Times New Roman" w:eastAsia="Times New Roman"/>
          <w:i/>
          <w:color w:val="auto"/>
          <w:spacing w:val="0"/>
          <w:position w:val="0"/>
          <w:sz w:val="24"/>
          <w:shd w:fill="auto" w:val="clear"/>
        </w:rPr>
        <w:t xml:space="preserve">outro</w:t>
      </w:r>
      <w:r>
        <w:rPr>
          <w:rFonts w:ascii="Times New Roman" w:hAnsi="Times New Roman" w:cs="Times New Roman" w:eastAsia="Times New Roman"/>
          <w:color w:val="auto"/>
          <w:spacing w:val="0"/>
          <w:position w:val="0"/>
          <w:sz w:val="24"/>
          <w:shd w:fill="auto" w:val="clear"/>
        </w:rPr>
        <w:t xml:space="preserve">, o objeto externo (Kernberg,  1995, 2002).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desenvolvimento individual caracterizado por experiências afetivas contingentes, amorosas e empáticas às demandas do sujeito ao longo das fases evolutivas são constituídas por representações internas do </w:t>
      </w:r>
      <w:r>
        <w:rPr>
          <w:rFonts w:ascii="Times New Roman" w:hAnsi="Times New Roman" w:cs="Times New Roman" w:eastAsia="Times New Roman"/>
          <w:i/>
          <w:color w:val="auto"/>
          <w:spacing w:val="0"/>
          <w:position w:val="0"/>
          <w:sz w:val="24"/>
          <w:shd w:fill="auto" w:val="clear"/>
        </w:rPr>
        <w:t xml:space="preserve">self</w:t>
      </w:r>
      <w:r>
        <w:rPr>
          <w:rFonts w:ascii="Times New Roman" w:hAnsi="Times New Roman" w:cs="Times New Roman" w:eastAsia="Times New Roman"/>
          <w:color w:val="auto"/>
          <w:spacing w:val="0"/>
          <w:position w:val="0"/>
          <w:sz w:val="24"/>
          <w:shd w:fill="auto" w:val="clear"/>
        </w:rPr>
        <w:t xml:space="preserve"> e do objeto que se caracterizam por um senso de coerência e integração, aliadas as vivências afetivas estáveis, </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culminam na organização de um senso de identidade própria. A experiência de ser alimentado, acariciado, olhado nos olhos e de ouvir as palavras carinhosas da mãe gera no bebê a vivência de um seio bom, gratificador, que faz com que ele tenha experimentado algo externo bom, assegurador, tranqüilizante.</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termos desenvolvimentais, estas relações se estabelecem na tenra infância, quando o bebê estrutura seu ego rudimentar e imaturo, utilizando-se do ego auxiliar da mãe, para organizá-lo e acalmá-lo, até que essas funções sejam interiorizadas por meio da maturação e da contínua internalização das representações. Com base nestes aspectos, observa-se que os cuidados iniciais do bebê são fundamentais, pois a internalização destas experiências é o principal colaborador primário para o desenvolvimento psicológico, pois por meio dela as estruturas mentais vão se estabelecendo de maneira que o indivíduo gradualmente esteja capacitado a assumir as funções que inicialmente eram preenchidas por outros.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Justamente, a capacidade de reconhecer-se como separado do objeto, de identificar o objeto como tendo características e vivências afetivas próprias permitem uma organização interna do sujeito autônoma com um senso de identidade própria, bem como uma experiência pessoal com os demais, rica e criativa. É na plasticidade do reconhecimento das experiências próprias e dos demais, dos limites pessoais e das necessidades do outro que se estabelecem relações interpessoais que permitem o alcance individual das metas e objetivos estabelecidos pelo sujeito. Deste modo, o conceito de identidade assume uma posição central no estabelecimento de vivências ricas e prazerosas nos diferentes âmbitos pessoais. Por último, além do senso de identidade própria e vivências pessoais diferenciadas, a capacidade de autocrítica e regulação emocional é outro pilar constituinte de uma organização estrutural flexível, coerente e madura. Em síntese, em termos de desenvolvimento, ao longo da infância e adolescência, as experiências vão organizando as estruturas psíquicas que na idade adulta tornam-se formas estáveis de funcionamento (Kernberg, Yeomans, Clarkin &amp; Levy, 2008).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Adultos nos quais houve falha no amparo adequado e, portanto, poucas representações positivas internalizadas, apresentam dificuldade para acalmarem-se em momentos de ansiedade, de manter uma auto-estima saudável e de regular as respostas emocionais ao mundo exterior. Assim, a possibilidade da perda do objeto amado é experienciada pelo agressor como perda total, de si mesmo, porque não possui as imagens internalizadas para a garantia de sua segurança (Kernberg, 1995).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desta interação entre a criança e seus pais, ela desenvolve modelos internos com características de acordo com o grau de dependência emocional, baseado na expectativa da disponibilidade do outro. Estas representações cognitivas, ou esquemas relacionais, formam expectativas para adultos nos pares românticos e relacionamentos, é um guia do indivíduo às respostas comportamentais reais ou imaginárias, à separação de figuras de apego importantes (Pearson, Doumas, 2006).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 maneira, a teoria das relações objetais entende o desenvolvimento do ego desde as primeiras relações do bebê até o mais complexo funcionamento mental e relacionamentos maduros do adulto. Neste sentido, são fundamentais tanto os aspectos estruturados e estáveis dos distintos padrões de relacionamentos que caracterizam os sujeitos, bem como as motivações para os relacionamentos (Moore &amp; Fine, 1990).</w:t>
      </w:r>
    </w:p>
    <w:p>
      <w:pPr>
        <w:tabs>
          <w:tab w:val="left" w:pos="6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Portanto, segundo Zosky (1999), indivíduos que experienciaram violência doméstica em suas infâncias podem envolver-se em relacionamentos objetais com características patológicas, já que as experiências negativas internalizadas organizam-se como um modelo básico para o estabelecimento de relações no mundo.  Estas dificuldades emocionais relativas às experiências traumáticas se vinculam às representações mentais do objeto e do </w:t>
      </w:r>
      <w:r>
        <w:rPr>
          <w:rFonts w:ascii="Times New Roman" w:hAnsi="Times New Roman" w:cs="Times New Roman" w:eastAsia="Times New Roman"/>
          <w:i/>
          <w:color w:val="auto"/>
          <w:spacing w:val="0"/>
          <w:position w:val="0"/>
          <w:sz w:val="24"/>
          <w:shd w:fill="auto" w:val="clear"/>
        </w:rPr>
        <w:t xml:space="preserve">self</w:t>
      </w:r>
      <w:r>
        <w:rPr>
          <w:rFonts w:ascii="Times New Roman" w:hAnsi="Times New Roman" w:cs="Times New Roman" w:eastAsia="Times New Roman"/>
          <w:color w:val="auto"/>
          <w:spacing w:val="0"/>
          <w:position w:val="0"/>
          <w:sz w:val="24"/>
          <w:shd w:fill="auto" w:val="clear"/>
        </w:rPr>
        <w:t xml:space="preserve">, caracterizadas por imagens ambivalentes e dissociadas. Muitas vezes, estas representações negativas internalizadas continuam a causar distorções nas relações de adultos, </w:t>
      </w:r>
    </w:p>
    <w:p>
      <w:pPr>
        <w:tabs>
          <w:tab w:val="left" w:pos="6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percebidas subjetivamente de acordo com o modelo interno anterior negativo com predomínio da identificação projetiva. </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Pode-se observar, portanto, que as representações internas conflitivas e instáveis das figuras cuidadoras são mantidas como modelos de funcionamento que são reeditados nas relações adultas. Este funcionamento se organiza ao redor de características do agressor, tais como inabilidade de manter um senso de estabilidade interna e bem-estar, baixa auto-estima e fronteiras do </w:t>
      </w:r>
      <w:r>
        <w:rPr>
          <w:rFonts w:ascii="Times New Roman" w:hAnsi="Times New Roman" w:cs="Times New Roman" w:eastAsia="Times New Roman"/>
          <w:i/>
          <w:color w:val="auto"/>
          <w:spacing w:val="0"/>
          <w:position w:val="0"/>
          <w:sz w:val="24"/>
          <w:shd w:fill="auto" w:val="clear"/>
        </w:rPr>
        <w:t xml:space="preserve">self</w:t>
      </w:r>
      <w:r>
        <w:rPr>
          <w:rFonts w:ascii="Times New Roman" w:hAnsi="Times New Roman" w:cs="Times New Roman" w:eastAsia="Times New Roman"/>
          <w:color w:val="auto"/>
          <w:spacing w:val="0"/>
          <w:position w:val="0"/>
          <w:sz w:val="24"/>
          <w:shd w:fill="auto" w:val="clear"/>
        </w:rPr>
        <w:t xml:space="preserve"> instáveis. Justamente essas características fazem com que nas relações afetivas, os indivíduos procurem um parceiro que preencha ou resolva estas necessidades internas (Zosky, 1999).</w:t>
      </w:r>
    </w:p>
    <w:p>
      <w:pPr>
        <w:tabs>
          <w:tab w:val="left" w:pos="660" w:leader="none"/>
        </w:tabs>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contrário, os indivíduos que resolvem seus conflitos infantis de modo mais adequado, de acordo com Costa (1992), utilizam em menor amplitude o mecanismo da identificação projetiva, ressaltando que os cônjuges vão para o casamento com uma grande dose de independência e possibilidade de enriquecerem-se uns aos outros e individualmente. Quando há a resolução dos conflitos, as escolhas infantis de objeto podem ser substituídas por outras mais reais e atualizadas. </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Desta forma, as contribuições para a compreensão da personalidade violenta têm origem em diferentes abordagens teóricas, que, entretanto, destacam a importância do trabalho interventivo e preventivo em relação à violência. Considerando a psicanálise, observa-se que este referencial também possibilita uma compreensão aprofundada desta questão, na qual fundamenta modelos de intervenção, bem como de prevenção à violência. Tendo em vista a importância deste tema, seria de fundamental importância que fossem implementados serviços de atendimento ao agressor, podendo estar associado à pena imposta pelo judiciário, uma vez que a lei Maria da Penha prevê medidas punitivas, mas também de reabilitação destes homens.</w:t>
      </w:r>
    </w:p>
    <w:p>
      <w:pPr>
        <w:spacing w:before="0" w:after="0" w:line="48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REFERÊNCIAS BIBLIOGRÁFICAS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136"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Adeodato, V. G., Carvalho, R. R, Siqueira, V. R., Souza, F. G. M. (2005). Qualidade de vida e depressão em mulheres vítimas de seus parceiros. </w:t>
      </w:r>
      <w:r>
        <w:rPr>
          <w:rFonts w:ascii="Times New Roman" w:hAnsi="Times New Roman" w:cs="Times New Roman" w:eastAsia="Times New Roman"/>
          <w:i/>
          <w:color w:val="auto"/>
          <w:spacing w:val="0"/>
          <w:position w:val="0"/>
          <w:sz w:val="24"/>
          <w:shd w:fill="auto" w:val="clear"/>
        </w:rPr>
        <w:t xml:space="preserve">Revista de Saúde Pública, 39</w:t>
      </w:r>
      <w:r>
        <w:rPr>
          <w:rFonts w:ascii="Times New Roman" w:hAnsi="Times New Roman" w:cs="Times New Roman" w:eastAsia="Times New Roman"/>
          <w:color w:val="auto"/>
          <w:spacing w:val="0"/>
          <w:position w:val="0"/>
          <w:sz w:val="24"/>
          <w:shd w:fill="auto" w:val="clear"/>
        </w:rPr>
        <w:t xml:space="preserve">, 108-113.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Alves, A. M; Coura-Filho, P. (2001). Avaliação das ações de atenção às mulheres sob violência no espaço familiar, atendidas no Centro de Apoio à Mulher (Belo Horizonte), entre 1996 e 1998. </w:t>
      </w:r>
      <w:r>
        <w:rPr>
          <w:rFonts w:ascii="Times New Roman" w:hAnsi="Times New Roman" w:cs="Times New Roman" w:eastAsia="Times New Roman"/>
          <w:i/>
          <w:color w:val="auto"/>
          <w:spacing w:val="0"/>
          <w:position w:val="0"/>
          <w:sz w:val="24"/>
          <w:shd w:fill="auto" w:val="clear"/>
        </w:rPr>
        <w:t xml:space="preserve">Ciência &amp; Saúde Coletiva, 6,</w:t>
      </w:r>
      <w:r>
        <w:rPr>
          <w:rFonts w:ascii="Times New Roman" w:hAnsi="Times New Roman" w:cs="Times New Roman" w:eastAsia="Times New Roman"/>
          <w:color w:val="auto"/>
          <w:spacing w:val="0"/>
          <w:position w:val="0"/>
          <w:sz w:val="24"/>
          <w:shd w:fill="auto" w:val="clear"/>
        </w:rPr>
        <w:t xml:space="preserve"> 243-257.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Angulo-Testa, A. de J. (1997). Gênero e violência no âmbito doméstico: a perspectiva dos profissionais de saúde. [Mestrado] Fundação Oswaldo Cruz, Escola Nacional de Saúde Pública;.</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Benetti, S. P. C. (2006). Conflito conjugal: impacto no desenvolvimento psicológico da criança e do adolescente.</w:t>
      </w:r>
      <w:r>
        <w:rPr>
          <w:rFonts w:ascii="Times New Roman" w:hAnsi="Times New Roman" w:cs="Times New Roman" w:eastAsia="Times New Roman"/>
          <w:b/>
          <w:color w:val="auto"/>
          <w:spacing w:val="0"/>
          <w:position w:val="0"/>
          <w:sz w:val="24"/>
          <w:shd w:fill="auto" w:val="clear"/>
        </w:rPr>
        <w:t xml:space="preserve"> Psicol. Reflex. Crit.</w:t>
      </w:r>
      <w:r>
        <w:rPr>
          <w:rFonts w:ascii="Times New Roman" w:hAnsi="Times New Roman" w:cs="Times New Roman" w:eastAsia="Times New Roman"/>
          <w:color w:val="auto"/>
          <w:spacing w:val="0"/>
          <w:position w:val="0"/>
          <w:sz w:val="24"/>
          <w:shd w:fill="auto" w:val="clear"/>
        </w:rPr>
        <w:t xml:space="preserve">,  Porto Alegre.19,  2.</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Bruscato, W. (1998</w:t>
      </w:r>
      <w:r>
        <w:rPr>
          <w:rFonts w:ascii="Times New Roman" w:hAnsi="Times New Roman" w:cs="Times New Roman" w:eastAsia="Times New Roman"/>
          <w:i/>
          <w:color w:val="auto"/>
          <w:spacing w:val="0"/>
          <w:position w:val="0"/>
          <w:sz w:val="24"/>
          <w:shd w:fill="auto" w:val="clear"/>
        </w:rPr>
        <w:t xml:space="preserve">). Tradução, validade e confiabilidade de um inventário de avaliação de relações objetais (BORRTI-Forma O</w:t>
      </w:r>
      <w:r>
        <w:rPr>
          <w:rFonts w:ascii="Times New Roman" w:hAnsi="Times New Roman" w:cs="Times New Roman" w:eastAsia="Times New Roman"/>
          <w:color w:val="auto"/>
          <w:spacing w:val="0"/>
          <w:position w:val="0"/>
          <w:sz w:val="24"/>
          <w:shd w:fill="auto" w:val="clear"/>
        </w:rPr>
        <w:t xml:space="preserve">). Dissertação de Mestrado, Escola Paulista de Medicina, Universidade Federal de São Paulo.</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Carmen, E. H.; Reiker, P. P.; Mills, T. (1984).Victims of violence and psychiatric illness. </w:t>
      </w:r>
      <w:r>
        <w:rPr>
          <w:rFonts w:ascii="Times New Roman" w:hAnsi="Times New Roman" w:cs="Times New Roman" w:eastAsia="Times New Roman"/>
          <w:i/>
          <w:color w:val="auto"/>
          <w:spacing w:val="0"/>
          <w:position w:val="0"/>
          <w:sz w:val="24"/>
          <w:shd w:fill="auto" w:val="clear"/>
        </w:rPr>
        <w:t xml:space="preserve">American Journal of Psychiatry, 14,</w:t>
      </w:r>
      <w:r>
        <w:rPr>
          <w:rFonts w:ascii="Times New Roman" w:hAnsi="Times New Roman" w:cs="Times New Roman" w:eastAsia="Times New Roman"/>
          <w:color w:val="auto"/>
          <w:spacing w:val="0"/>
          <w:position w:val="0"/>
          <w:sz w:val="24"/>
          <w:shd w:fill="auto" w:val="clear"/>
        </w:rPr>
        <w:t xml:space="preserve"> 378383.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Costa, G. P. (1992). </w:t>
      </w:r>
      <w:r>
        <w:rPr>
          <w:rFonts w:ascii="Times New Roman" w:hAnsi="Times New Roman" w:cs="Times New Roman" w:eastAsia="Times New Roman"/>
          <w:i/>
          <w:color w:val="auto"/>
          <w:spacing w:val="0"/>
          <w:position w:val="0"/>
          <w:sz w:val="24"/>
          <w:shd w:fill="auto" w:val="clear"/>
        </w:rPr>
        <w:t xml:space="preserve">Dinâmica das relações conjugais</w:t>
      </w:r>
      <w:r>
        <w:rPr>
          <w:rFonts w:ascii="Times New Roman" w:hAnsi="Times New Roman" w:cs="Times New Roman" w:eastAsia="Times New Roman"/>
          <w:color w:val="auto"/>
          <w:spacing w:val="0"/>
          <w:position w:val="0"/>
          <w:sz w:val="24"/>
          <w:shd w:fill="auto" w:val="clear"/>
        </w:rPr>
        <w:t xml:space="preserve">. São Paulo: Artes Médicas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Day, V. P. et al. (2003), Violência doméstica e suas diferentes manifestações.</w:t>
      </w:r>
      <w:r>
        <w:rPr>
          <w:rFonts w:ascii="Times New Roman" w:hAnsi="Times New Roman" w:cs="Times New Roman" w:eastAsia="Times New Roman"/>
          <w:i/>
          <w:color w:val="auto"/>
          <w:spacing w:val="0"/>
          <w:position w:val="0"/>
          <w:sz w:val="24"/>
          <w:shd w:fill="auto" w:val="clear"/>
        </w:rPr>
        <w:t xml:space="preserve"> Rev. psiquiatr. Rio Gd. Sul</w:t>
      </w:r>
      <w:r>
        <w:rPr>
          <w:rFonts w:ascii="Times New Roman" w:hAnsi="Times New Roman" w:cs="Times New Roman" w:eastAsia="Times New Roman"/>
          <w:color w:val="auto"/>
          <w:spacing w:val="0"/>
          <w:position w:val="0"/>
          <w:sz w:val="24"/>
          <w:shd w:fill="auto" w:val="clear"/>
        </w:rPr>
        <w:t xml:space="preserve"> [online]. 25, suppl. 1, pp.9. </w:t>
        <w:br/>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Debert, G. G.; Gregori, M. F. (2008). Violência e gênero: novas propostas, velhos dilemas</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Rev. bras. Ci. Soc. ,  São Paulo,  23. 66,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Diamond, D. (2004). Attachment Disorganization. The Reunion of Attachment Theory and Psychoanalysis. </w:t>
      </w:r>
      <w:r>
        <w:rPr>
          <w:rFonts w:ascii="Times New Roman" w:hAnsi="Times New Roman" w:cs="Times New Roman" w:eastAsia="Times New Roman"/>
          <w:i/>
          <w:color w:val="auto"/>
          <w:spacing w:val="0"/>
          <w:position w:val="0"/>
          <w:sz w:val="24"/>
          <w:shd w:fill="auto" w:val="clear"/>
        </w:rPr>
        <w:t xml:space="preserve">Psychoanalytic Psychology, 21,</w:t>
      </w:r>
      <w:r>
        <w:rPr>
          <w:rFonts w:ascii="Times New Roman" w:hAnsi="Times New Roman" w:cs="Times New Roman" w:eastAsia="Times New Roman"/>
          <w:color w:val="auto"/>
          <w:spacing w:val="0"/>
          <w:position w:val="0"/>
          <w:sz w:val="24"/>
          <w:shd w:fill="auto" w:val="clear"/>
        </w:rPr>
        <w:t xml:space="preserve"> 276–299.</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D'Oliveira, A. F. P. L.; Schraiber, L. B.; Hanada, H.;  Durand, J. (2009). Atenção integral à saúde de mulheres em situação de violência de gênero: uma alternativa para a atenção primária em saúde.</w:t>
      </w:r>
      <w:r>
        <w:rPr>
          <w:rFonts w:ascii="Times New Roman" w:hAnsi="Times New Roman" w:cs="Times New Roman" w:eastAsia="Times New Roman"/>
          <w:i/>
          <w:color w:val="auto"/>
          <w:spacing w:val="0"/>
          <w:position w:val="0"/>
          <w:sz w:val="24"/>
          <w:shd w:fill="auto" w:val="clear"/>
        </w:rPr>
        <w:t xml:space="preserve"> Ciência &amp; saúde coletiva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14</w:t>
      </w:r>
      <w:r>
        <w:rPr>
          <w:rFonts w:ascii="Times New Roman" w:hAnsi="Times New Roman" w:cs="Times New Roman" w:eastAsia="Times New Roman"/>
          <w:color w:val="auto"/>
          <w:spacing w:val="0"/>
          <w:position w:val="0"/>
          <w:sz w:val="24"/>
          <w:shd w:fill="auto" w:val="clear"/>
        </w:rPr>
        <w:t xml:space="preserve">, 1037-1050.</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Dutton, D.; Goland, S. (1997). </w:t>
      </w:r>
      <w:r>
        <w:rPr>
          <w:rFonts w:ascii="Times New Roman" w:hAnsi="Times New Roman" w:cs="Times New Roman" w:eastAsia="Times New Roman"/>
          <w:i/>
          <w:color w:val="auto"/>
          <w:spacing w:val="0"/>
          <w:position w:val="0"/>
          <w:sz w:val="24"/>
          <w:shd w:fill="auto" w:val="clear"/>
        </w:rPr>
        <w:t xml:space="preserve">El golpeador. Un perfil psicológico</w:t>
      </w:r>
      <w:r>
        <w:rPr>
          <w:rFonts w:ascii="Times New Roman" w:hAnsi="Times New Roman" w:cs="Times New Roman" w:eastAsia="Times New Roman"/>
          <w:color w:val="auto"/>
          <w:spacing w:val="0"/>
          <w:position w:val="0"/>
          <w:sz w:val="24"/>
          <w:shd w:fill="auto" w:val="clear"/>
        </w:rPr>
        <w:t xml:space="preserve">. Buenos Aires: Paidós.</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Dutton, G. (2007). Rethinking Domestic Violence. </w:t>
      </w:r>
      <w:r>
        <w:rPr>
          <w:rFonts w:ascii="Times New Roman" w:hAnsi="Times New Roman" w:cs="Times New Roman" w:eastAsia="Times New Roman"/>
          <w:i/>
          <w:color w:val="auto"/>
          <w:spacing w:val="0"/>
          <w:position w:val="0"/>
          <w:sz w:val="24"/>
          <w:shd w:fill="auto" w:val="clear"/>
        </w:rPr>
        <w:t xml:space="preserve">Canadian Journal of Sociology Online.</w:t>
      </w:r>
      <w:r>
        <w:rPr>
          <w:rFonts w:ascii="Times New Roman" w:hAnsi="Times New Roman" w:cs="Times New Roman" w:eastAsia="Times New Roman"/>
          <w:color w:val="auto"/>
          <w:spacing w:val="0"/>
          <w:position w:val="0"/>
          <w:sz w:val="24"/>
          <w:shd w:fill="auto" w:val="clear"/>
        </w:rPr>
        <w:t xml:space="preserve"> University Of British Columbia Press.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tabs>
          <w:tab w:val="left" w:pos="660" w:leader="none"/>
        </w:tabs>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Dutton, D.</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Personality Dynamics of Intimate Abusiveness </w:t>
      </w:r>
      <w:r>
        <w:rPr>
          <w:rFonts w:ascii="Times New Roman" w:hAnsi="Times New Roman" w:cs="Times New Roman" w:eastAsia="Times New Roman"/>
          <w:i/>
          <w:color w:val="auto"/>
          <w:spacing w:val="0"/>
          <w:position w:val="0"/>
          <w:sz w:val="24"/>
          <w:shd w:fill="auto" w:val="clear"/>
        </w:rPr>
        <w:t xml:space="preserve">Journal of Psychiatric Practice, 8, </w:t>
      </w:r>
      <w:r>
        <w:rPr>
          <w:rFonts w:ascii="Times New Roman" w:hAnsi="Times New Roman" w:cs="Times New Roman" w:eastAsia="Times New Roman"/>
          <w:color w:val="auto"/>
          <w:spacing w:val="0"/>
          <w:position w:val="0"/>
          <w:sz w:val="24"/>
          <w:shd w:fill="auto" w:val="clear"/>
        </w:rPr>
        <w:t xml:space="preserve">216-228</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Eizirik, M; Fonagy, P. (2009).Terapia de mentalização para pacientes com transtorno de personalidade borderline: uma atualização Revista Brasileira de Psiquiatria,  31, 1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Falcke, D, Oliveira D. Z, Rosa. L. W, Bentancur M. (2009). Violência conjugal: um fenômeno interacional. Contextos Clínicos, 2(2): 81-90.</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Fonagy, P., Gergely, G., Jurist, E., et al (2002). </w:t>
      </w:r>
      <w:r>
        <w:rPr>
          <w:rFonts w:ascii="Times New Roman" w:hAnsi="Times New Roman" w:cs="Times New Roman" w:eastAsia="Times New Roman"/>
          <w:i/>
          <w:color w:val="auto"/>
          <w:spacing w:val="0"/>
          <w:position w:val="0"/>
          <w:sz w:val="24"/>
          <w:shd w:fill="auto" w:val="clear"/>
        </w:rPr>
        <w:t xml:space="preserve">Affect Regulation, Mentalization and the Development of the Self.</w:t>
      </w:r>
      <w:r>
        <w:rPr>
          <w:rFonts w:ascii="Times New Roman" w:hAnsi="Times New Roman" w:cs="Times New Roman" w:eastAsia="Times New Roman"/>
          <w:color w:val="auto"/>
          <w:spacing w:val="0"/>
          <w:position w:val="0"/>
          <w:sz w:val="24"/>
          <w:shd w:fill="auto" w:val="clear"/>
        </w:rPr>
        <w:t xml:space="preserve"> New York: Other Press.</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Freud, S. (1976i). </w:t>
      </w:r>
      <w:r>
        <w:rPr>
          <w:rFonts w:ascii="Times New Roman" w:hAnsi="Times New Roman" w:cs="Times New Roman" w:eastAsia="Times New Roman"/>
          <w:i/>
          <w:color w:val="auto"/>
          <w:spacing w:val="0"/>
          <w:position w:val="0"/>
          <w:sz w:val="24"/>
          <w:shd w:fill="auto" w:val="clear"/>
        </w:rPr>
        <w:t xml:space="preserve">O mal-estar na civilização</w:t>
      </w:r>
      <w:r>
        <w:rPr>
          <w:rFonts w:ascii="Times New Roman" w:hAnsi="Times New Roman" w:cs="Times New Roman" w:eastAsia="Times New Roman"/>
          <w:color w:val="auto"/>
          <w:spacing w:val="0"/>
          <w:position w:val="0"/>
          <w:sz w:val="24"/>
          <w:shd w:fill="auto" w:val="clear"/>
        </w:rPr>
        <w:t xml:space="preserve">. Edição standard brasileira das obras completas de Sigmund Freud. Rio de Janeiro: Imago, 1976. 24. (Original publicado em 1930).</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Garbin, C. A. S; Garbin, A. J. I; Dossi, A. P.; Dossi, M. O. (2006). Violência doméstica: análise das lesões em mulheres. </w:t>
      </w:r>
      <w:r>
        <w:rPr>
          <w:rFonts w:ascii="Times New Roman" w:hAnsi="Times New Roman" w:cs="Times New Roman" w:eastAsia="Times New Roman"/>
          <w:i/>
          <w:color w:val="auto"/>
          <w:spacing w:val="0"/>
          <w:position w:val="0"/>
          <w:sz w:val="24"/>
          <w:shd w:fill="auto" w:val="clear"/>
        </w:rPr>
        <w:t xml:space="preserve">Cadernos de Saúde Pública, 22,</w:t>
      </w:r>
      <w:r>
        <w:rPr>
          <w:rFonts w:ascii="Times New Roman" w:hAnsi="Times New Roman" w:cs="Times New Roman" w:eastAsia="Times New Roman"/>
          <w:color w:val="auto"/>
          <w:spacing w:val="0"/>
          <w:position w:val="0"/>
          <w:sz w:val="24"/>
          <w:shd w:fill="auto" w:val="clear"/>
        </w:rPr>
        <w:t xml:space="preserve"> 2567-2573.</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Granja, E.; Medrado, B. (2009). Homens, violência de gênero e atenção integral em saúde.</w:t>
      </w:r>
      <w:r>
        <w:rPr>
          <w:rFonts w:ascii="Times New Roman" w:hAnsi="Times New Roman" w:cs="Times New Roman" w:eastAsia="Times New Roman"/>
          <w:i/>
          <w:color w:val="auto"/>
          <w:spacing w:val="0"/>
          <w:position w:val="0"/>
          <w:sz w:val="24"/>
          <w:shd w:fill="auto" w:val="clear"/>
        </w:rPr>
        <w:t xml:space="preserve"> Psicologia &amp; Sociedade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21</w:t>
      </w:r>
      <w:r>
        <w:rPr>
          <w:rFonts w:ascii="Times New Roman" w:hAnsi="Times New Roman" w:cs="Times New Roman" w:eastAsia="Times New Roman"/>
          <w:color w:val="auto"/>
          <w:spacing w:val="0"/>
          <w:position w:val="0"/>
          <w:sz w:val="24"/>
          <w:shd w:fill="auto" w:val="clear"/>
        </w:rPr>
        <w:t xml:space="preserve">, 25-34.</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Grossi, M.P. (1998). Rimando amor e dor: reflexões sobre violência no vinculo afetivo conjugal. Em Pedro, J. M &amp; Grossi, M.P. (orgs) </w:t>
      </w:r>
      <w:r>
        <w:rPr>
          <w:rFonts w:ascii="Times New Roman" w:hAnsi="Times New Roman" w:cs="Times New Roman" w:eastAsia="Times New Roman"/>
          <w:i/>
          <w:color w:val="auto"/>
          <w:spacing w:val="0"/>
          <w:position w:val="0"/>
          <w:sz w:val="24"/>
          <w:shd w:fill="auto" w:val="clear"/>
        </w:rPr>
        <w:t xml:space="preserve">Masculino, feminino, plural</w:t>
      </w:r>
      <w:r>
        <w:rPr>
          <w:rFonts w:ascii="Times New Roman" w:hAnsi="Times New Roman" w:cs="Times New Roman" w:eastAsia="Times New Roman"/>
          <w:color w:val="auto"/>
          <w:spacing w:val="0"/>
          <w:position w:val="0"/>
          <w:sz w:val="24"/>
          <w:shd w:fill="auto" w:val="clear"/>
        </w:rPr>
        <w:t xml:space="preserve">. Ilha de Santa Catarina: Editora Mulheres.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Guderson, J.G.: Links, P.S. (2008). </w:t>
      </w:r>
      <w:r>
        <w:rPr>
          <w:rFonts w:ascii="Times New Roman" w:hAnsi="Times New Roman" w:cs="Times New Roman" w:eastAsia="Times New Roman"/>
          <w:i/>
          <w:color w:val="auto"/>
          <w:spacing w:val="0"/>
          <w:position w:val="0"/>
          <w:sz w:val="24"/>
          <w:shd w:fill="auto" w:val="clear"/>
        </w:rPr>
        <w:t xml:space="preserve">Boderline personality disorder: a clinical guide.</w:t>
      </w:r>
      <w:r>
        <w:rPr>
          <w:rFonts w:ascii="Times New Roman" w:hAnsi="Times New Roman" w:cs="Times New Roman" w:eastAsia="Times New Roman"/>
          <w:color w:val="auto"/>
          <w:spacing w:val="0"/>
          <w:position w:val="0"/>
          <w:sz w:val="24"/>
          <w:shd w:fill="auto" w:val="clear"/>
        </w:rPr>
        <w:t xml:space="preserve"> 2ª Ed. American psychiatric publishing, inc. Copyright.</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Hermann, L. (2000). </w:t>
      </w:r>
      <w:r>
        <w:rPr>
          <w:rFonts w:ascii="Times New Roman" w:hAnsi="Times New Roman" w:cs="Times New Roman" w:eastAsia="Times New Roman"/>
          <w:i/>
          <w:color w:val="auto"/>
          <w:spacing w:val="0"/>
          <w:position w:val="0"/>
          <w:sz w:val="24"/>
          <w:shd w:fill="auto" w:val="clear"/>
        </w:rPr>
        <w:t xml:space="preserve">Violência Doméstica: A dor que a lei esqueceu. Comentários à Lei n° 9099/95</w:t>
      </w:r>
      <w:r>
        <w:rPr>
          <w:rFonts w:ascii="Times New Roman" w:hAnsi="Times New Roman" w:cs="Times New Roman" w:eastAsia="Times New Roman"/>
          <w:color w:val="auto"/>
          <w:spacing w:val="0"/>
          <w:position w:val="0"/>
          <w:sz w:val="24"/>
          <w:shd w:fill="auto" w:val="clear"/>
        </w:rPr>
        <w:t xml:space="preserve">. Campinas: CEL-LEX.</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Heru Alison M.,</w:t>
      </w:r>
      <w:r>
        <w:rPr>
          <w:rFonts w:ascii="Times New Roman" w:hAnsi="Times New Roman" w:cs="Times New Roman" w:eastAsia="Times New Roman"/>
          <w:b/>
          <w:color w:val="auto"/>
          <w:spacing w:val="0"/>
          <w:position w:val="0"/>
          <w:sz w:val="24"/>
          <w:shd w:fill="auto" w:val="clear"/>
        </w:rPr>
        <w:t xml:space="preserve"> (2007), Advances in Psychiatric Treatment. 13, 376–383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Holtzworth-Munroe, A.; Meehan, J. C. (2004). Typologies of Men Who Are Maritally Violent: Scientific and Clinical Implications</w:t>
      </w:r>
      <w:r>
        <w:rPr>
          <w:rFonts w:ascii="Times New Roman" w:hAnsi="Times New Roman" w:cs="Times New Roman" w:eastAsia="Times New Roman"/>
          <w:i/>
          <w:color w:val="auto"/>
          <w:spacing w:val="0"/>
          <w:position w:val="0"/>
          <w:sz w:val="24"/>
          <w:shd w:fill="auto" w:val="clear"/>
        </w:rPr>
        <w:t xml:space="preserve">. Journal of Interpersonal Violence. 19, </w:t>
      </w:r>
      <w:r>
        <w:rPr>
          <w:rFonts w:ascii="Times New Roman" w:hAnsi="Times New Roman" w:cs="Times New Roman" w:eastAsia="Times New Roman"/>
          <w:color w:val="auto"/>
          <w:spacing w:val="0"/>
          <w:position w:val="0"/>
          <w:sz w:val="24"/>
          <w:shd w:fill="auto" w:val="clear"/>
        </w:rPr>
        <w:t xml:space="preserve">1369-1389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Kernberg, O. F. (1995) </w:t>
      </w:r>
      <w:r>
        <w:rPr>
          <w:rFonts w:ascii="Times New Roman" w:hAnsi="Times New Roman" w:cs="Times New Roman" w:eastAsia="Times New Roman"/>
          <w:i/>
          <w:color w:val="auto"/>
          <w:spacing w:val="0"/>
          <w:position w:val="0"/>
          <w:sz w:val="24"/>
          <w:shd w:fill="auto" w:val="clear"/>
        </w:rPr>
        <w:t xml:space="preserve">Agressão nos transtornos de personalidade e nas perversões.</w:t>
      </w:r>
      <w:r>
        <w:rPr>
          <w:rFonts w:ascii="Times New Roman" w:hAnsi="Times New Roman" w:cs="Times New Roman" w:eastAsia="Times New Roman"/>
          <w:color w:val="auto"/>
          <w:spacing w:val="0"/>
          <w:position w:val="0"/>
          <w:sz w:val="24"/>
          <w:shd w:fill="auto" w:val="clear"/>
        </w:rPr>
        <w:t xml:space="preserve"> Porto Alegre: Artes Médicas.</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Kernberg, O. F., Yeomans, F. E., Clarkin, John F.; Levy, Kenneth N. (2008). Transference focused psychotherapy</w:t>
      </w:r>
      <w:r>
        <w:rPr>
          <w:rFonts w:ascii="Times New Roman" w:hAnsi="Times New Roman" w:cs="Times New Roman" w:eastAsia="Times New Roman"/>
          <w:i/>
          <w:color w:val="auto"/>
          <w:spacing w:val="0"/>
          <w:position w:val="0"/>
          <w:sz w:val="24"/>
          <w:shd w:fill="auto" w:val="clear"/>
        </w:rPr>
        <w:t xml:space="preserve">: Overview and update International Journal Psychoanalysis. 8,</w:t>
      </w:r>
      <w:r>
        <w:rPr>
          <w:rFonts w:ascii="Times New Roman" w:hAnsi="Times New Roman" w:cs="Times New Roman" w:eastAsia="Times New Roman"/>
          <w:color w:val="auto"/>
          <w:spacing w:val="0"/>
          <w:position w:val="0"/>
          <w:sz w:val="24"/>
          <w:shd w:fill="auto" w:val="clear"/>
        </w:rPr>
        <w:t xml:space="preserve"> 601–620.</w:t>
      </w:r>
    </w:p>
    <w:p>
      <w:pPr>
        <w:spacing w:before="0" w:after="0" w:line="360"/>
        <w:ind w:right="0" w:left="0" w:firstLine="567"/>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Kernberg OF, Clarkin JF and Yeomans FE. (2002).</w:t>
      </w:r>
      <w:r>
        <w:rPr>
          <w:rFonts w:ascii="Times New Roman" w:hAnsi="Times New Roman" w:cs="Times New Roman" w:eastAsia="Times New Roman"/>
          <w:i/>
          <w:color w:val="000000"/>
          <w:spacing w:val="0"/>
          <w:position w:val="0"/>
          <w:sz w:val="24"/>
          <w:shd w:fill="auto" w:val="clear"/>
        </w:rPr>
        <w:t xml:space="preserve">Primer of transference focused psychotherapy for the borderline patient</w:t>
      </w:r>
      <w:r>
        <w:rPr>
          <w:rFonts w:ascii="Times New Roman" w:hAnsi="Times New Roman" w:cs="Times New Roman" w:eastAsia="Times New Roman"/>
          <w:color w:val="000000"/>
          <w:spacing w:val="0"/>
          <w:position w:val="0"/>
          <w:sz w:val="24"/>
          <w:shd w:fill="auto" w:val="clear"/>
        </w:rPr>
        <w:t xml:space="preserve">. New York: Jason Aronson;.</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Klein, M. (1989). </w:t>
      </w:r>
      <w:r>
        <w:rPr>
          <w:rFonts w:ascii="Times New Roman" w:hAnsi="Times New Roman" w:cs="Times New Roman" w:eastAsia="Times New Roman"/>
          <w:i/>
          <w:color w:val="auto"/>
          <w:spacing w:val="0"/>
          <w:position w:val="0"/>
          <w:sz w:val="24"/>
          <w:shd w:fill="auto" w:val="clear"/>
        </w:rPr>
        <w:t xml:space="preserve">Os progressos da psicanálise</w:t>
      </w:r>
      <w:r>
        <w:rPr>
          <w:rFonts w:ascii="Times New Roman" w:hAnsi="Times New Roman" w:cs="Times New Roman" w:eastAsia="Times New Roman"/>
          <w:color w:val="auto"/>
          <w:spacing w:val="0"/>
          <w:position w:val="0"/>
          <w:sz w:val="24"/>
          <w:shd w:fill="auto" w:val="clear"/>
        </w:rPr>
        <w:t xml:space="preserve">. Rio de Janeiro: Zahar. (Original publicado em 1932).</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Landolt, M. A; Dutton D. G. (1997). Power and personality: An analysis of gay male intimate abuse</w:t>
      </w:r>
      <w:r>
        <w:rPr>
          <w:rFonts w:ascii="Times New Roman" w:hAnsi="Times New Roman" w:cs="Times New Roman" w:eastAsia="Times New Roman"/>
          <w:i/>
          <w:color w:val="auto"/>
          <w:spacing w:val="0"/>
          <w:position w:val="0"/>
          <w:sz w:val="24"/>
          <w:shd w:fill="auto" w:val="clear"/>
        </w:rPr>
        <w:t xml:space="preserve">. Sex Roles. 37,</w:t>
      </w:r>
      <w:r>
        <w:rPr>
          <w:rFonts w:ascii="Times New Roman" w:hAnsi="Times New Roman" w:cs="Times New Roman" w:eastAsia="Times New Roman"/>
          <w:color w:val="auto"/>
          <w:spacing w:val="0"/>
          <w:position w:val="0"/>
          <w:sz w:val="24"/>
          <w:shd w:fill="auto" w:val="clear"/>
        </w:rPr>
        <w:t xml:space="preserve"> 33558</w:t>
      </w:r>
    </w:p>
    <w:p>
      <w:pPr>
        <w:tabs>
          <w:tab w:val="left" w:pos="660" w:leader="none"/>
        </w:tabs>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Laplanche, J.; Pontalis, JB. (2001). </w:t>
      </w:r>
      <w:r>
        <w:rPr>
          <w:rFonts w:ascii="Times New Roman" w:hAnsi="Times New Roman" w:cs="Times New Roman" w:eastAsia="Times New Roman"/>
          <w:i/>
          <w:color w:val="auto"/>
          <w:spacing w:val="0"/>
          <w:position w:val="0"/>
          <w:sz w:val="24"/>
          <w:shd w:fill="auto" w:val="clear"/>
        </w:rPr>
        <w:t xml:space="preserve">Vocabulário de Psicanálise</w:t>
      </w:r>
      <w:r>
        <w:rPr>
          <w:rFonts w:ascii="Times New Roman" w:hAnsi="Times New Roman" w:cs="Times New Roman" w:eastAsia="Times New Roman"/>
          <w:color w:val="auto"/>
          <w:spacing w:val="0"/>
          <w:position w:val="0"/>
          <w:sz w:val="24"/>
          <w:shd w:fill="auto" w:val="clear"/>
        </w:rPr>
        <w:t xml:space="preserve">. 4ª ed. São Paulo: Martins Fontes.</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Levy K N., Meehan K. B., Kelly, K. M.; Reynoso, J. S.;Weber M.; Clarkin J. F. and Kernberg O. F (2006). </w:t>
      </w:r>
      <w:r>
        <w:rPr>
          <w:rFonts w:ascii="Times New Roman" w:hAnsi="Times New Roman" w:cs="Times New Roman" w:eastAsia="Times New Roman"/>
          <w:b/>
          <w:color w:val="auto"/>
          <w:spacing w:val="0"/>
          <w:position w:val="0"/>
          <w:sz w:val="24"/>
          <w:shd w:fill="auto" w:val="clear"/>
        </w:rPr>
        <w:t xml:space="preserve">Change in Attachment Patterns and Reflective Function in a Randomized Control Trial of Transference-Focused Psychotherapy for Borderline Personality Disorder  </w:t>
      </w:r>
      <w:r>
        <w:rPr>
          <w:rFonts w:ascii="Times New Roman" w:hAnsi="Times New Roman" w:cs="Times New Roman" w:eastAsia="Times New Roman"/>
          <w:color w:val="auto"/>
          <w:spacing w:val="0"/>
          <w:position w:val="0"/>
          <w:sz w:val="24"/>
          <w:shd w:fill="auto" w:val="clear"/>
        </w:rPr>
        <w:t xml:space="preserve">Journal of Consulting and Clinical Psychology, 74, 6, 1027–1040</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Levy, K.N.; Kernberg. O, Yeomans, F. E.: Clarkin, J. F. Transference focused psychotherapy: Overview and update .Int J Psychoanal (2008) 89:601–620</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Minayo, M. C. de 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2005). </w:t>
      </w:r>
      <w:r>
        <w:rPr>
          <w:rFonts w:ascii="Times New Roman" w:hAnsi="Times New Roman" w:cs="Times New Roman" w:eastAsia="Times New Roman"/>
          <w:b/>
          <w:color w:val="auto"/>
          <w:spacing w:val="0"/>
          <w:position w:val="0"/>
          <w:sz w:val="24"/>
          <w:shd w:fill="auto" w:val="clear"/>
        </w:rPr>
        <w:t xml:space="preserve">Laços perigosos entre machismo e violência.</w:t>
      </w:r>
      <w:r>
        <w:rPr>
          <w:rFonts w:ascii="Times New Roman" w:hAnsi="Times New Roman" w:cs="Times New Roman" w:eastAsia="Times New Roman"/>
          <w:color w:val="auto"/>
          <w:spacing w:val="0"/>
          <w:position w:val="0"/>
          <w:sz w:val="24"/>
          <w:shd w:fill="auto" w:val="clear"/>
        </w:rPr>
        <w:t xml:space="preserve"> Ciênc. saúde coletiva, jan./mar..10.1, p.23-26.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Minayo, M. C. de S. (1994). </w:t>
      </w:r>
      <w:r>
        <w:rPr>
          <w:rFonts w:ascii="Times New Roman" w:hAnsi="Times New Roman" w:cs="Times New Roman" w:eastAsia="Times New Roman"/>
          <w:b/>
          <w:color w:val="auto"/>
          <w:spacing w:val="0"/>
          <w:position w:val="0"/>
          <w:sz w:val="24"/>
          <w:shd w:fill="auto" w:val="clear"/>
        </w:rPr>
        <w:t xml:space="preserve">Violência social sob a perspectiva da saúde pública.</w:t>
      </w:r>
      <w:r>
        <w:rPr>
          <w:rFonts w:ascii="Times New Roman" w:hAnsi="Times New Roman" w:cs="Times New Roman" w:eastAsia="Times New Roman"/>
          <w:color w:val="auto"/>
          <w:spacing w:val="0"/>
          <w:position w:val="0"/>
          <w:sz w:val="24"/>
          <w:shd w:fill="auto" w:val="clear"/>
        </w:rPr>
        <w:t xml:space="preserve"> Cad. Saúde Pública. 10 suppl.1, p.S7-S18.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Moore, B. E. &amp; Fine, B. D. (1990). Psychoanalytic Terms and Concepts. </w:t>
      </w:r>
      <w:r>
        <w:rPr>
          <w:rFonts w:ascii="Times New Roman" w:hAnsi="Times New Roman" w:cs="Times New Roman" w:eastAsia="Times New Roman"/>
          <w:i/>
          <w:color w:val="auto"/>
          <w:spacing w:val="0"/>
          <w:position w:val="0"/>
          <w:sz w:val="24"/>
          <w:shd w:fill="auto" w:val="clear"/>
        </w:rPr>
        <w:t xml:space="preserve">The American Psychoanalytic Association and Yale University Press</w:t>
      </w:r>
      <w:r>
        <w:rPr>
          <w:rFonts w:ascii="Times New Roman" w:hAnsi="Times New Roman" w:cs="Times New Roman" w:eastAsia="Times New Roman"/>
          <w:color w:val="auto"/>
          <w:spacing w:val="0"/>
          <w:position w:val="0"/>
          <w:sz w:val="24"/>
          <w:shd w:fill="auto" w:val="clear"/>
        </w:rPr>
        <w:t xml:space="preserve">. New Haven.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Narvaz, M. G. e Koller, S. H.. (2006). </w:t>
      </w:r>
      <w:r>
        <w:rPr>
          <w:rFonts w:ascii="Times New Roman" w:hAnsi="Times New Roman" w:cs="Times New Roman" w:eastAsia="Times New Roman"/>
          <w:b/>
          <w:color w:val="auto"/>
          <w:spacing w:val="0"/>
          <w:position w:val="0"/>
          <w:sz w:val="24"/>
          <w:shd w:fill="auto" w:val="clear"/>
        </w:rPr>
        <w:t xml:space="preserve">Mulheres vítimas de violência doméstica: Compreendendo subjetividades assujeitadas</w:t>
      </w:r>
      <w:r>
        <w:rPr>
          <w:rFonts w:ascii="Times New Roman" w:hAnsi="Times New Roman" w:cs="Times New Roman" w:eastAsia="Times New Roman"/>
          <w:color w:val="auto"/>
          <w:spacing w:val="0"/>
          <w:position w:val="0"/>
          <w:sz w:val="24"/>
          <w:shd w:fill="auto" w:val="clear"/>
        </w:rPr>
        <w:t xml:space="preserve">. PSICO, Porto Alegre, PUCRS, </w:t>
      </w:r>
      <w:r>
        <w:rPr>
          <w:rFonts w:ascii="Times New Roman" w:hAnsi="Times New Roman" w:cs="Times New Roman" w:eastAsia="Times New Roman"/>
          <w:i/>
          <w:color w:val="auto"/>
          <w:spacing w:val="0"/>
          <w:position w:val="0"/>
          <w:sz w:val="24"/>
          <w:shd w:fill="auto" w:val="clear"/>
        </w:rPr>
        <w:t xml:space="preserve">37, </w:t>
      </w:r>
      <w:r>
        <w:rPr>
          <w:rFonts w:ascii="Times New Roman" w:hAnsi="Times New Roman" w:cs="Times New Roman" w:eastAsia="Times New Roman"/>
          <w:color w:val="auto"/>
          <w:spacing w:val="0"/>
          <w:position w:val="0"/>
          <w:sz w:val="24"/>
          <w:shd w:fill="auto" w:val="clear"/>
        </w:rPr>
        <w:t xml:space="preserve">1, pp. 7-13, jan./abr.</w:t>
      </w:r>
      <w:r>
        <w:rPr>
          <w:rFonts w:ascii="Times New Roman" w:hAnsi="Times New Roman" w:cs="Times New Roman" w:eastAsia="Times New Roman"/>
          <w:i/>
          <w:color w:val="auto"/>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Oliveira, D. C. e Souza, L. (2006). </w:t>
      </w:r>
      <w:r>
        <w:rPr>
          <w:rFonts w:ascii="Times New Roman" w:hAnsi="Times New Roman" w:cs="Times New Roman" w:eastAsia="Times New Roman"/>
          <w:b/>
          <w:color w:val="auto"/>
          <w:spacing w:val="0"/>
          <w:position w:val="0"/>
          <w:sz w:val="24"/>
          <w:shd w:fill="auto" w:val="clear"/>
        </w:rPr>
        <w:t xml:space="preserve">Gênero e violência conjugal: concepções de psicólogos</w:t>
      </w:r>
      <w:r>
        <w:rPr>
          <w:rFonts w:ascii="Times New Roman" w:hAnsi="Times New Roman" w:cs="Times New Roman" w:eastAsia="Times New Roman"/>
          <w:color w:val="auto"/>
          <w:spacing w:val="0"/>
          <w:position w:val="0"/>
          <w:sz w:val="24"/>
          <w:shd w:fill="auto" w:val="clear"/>
        </w:rPr>
        <w:t xml:space="preserve">. Estud. pesqui. psicol., dez., 6.2, p.34-50. ISSN 1808-4281.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Pearson C. L.; Doumas, D. M. (2006).</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Adult Attachment as a Risk Factor for Intimate Partner Violence</w:t>
      </w:r>
      <w:r>
        <w:rPr>
          <w:rFonts w:ascii="Times New Roman" w:hAnsi="Times New Roman" w:cs="Times New Roman" w:eastAsia="Times New Roman"/>
          <w:i/>
          <w:color w:val="auto"/>
          <w:spacing w:val="0"/>
          <w:position w:val="0"/>
          <w:sz w:val="24"/>
          <w:shd w:fill="auto" w:val="clear"/>
        </w:rPr>
        <w:t xml:space="preserve">. Boise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State University McNair Scholars Research Journal, 2 41-46.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Porto, J. R. R.; Luz, A. M. H. (2004). Matizes da violência contra a mulher: conhecendo o fenômeno</w:t>
      </w:r>
      <w:r>
        <w:rPr>
          <w:rFonts w:ascii="Times New Roman" w:hAnsi="Times New Roman" w:cs="Times New Roman" w:eastAsia="Times New Roman"/>
          <w:i/>
          <w:color w:val="auto"/>
          <w:spacing w:val="0"/>
          <w:position w:val="0"/>
          <w:sz w:val="24"/>
          <w:shd w:fill="auto" w:val="clear"/>
        </w:rPr>
        <w:t xml:space="preserve">. Revista Gaúcha de Enfermagem, 25,</w:t>
      </w:r>
      <w:r>
        <w:rPr>
          <w:rFonts w:ascii="Times New Roman" w:hAnsi="Times New Roman" w:cs="Times New Roman" w:eastAsia="Times New Roman"/>
          <w:color w:val="auto"/>
          <w:spacing w:val="0"/>
          <w:position w:val="0"/>
          <w:sz w:val="24"/>
          <w:shd w:fill="auto" w:val="clear"/>
        </w:rPr>
        <w:t xml:space="preserve"> 207-218.</w:t>
      </w:r>
    </w:p>
    <w:p>
      <w:pPr>
        <w:spacing w:before="100" w:after="1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Potrich, L., Lima; G. Q; Sá, Samantha D. e Werlang; B. S. G.. Características pessoais e sociodemográficas de mulheres que buscaram ajuda na rede de apoio às mulheres vítimas de violência doméstica de Porto Alegre. X Salão de Iniciação Científica PUCRS, 2009.</w:t>
      </w:r>
    </w:p>
    <w:p>
      <w:pPr>
        <w:spacing w:before="0" w:after="0" w:line="36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Ravazzola, M. C. (1997). Violência familiar: El abuso relacional como un ataque a los derechos humanos. </w:t>
      </w:r>
      <w:r>
        <w:rPr>
          <w:rFonts w:ascii="Times New Roman" w:hAnsi="Times New Roman" w:cs="Times New Roman" w:eastAsia="Times New Roman"/>
          <w:i/>
          <w:color w:val="auto"/>
          <w:spacing w:val="0"/>
          <w:position w:val="0"/>
          <w:sz w:val="24"/>
          <w:shd w:fill="auto" w:val="clear"/>
        </w:rPr>
        <w:t xml:space="preserve">Sistemas Familiares, 23</w:t>
      </w:r>
      <w:r>
        <w:rPr>
          <w:rFonts w:ascii="Times New Roman" w:hAnsi="Times New Roman" w:cs="Times New Roman" w:eastAsia="Times New Roman"/>
          <w:color w:val="auto"/>
          <w:spacing w:val="0"/>
          <w:position w:val="0"/>
          <w:sz w:val="24"/>
          <w:shd w:fill="auto" w:val="clear"/>
        </w:rPr>
        <w:t xml:space="preserve">, 29-42.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Ravazzola, M. C. (1999). </w:t>
      </w:r>
      <w:r>
        <w:rPr>
          <w:rFonts w:ascii="Times New Roman" w:hAnsi="Times New Roman" w:cs="Times New Roman" w:eastAsia="Times New Roman"/>
          <w:i/>
          <w:color w:val="auto"/>
          <w:spacing w:val="0"/>
          <w:position w:val="0"/>
          <w:sz w:val="24"/>
          <w:shd w:fill="auto" w:val="clear"/>
        </w:rPr>
        <w:t xml:space="preserve">Historias infames: Los maltratos en las relaciones</w:t>
      </w:r>
      <w:r>
        <w:rPr>
          <w:rFonts w:ascii="Times New Roman" w:hAnsi="Times New Roman" w:cs="Times New Roman" w:eastAsia="Times New Roman"/>
          <w:color w:val="auto"/>
          <w:spacing w:val="0"/>
          <w:position w:val="0"/>
          <w:sz w:val="24"/>
          <w:shd w:fill="auto" w:val="clear"/>
        </w:rPr>
        <w:t xml:space="preserve">. Buenos Aires: Paidós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Saffioti, H.I.B. </w:t>
      </w:r>
      <w:r>
        <w:rPr>
          <w:rFonts w:ascii="Times New Roman" w:hAnsi="Times New Roman" w:cs="Times New Roman" w:eastAsia="Times New Roman"/>
          <w:b/>
          <w:color w:val="auto"/>
          <w:spacing w:val="0"/>
          <w:position w:val="0"/>
          <w:sz w:val="24"/>
          <w:shd w:fill="auto" w:val="clear"/>
        </w:rPr>
        <w:t xml:space="preserve">O poder do macho</w:t>
      </w:r>
      <w:r>
        <w:rPr>
          <w:rFonts w:ascii="Times New Roman" w:hAnsi="Times New Roman" w:cs="Times New Roman" w:eastAsia="Times New Roman"/>
          <w:color w:val="auto"/>
          <w:spacing w:val="0"/>
          <w:position w:val="0"/>
          <w:sz w:val="24"/>
          <w:shd w:fill="auto" w:val="clear"/>
        </w:rPr>
        <w:t xml:space="preserve">. (1987/1999). ed. São Paulo, Ed. Moderna..</w:t>
      </w:r>
    </w:p>
    <w:p>
      <w:pPr>
        <w:keepNext w:val="true"/>
        <w:spacing w:before="0" w:after="55" w:line="36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Schmidt-Hellerau. (2002). </w:t>
      </w:r>
      <w:r>
        <w:rPr>
          <w:rFonts w:ascii="Times New Roman" w:hAnsi="Times New Roman" w:cs="Times New Roman" w:eastAsia="Times New Roman"/>
          <w:color w:val="000000"/>
          <w:spacing w:val="0"/>
          <w:position w:val="0"/>
          <w:sz w:val="24"/>
          <w:shd w:fill="auto" w:val="clear"/>
        </w:rPr>
        <w:t xml:space="preserve">C. Why aggression</w:t>
      </w:r>
      <w:r>
        <w:rPr>
          <w:rFonts w:ascii="Times New Roman" w:hAnsi="Times New Roman" w:cs="Times New Roman" w:eastAsia="Times New Roman"/>
          <w:i/>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The</w:t>
      </w:r>
      <w:r>
        <w:rPr>
          <w:rFonts w:ascii="Times New Roman" w:hAnsi="Times New Roman" w:cs="Times New Roman" w:eastAsia="Times New Roman"/>
          <w:color w:val="5D5D5D"/>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International Journal of Psychoanalysis p. 1269–1289,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Schraiber, L. B. e D'Oliveira, A. F. L. P. (1999). </w:t>
      </w:r>
      <w:r>
        <w:rPr>
          <w:rFonts w:ascii="Times New Roman" w:hAnsi="Times New Roman" w:cs="Times New Roman" w:eastAsia="Times New Roman"/>
          <w:b/>
          <w:color w:val="auto"/>
          <w:spacing w:val="0"/>
          <w:position w:val="0"/>
          <w:sz w:val="24"/>
          <w:shd w:fill="auto" w:val="clear"/>
        </w:rPr>
        <w:t xml:space="preserve">Violência contra mulheres: interfaces com a Saúde.</w:t>
      </w:r>
      <w:r>
        <w:rPr>
          <w:rFonts w:ascii="Times New Roman" w:hAnsi="Times New Roman" w:cs="Times New Roman" w:eastAsia="Times New Roman"/>
          <w:color w:val="auto"/>
          <w:spacing w:val="0"/>
          <w:position w:val="0"/>
          <w:sz w:val="24"/>
          <w:shd w:fill="auto" w:val="clear"/>
        </w:rPr>
        <w:t xml:space="preserve"> Interface _ Comunicação, Saúde, Educação.3, 5.</w:t>
      </w:r>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keepNext w:val="true"/>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keepNext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Silva, J. F. R.; Yazigi, L.; Fiore, M. L. M.</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 Psicanálise e Universidade: a interface possível por meio da pesquisa psicanalítica clínica. Alice quebra-vidros. Bras. Psiquiatr. 30. 2. São Paulo  </w:t>
      </w:r>
    </w:p>
    <w:p>
      <w:pPr>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p>
    <w:p>
      <w:pPr>
        <w:spacing w:before="100" w:after="1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Tolman, R., &amp; Edleson, J. (1995). Intervention for men who batter: A review of research. In S. Stith &amp; M. Straus (Eds.), </w:t>
      </w:r>
      <w:r>
        <w:rPr>
          <w:rFonts w:ascii="Times New Roman" w:hAnsi="Times New Roman" w:cs="Times New Roman" w:eastAsia="Times New Roman"/>
          <w:i/>
          <w:color w:val="000000"/>
          <w:spacing w:val="0"/>
          <w:position w:val="0"/>
          <w:sz w:val="24"/>
          <w:shd w:fill="auto" w:val="clear"/>
        </w:rPr>
        <w:t xml:space="preserve">Understanding partner violence: Prevalence, causes, consequences and solutions </w:t>
      </w:r>
      <w:r>
        <w:rPr>
          <w:rFonts w:ascii="Times New Roman" w:hAnsi="Times New Roman" w:cs="Times New Roman" w:eastAsia="Times New Roman"/>
          <w:color w:val="000000"/>
          <w:spacing w:val="0"/>
          <w:position w:val="0"/>
          <w:sz w:val="24"/>
          <w:shd w:fill="auto" w:val="clear"/>
        </w:rPr>
        <w:t xml:space="preserve">(pp. 262-273). Minneapolis, MN: National Council on Family Relations.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Zosky, D. L., ACSW, LCSW. (1999). The application of object relations. Theory to domestic violence. </w:t>
      </w:r>
      <w:r>
        <w:rPr>
          <w:rFonts w:ascii="Times New Roman" w:hAnsi="Times New Roman" w:cs="Times New Roman" w:eastAsia="Times New Roman"/>
          <w:i/>
          <w:color w:val="auto"/>
          <w:spacing w:val="0"/>
          <w:position w:val="0"/>
          <w:sz w:val="24"/>
          <w:shd w:fill="auto" w:val="clear"/>
        </w:rPr>
        <w:t xml:space="preserve">Clinical Social Work Journal, 27,</w:t>
      </w:r>
      <w:r>
        <w:rPr>
          <w:rFonts w:ascii="Times New Roman" w:hAnsi="Times New Roman" w:cs="Times New Roman" w:eastAsia="Times New Roman"/>
          <w:color w:val="000025"/>
          <w:spacing w:val="0"/>
          <w:position w:val="0"/>
          <w:sz w:val="24"/>
          <w:shd w:fill="auto" w:val="clear"/>
        </w:rPr>
        <w:t xml:space="preserve"> 55-69</w:t>
      </w:r>
    </w:p>
    <w:p>
      <w:pPr>
        <w:spacing w:before="0" w:after="0" w:line="360"/>
        <w:ind w:right="0" w:left="0" w:firstLine="708"/>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MÍSTICA DO RACISMO”: TRAJETÓRIA SOCIOESPACIAL DE ESTUDANTES NEGRAS</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Diogo Marçal Cirqueira</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Instituto de Estudos Sócio-Ambientais/UFG</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Orientador: Dr. Alex Ratts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Nós, as pessoas quem tem uma trajetória na educação formal, nos deparamos com embates bastante complexos no ambiente escolar que refletem as hierarquias, taxações e estereótipos presentes na sociedade. Estudantes, professores, funcionários, pais, mães, enfim, toda a comunidade relacionada ao espaço educativo, está contida em uma teia de pré-conceitos e subalternizações que influenciam todos e todas, atuando com mais efeito junto aos grupos e indivíduos que são estereotipados como inferiores na sociedade. Apesar de encontrarmos discursos na escola que ressaltam a igualdade entre todos os indivíduos, nos defrontamos sempre com um campo de relações marcadas pelo gênero, raça, sexualidade, etnia etc. que conformam diferenças qualificadas e hierarquizadas.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pensamos especificamente as relações étnico-raciais na escola, não podemos deixar de destacar o quão é exaltado o ideário da “democracia racial” brasileira, ou seja, do Brasil como o “paraíso racial” o “país da mistura”. Isso pode ser observado desde os livros didáticos adotados até as falas de professoras/es – tanto nas reuniões de planejamento pedagógico quanto em sala aula. Apesar disso, da existência de um discurso que arrazoa a igualdade independente da “cor”, do “sexo”, do “credo” etc., percebemos a atuação perversa de preconceitos – notadamente o racismo. E isso, também vai desde os livros didáticos até as falas dos professores/as.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Parece paradoxal e contraditório o que pontuamos acima, mas, de forma exemplar, são os livros que trazem um discurso fundado na “democracia racial”, os mesmos que apresentam imagens e conteúdos estereotipados e racistas acerca da população negra (CIRQUEIRA et all, 2006/2007; SILVA, 2005); são as/os mesmos professoras/os que destacam a “igualdade entre todos e todas independente da cor, sexo ou credo”, os que reconhecem seus alunas/os por características físicas – e não findando por aí, as/os diferenciam pelas características, qualificam a partir dessas características, ironizam essas características e, em casos extremos, stabelecem tratamentos diferenciados a partir dessas características (CAVALLEIRO, 2000, 2005).</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Acerca da atuação do racismo junto a estudantes negras e negros, são emblemáticos os dados divulgados pela UNESCO no trabalho “Relações Raciais na Escola: reprodução de desigualdades em nome da igualdade”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(CASTRO e ABRAMOVAY, 2006), pois demonstram que a atuação do racismo na escola proporciona às/aos estudantes negras/os proficiências médias inferiores a de estudantes brancas/os. A pesquisa, realizada junto a estudantes que continham índices socioeconômicos similares e situações educacionais idênticas, revelou que o desempenho de estudantes negras/os é mais baixo, na ordem de “22,4 pontos”, do que de estudantes brancas/os. Assim, fundamentado nessa pesquisa, podemos afirmar sem pestanejar que a discriminação racial na educação formal tem sido o fator de estímulo para um baixo rendimento escolar, um aumento e possibilidade de repetência e um redutor da freqüência às salas de aulas por parte de estudantes negros/as.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Esse é um dos grandes problemas do racismo, ele está e insurge, paradoxalmente, de onde menos se espera – inclusive de atos e ações banais e isso influencia intensamente todas/os estudantes. Contudo, as estudantes negras são as principais violentadas nessas relações.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neste artigo pretendemos lançar luz sobre um assunto que muitos tem dificuldade em “enxergar”, isto é, a atuação combinada do racismo junto às estudantes negras nos espaços de educação formal.  Inclusive, dessa constatação foi extraído o título; pois, a mística do racismo envolve uma série de relações que não são notadas por muitas pessoas, chegam a ser algo “misterioso” e “sobrenatural”, em outras palavras, parecem não existir para muitos, contudo, para aquelas que sofrem com o racismo cotidianamente, ele existe de fato e atua como um ritualmente em suas vidas – o que se traduz por frustrações constantes.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Várias pesquisas quantitativas já demonstram problemas vivenciados na educação por estudantes negras (IPEA 1999; PNUD 2005; UNESCO 2006), porém as pesquisas qualitativas que buscam discutir a situação das estudantes negras na educação formal se restringem, em sua grande maioria, ao ensino básico (CAVALLEIRO, 2005, 2000; MUNANGA, 2005; GOMES, 2002, 2005; BRASIL, 2004). Além disso, estas de forma especifica a realidade da estudante negra, a inserindo na categoria de estudante sem ressaltar o gênero. No ensino superior, a partir de pesquisas quantitativas, sabemos do número ínfimo de estudantes negras nesses locais (PNUD, 2005)</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Dessa maneira, pretendemos preencher as lacunas referentes aos dados quantitativos sobre o assunto e entender como se dá a trajetória vivenciada por estudantes negras nos vários lugares de educação formal até o seu ingresso e permanência na universidade. É fundamental e necessária uma análise qualitativa das trajetórias das estudantes negras que conseguiram chegar à Universidade, tendo em vista a dificuldade e os obstáculos com que estas se depararam até chegar a este local de ensino.</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 alguma forma, fugimos dos números estatísticos aqui e buscamos dar voz às estudantes negras. Para isso realizamos entrevistas com estudantes da Universidade Federal de Goiás (UFG). Foram entrevistadas doze (11) estudantes negras. Os cursos que estas freqüentam são os seguintes: Biblioteconomia (duas estudantes), Artes Visuais (duas estudantes), Ciências Sociais, Educação Musical, Pedagogia, Economia, Nutrição, Medicina e Jornalismo. A idade mínima entre as estudantes é de dezenove (19) anos e a máxima de trinta e quatro (34) anos, no entanto, a maioria das idades se concentra em vinte dois (22) e vinte três (23) anos. Referente ao turno em que estudam na UFG, cinco (05) estudam no período matutino, uma no período vespertino, três (03) em regime integral e três (03) no período noturno. Do conjunto dessas, sete (06) estavam em seu segundo ano de faculdade cursada, três (03) no quarto ano de faculdade cursada e duas (02) no quinto ano.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artigo está estruturado na seguinte forma: primeiramente faremos uma discussão acerca de raça e racismo e pontuamos nossa perspectiva acerca dessas categorias existentes na sociedade brasileira. Buscamos discutir, assim, como o racismo influencia na trajetória socioespacial de indivíduos; posteriormente, apresentamos e analisamos os relatos das estudantes negras sobre suas vivências na escola e na universidade; por fim, faremos as considerações finais.</w:t>
      </w:r>
    </w:p>
    <w:p>
      <w:pPr>
        <w:spacing w:before="0" w:after="0" w:line="360"/>
        <w:ind w:right="0" w:left="0" w:firstLine="708"/>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CORPOREIDADE NEGRA E TRAJETÓRIAS SOCIOESPACIAIS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artigo partimos da perspectiva de que a categoria raça – conseqüentemente, o racismo, como a operacionalização da raça – são construções sociais, que não possuem nenhuma fundamentação em aspectos naturais e/ou biológicos (MUNANGA, 1998; GUIMARÃES, 1999).</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É a partir dessa noção que o racismo atua como ideologia na sociedade determinando e estabelecendo definições de “superioridades/inferioridades” e de “papéis na sociedade” (MOORE, 2007); chegando ao seu limite, como um sistema de morte ou de interrupção de trajetórias junto a grupos e pessoas que possuem marcadores racializados (OLIVEIRA, GERALDES, LIMA </w:t>
      </w:r>
      <w:r>
        <w:rPr>
          <w:rFonts w:ascii="Times New Roman" w:hAnsi="Times New Roman" w:cs="Times New Roman" w:eastAsia="Times New Roman"/>
          <w:i/>
          <w:color w:val="auto"/>
          <w:spacing w:val="0"/>
          <w:position w:val="0"/>
          <w:sz w:val="24"/>
          <w:shd w:fill="auto" w:val="clear"/>
        </w:rPr>
        <w:t xml:space="preserve">et al, </w:t>
      </w:r>
      <w:r>
        <w:rPr>
          <w:rFonts w:ascii="Times New Roman" w:hAnsi="Times New Roman" w:cs="Times New Roman" w:eastAsia="Times New Roman"/>
          <w:color w:val="auto"/>
          <w:spacing w:val="0"/>
          <w:position w:val="0"/>
          <w:sz w:val="24"/>
          <w:shd w:fill="auto" w:val="clear"/>
        </w:rPr>
        <w:t xml:space="preserve">1998</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disso, não podemos generalizar as relações que envolvem construções de raça e de racismo, pois, são constructos sociais, históricos e políticos, e nesses termos possuem suas diferencialidades e formas de se manifestar no tempo e no espaço. Assim, o que define estritamente essas categorias, é o fato de que elas se assentam em interesses e discursos sociais que se configuram como um modo de identificação, diferenciação e classificação de grupos humanos e pessoas na sociedade.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especificidades dos aspectos históricos da formação social brasileira, influenciada pela escravização de africanos, pelo racismo e pelo patriarcalismo, definem os aspectos das relações sociais que aqui nos deparamos. Nogueira (1985), em pesquisas realizadas na década de 1950, ressaltou as características das relações étnico-raciais e a atuação do “preconceito de cor” no Brasil frente as existentes nos Estados Unidos. O autor propôs que, enquanto no último existia um “racismo de origem”, ou seja, um racismo que se caracteriza por uma “linha de cor” bem definida que separava brancos e não-brancos, fundamentada pela origem ancestral do indivíduo, no Brasil perdurava um racismo de “marca” ou de “cor”, em que quanto mais características negro-africanas o indivíduo carregasse fenotipicamente, mais estaria propenso a ser alvo de discriminação racial.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sentido, acreditamos que o corpo se coloca como um elemento central para se entender essa problemática no Brasil. É a corporeidade construída historicamente que, nas relações de “encontro/confronto” entre negras/os e brancas/os, aciona as noções de “inferioridade” e “superioridade”. Como ressalta Santos (2000, 2002), a partir do momento em que a corporeidade negra é significada em uma sociedade racista, dele são “mutiladas” a individualidade e a cidadania, além de lhe ser subtraída a própria humanidade.</w:t>
      </w: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questão étnico-racial também está diretamente imbricada ao espaço. Como observa Ratts (2003), em suas discussões acerca dessa questão, há uma intersecção entre gênero, raça e espaço, o que proporciona a conformação de espacialidades – simbólicas e materiais – por grupos sociais baseadas nessas categorias. Pois, uma vez que o Brasil comporta espacialidades diversas, qualificadas pelas relações étnico-raciais, o espaço é elemento constitutivo e produto de encontros/confrontos étnicos e raciais (RATTS, 2004). E isso envolve não somente a constituição de espaços de “exclusão” ou imaginário-estereotipados, mas também, espaços de resistência.  </w:t>
      </w:r>
    </w:p>
    <w:p>
      <w:pPr>
        <w:spacing w:before="0" w:after="0" w:line="312"/>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é por acaso que existe no dito popular a frase – muitas vezes com conotação negativa: “... lugar de negro (ou preto)”. É importante nos atentarmos a essa frase que pode parecer ingênua, pois, na medida em que se é socialmente identificado um “... lugar de negro”, conseqüentemente, também se é determinado um “... lugar de branco” – ambos carregados de significações. Da mesma forma, como demonstrou Massey (1994; 2000), que a violência sexista restringe a mobilidade de mulheres no espaço, a atuação do racismo, por meio da violência física ou simbólica, leva negros/as – as mulheres negras principalmente, devido o acúmulo de violências – a, em alguns locais, se sentirem “fora de lugar”.</w:t>
      </w:r>
    </w:p>
    <w:p>
      <w:pPr>
        <w:spacing w:before="0" w:after="0" w:line="360"/>
        <w:ind w:right="0" w:left="0" w:firstLine="709"/>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É justamente essa questão que procuramos analisar nas trajetórias socioespaciais de estudantes negras: como estas estudantes se relacionam com os lugares da educação formal? É importante nos centrarmos no espaço que compõe as trajetórias de estudantes negras, neste caso a escola e a universidade, pois estes foram por tempos espaços negados à população negra e, o pior, são locais de atuação do racismo.</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ESCOLA, “LUGAR DE NEGRA...”?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Primeiramente devemos ressaltar que as estudantes negras em suas trajetórias socioespaciais perpassam por vários lugares, os quais, como dito anteriormente, são significados pelas estudantes por meio de suas vivências e experiências. Assim, destacaremos aqui os lugares da educação formal, inicialmente a escola – ensino infantil, fundamental e médio – e posteriormente a Universidade, uma vez que foram citados pelas estudantes como alguns dos lugares perversos, referente a vivências racistas, pelos quais perpassaram em suas trajetórias.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das primeiras questões que se evidencia nas falas das estudantes é como a escola se coloca como um lugar “hostil” para elas, cujo racismo é um dos elementos definidores dessa situação. A estudante de Pedagogia Maya dá o tom dessa questão. A mesma relata os problemas que vivenciou na escola juntamente com sua irmã. Migrante de uma cidade do interior do Estado do Maranhão e provinda de “família humilde”, a estudante narra a diferenças que encontrou na escola pública para onde se transferiu em Goiânia:</w:t>
      </w:r>
    </w:p>
    <w:p>
      <w:pPr>
        <w:spacing w:before="240" w:after="24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maior diferença que eu tive na escola do Maranhão pra cá, e minha irmã também teve, é que no Maranhão a gente... Assim, aluno, aluno! e aqui não, a gente chegou e era “neguinha”, “pretinha”  (...) Era uma coisa pejorativa, era pra te deixar pra baixo.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Doci (estudante de Nutrição) relata ter estudado em colégios particulares onde era visível a não presença de pessoas negras, isso levava ela, e os outros estudantes negros, a serem sempre colocados em evidência, mas de uma forma negativa. Como a mesma narra: “Eu lembro que na 7ª série foi o ano em que mais teve negros estudando comigo, eram 8 de 40 alunos. Nós nos sentávamos todos juntos, e as pessoas falavam, ‘ali é a periferia da sala’, as vezes até nós mesmos falávamos isso num tom de brincadeira, sabe”.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fala dessa estudante reflete a atuação dos estereótipos racistas e o processo de subjetivação negativa de negras e negros na escola, ou seja, além de serem vistos como “diferentes”, são ligados a “pobreza”, a “periferia”, a algo considerado negativo, e o que é pior, em uma forma de auto defesa, os estudantes abarcam esses preconceitos e se auto-identificam com eles.</w:t>
      </w:r>
    </w:p>
    <w:p>
      <w:pPr>
        <w:spacing w:before="0" w:after="12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Claudia (estudante de Medicina) estudou em colégios semelhantes ao da estudante citada acima, ou seja, era ínfima a presença de pessoas negras, e o conflito étnico-racial era constante, o que ela denominou de “meio hostil”. Ao ser perguntada porque esse meio era hostil, ela diz:</w:t>
      </w:r>
    </w:p>
    <w:p>
      <w:pPr>
        <w:spacing w:before="0" w:after="0" w:line="240"/>
        <w:ind w:right="0" w:left="2520"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acho que o meio é hostil porque no colégio sempre tive apelidos; “cabelo de bombril, cabelo disso, cabelo daquilo...”, o livro didático, eu não sei como é hoje, mas antigamente era só o menininho e a menininha branquinha, sabe? Todo mundo feliz, branco... Acho que isso acaba sendo hostil num país como o Brasil. É revista, é televisão... é um modelo de beleza importado, européia. Todo mundo acha que é o bonito e que você não se enquadra. Nas aulas de geografia sempre falavam, “nossa no Nordeste só tem gente feia”. “A é, porque que no nordeste só tem gente feia? Porque lá só tem negro, mestiço e mulato e no sul só tem loiro do olho azul?”... Isso é hostil pra mim.</w:t>
      </w: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certa forma, a fala de Claudia dá aporte ao que várias/os autoras/es afirmam acerca da escola, isto é, este local está repleto de práticas racistas, que vão desde as relações interpessoais que envolvem estudantes, professores e funcionários, até o material didático-pedagógico utilizado, que invisibiliza ou estereotipa a população negra (CAVALLEIRO, 2000, 2005; GOMES, 2005; GOMES E SILVA, 2002; SILVA, 2003).</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fator que podemos enfatizar aqui, e que ainda está contido na escola como lugar “hostil”, são os insultos racistas aos quais as estudantes negras são submetidas. O “insulto racial”, como denota Guimarães (2002), se configura como uma tentativa de legitimar uma hierarquia social baseada na idéia de raça, ou um processo ritual que, retomando um significado socialmente construído para o corpo, visa “ensinar” aos subalternos a subordinação e a subserviência, através da humilhação.</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relato de Joane (Estudante de Ciências Sociais) exemplifica bem a discussão feita acima.</w:t>
      </w:r>
    </w:p>
    <w:p>
      <w:pPr>
        <w:spacing w:before="240" w:after="24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época que eu estudava no Colégio Interno Católico estava tendo um evento, tinha várias freiras, seminaristas e padres, e estava havendo uma confraternização. Eu estava conversando com o Padre Osmar, que era uma pessoa que tinha um certo grau de importância na Diocese, ai me parece que o Padre Edimilson, que era o atual reitor do seminário, não sei se ele se sentiu incomodado... Aí, eu mais algumas amigas estávamos conversando com o padre Osmar, e veio o padre Edimilson e falou, mais ou menos assim, “abriram as portas da senzala”, e depois ele falou assim citando meu nome, “bom eram os tempos dos grilhões e dos troncos”. Na hora fiquei muito nervosa, mas tentei revidar da forma mais tranqüila. Ai, falei assim, “não sei como um cara, professor, teólogo e filosofo, tido como ‘cabeça’ na Diocese ainda tem esses preconceitos tão antigos e da mais alta ignorância”. Na época rolou a maior discussão, as pessoas que estavam no local todas se voltaram contra ele... Teve outros fatos também, mas eu não gosto muito de relatar...</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Nada melhor para reafirmar a subalternidade e a subserviência de uma pessoa negra do que taxá-la de escravo. O interessante é que essa afirmação racista foi cometida por um professor, ou melhor, por um “padre, teólogo e filósofo”. Isso demonstra, como foi explicitado por Cavalleiro (2005), que a maioria dos profissionais da educação não estão preparados para tratar da questão étnico-racial na educação. Estes tendem a se silenciar frente ao ato racista, o naturalizando (CAVALLEIRO, 2000), ou, as vezes, são os próprios agentes da atuação explicita do racismo, como expresso nesse fato.</w:t>
      </w:r>
    </w:p>
    <w:p>
      <w:pPr>
        <w:spacing w:before="0" w:after="0" w:line="36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questão é também explicitada na fala a baixo:</w:t>
      </w:r>
    </w:p>
    <w:p>
      <w:pPr>
        <w:spacing w:before="240" w:after="240" w:line="240"/>
        <w:ind w:right="0" w:left="2517"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No cursinho, foi um professor de matemática, ele chegou na frente rindo e as pessoas perguntaram o que era, e era uma piada, era uma piada racista. Eu não me lembro o conteúdo da piada, só sei que tinha um judeu, um negro, não sei mais quem, eu não me lembro da piada. Ele contou e todo mundo achou muita graça, todo mundo riu. Eu fiquei muito impressionada. Gente, no ano de 2005... eu fiquei muito chocada. Aí, assim, eu não levantei o braço, mas eu deveria ter levantado... eu já dei muita ‘rata’ na minha vida! Porque eu fiquei muito sem graça, mas eu mandei um bilhete: “é uma vergonha pro nosso país um professor racista, um professor que leciona num país como o Brasil e ser racista. O que você ta ensinando para seus alunos?”. Eu fiquei completamente decepcionada e me senti extremamente ofendida, mandei esse bilhete pra ele sem assinar nem nada, deveria ter assinado. (CLAUDIA, ESTUDATE DE MEDICINA)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mitificações criadas no bojo da escravização dos povos africanos e as construções pseudo-científicas do século XIX, pressupunham um desenvolvimento desigual entre as “raças humanas” (SANTOS, 2005). Fatores que estavam inseridos nesse ideário era a não-humanidade e a emocionalidade exacerbada da/o negra/o, em outras palavras, a “animalidade” e a “irracionalidade”.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escola estes pressupostos permanecem de alguma forma vivos e se manifestam por meio de ofensas, xingamentos, apelidos, enfim, por meio dos insultos raciais. Sofia (estudante de Letras) relata que além de ser insultada como “burra”, um animal que é sinônimo de não inteligência, é impedida de se relacionar com colegas pelo fato de ser negra:</w:t>
      </w:r>
    </w:p>
    <w:p>
      <w:pPr>
        <w:spacing w:before="120" w:after="120" w:line="240"/>
        <w:ind w:right="0" w:left="2517"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Essa fase [ensino fundamental] foi quando eu mais sofri com o preconceito mesmo. É a fase que as crianças são mais ruins. Elas falavam, “essa negra burra... ah, não sabe de nada”. Como eu sempre fui boa aluna sempre os professores me defendiam... uma vez eu briguei com uma colega, eu tinha uns 12 anos, porque ela não queria que eu fosse colega do irmão dela porque eu era negra. Foi muito difícil.</w:t>
      </w:r>
    </w:p>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corpo negro parece ser o principal alvo dos insultos raciais e da violência simbólica na escola, especialmente o cabelo. Este, um símbolo da feminilidade, é o principal alvo e o reflexo da violência simbólica contra o corpo negro. Claudia (estudante de Medicina) nos conta os problemas referentes ao seu cabelo no colégio em que estudou:</w:t>
      </w:r>
    </w:p>
    <w:p>
      <w:pPr>
        <w:spacing w:before="12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 colégio sempre tive apelidos; “cabelo de bombril”, “cabelo disso”, “cabelo daquilo...”, sabe? Essas hostilidades sempre acontecem, com bilhetinho, esse tipo de coisa (...) “Claudia, você gostaria de almoçar na minha casa, porque no final você poderia usar seu cabelo para ajudar minha mãe a lavar as louças”, anônimo. E verbal, assim, tem aquele menino chato que você briga com ele e ele fala: “oh, cabelo de bombril”, etc.</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das manifestações racistas ocorridas nas escolas estarem majoritariamente no plano do discurso, do “insulto racial”, elas não se limitam a esta esfera. A violência física pautada pelo racismo também foi relatada. Como expõe Maya (Estudante de Pedagogia) acerca de sua irmã: “A gente sofria muito com as implicâncias dos meninos. Chegaram a cortar o cabelo dela [da irmã]. ‘é bombril, é bombril!’, eles ficavam gritando. Ela ficou aterrorizada. Ela não queria voltar à escola. Inclusive apanhou pra voltar pra escola. Acho que isso fez com ela perdesse completamente o ânimo de estudar.”</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relatos acima dão a dimensão do sentimento que a atuação do racismo na escola proporciona às estudantes negras: “terror”, “medo”, “sofrimento”, “desânimo”, “hostilidade” etc.. Nessas circunstâncias podemos entender, ao menos em partes, porque as taxas de evasão entre estudantes negras/os é maior do que a de estudantes brancas/os (IPEA, 1999), e porque, também, o desempenho de estudantes negras/os é menor do que de estudantes brancas/os (UNESCO, 2006).</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Uma estudante, resumidamente, diz o que significava o lugar escola para ela – o que, de certa forma, representa para maioria das entrevistadas: “a escola para mim era um tormento (...) Eu tinha pavor imenso de escola.” (MAYA, ESTUDANTE DE PEDAGOGIA).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podemos observar nos relatos acima, os problemas vivenciados na escola, expressos por meio de piadas, apelidos, brincadeiras, risos zombeteiros, chegando até à violência física propiciam um impacto junto às estudantes negras. E isso as leva, conseqüentemente, </w:t>
      </w:r>
    </w:p>
    <w:p>
      <w:pPr>
        <w:spacing w:before="120" w:after="120" w:line="240"/>
        <w:ind w:right="0" w:left="2517"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 auto-rejeição, desenvolvimento de baixa auto-estima com ausência de reconhecimento de capacidade pessoal; rejeição ao seu outro igual racialmente; timidez, pouca ou nenhuma participação em sala de aula; ausência de reconhecimento positivo de seu pertencimento racial; dificuldades no processo de aprendizagem; recusa em ir à escola e, conseqüentemente, evasão escolar (CAVALLEIRO, 2005, p. 12).</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disso, as estudantes não se colocam inertes a esse processo racista, elas estabelecem vários mecanismos de reação para se defenderem, ou melhor, “sobreviverem na escola” – estes, porém, nem sempre são positivos. Um dos mecanismos de autodefesa que podemos citar é a “auto-invisibilização” em sala de aula. A estudante busca formas de não ser percebida em sala de aula.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Várias estudantes mencionaram ter, em sala de aula, esse tipo de comportamento que é marcado estritamente pelo “medo” e pela “vergonha”; medo de se manifestar e a vergonha de ser vista.</w:t>
      </w:r>
    </w:p>
    <w:p>
      <w:pPr>
        <w:spacing w:before="0" w:after="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sempre me sentava no meio, nunca me sentava na frente porque as pessoas iam ficar me olhando e eu tinha vergonha de mim. Eu me sentava no meio, era bem calada, nunca fui bagunceira, sempre fui uma aluna muito tranqüila que fazia todas as suas obrigações. </w:t>
      </w:r>
    </w:p>
    <w:p>
      <w:pPr>
        <w:spacing w:before="0" w:after="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Você intervia muito nas aulas, fazia perguntas?</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Não, de jeito nenhum. Nem ia ao banheiro. Porque Eu tinha muita vergonha. (...) Vergonha do processo de levantar, ir ao banheiro e todo mundo me olhar, então eu não perguntava nada. (CLAUDIA, ESTUDANTE DE MEDICINA)</w:t>
      </w:r>
    </w:p>
    <w:p>
      <w:pPr>
        <w:spacing w:before="120" w:after="120" w:line="240"/>
        <w:ind w:right="0" w:left="2517"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Eu sempre ficava na última cadeira, não sei se era pra mim preservar, eu mesmo criei aquela barreira... não sei. (...) Quando a professora falava pra mim ler, eu pensava que tinham que me levar para o hospital, eu começava a tremer, suar, vinha uma nuvem escura nas minhas vistas... eu não gostava. Gostava de ficar lá no fundo: “não me vejam, não estou aqui!” (ZORA, ESTUDANTE DE MÚSICA)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vez que os discursos que inferiorizam o negro são tidos como “naturais” ou como “algo comum” na escola, por não existirem outros discursos que a eles se contraponham, outro mecanismo de defesa é partir para a própria luta física.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Pois, já que não há o conhecimento de argumentos que possam desconstruir os estereótipos, a briga acaba se tornando a única solução, como demonstra o relato:</w:t>
      </w:r>
    </w:p>
    <w:p>
      <w:pPr>
        <w:spacing w:before="240" w:after="240" w:line="240"/>
        <w:ind w:right="0" w:left="2517"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Eu fui como bolsista para uma escola no centro de Goiânia. Foi nessa época, dentro dessa escola, que eu passei pelos piores problemas. Entrando nos problemas raciais. Na minha época tinha dois ou três negros, no máximo, na escola... Como eu não conhecia nada sobre a questão de justiça, não sabia que existiam leis para esse tipo de coisa, achava que era comum, minha reação era juntar minha turminha e partir pra briga. Desde de criança eu nunca tolerei esse tipo de coisa, nem piadinha, a não ser hoje, que já sei quando as pessoas me tratam carinhosamente. (JOANE, ESTUDANTE DE CIÊNCIAS SOCIAIS)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explicita Souza (1983, p. 40), tido como inferior na sociedade, a pessoa negra precisa redobrar seus esforços, potencializar ao máximo suas capacidades, ser o melhor. Isso, “na realidade, na fantasia, para se afirmar, para minimizar, compensar o ‘defeito’, para ser aceito”. Essa era uma das atitudes das estudantes frente ao conflito racial, como coloca Kizzy (estudante de Economia):</w:t>
      </w:r>
    </w:p>
    <w:p>
      <w:pPr>
        <w:spacing w:before="120" w:after="120" w:line="240"/>
        <w:ind w:right="0" w:left="2517"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Tem situações tão naturais que a gente nem percebe que está sendo alvo de discriminação. Às vezes você entra num lugar as pessoas te olham diferente, não sei se pelo jeito de se vestir ou pela cor da pele. As vezes você está num grupo, alguém tem que ser escolhido, você tinha tudo para ser escolhido e não foi. Por que? Entendeu... Mas, eu tento contornar tudo disso, fazendo sempre o melhor de mim. Eu tento correr atrás do prejuízo, porque esse é um fator que infelizmente interfere na minha vida e na sociedade... Porque ser negro é diferente de ser branco. (...) Na escola, eu lembro que demorou muito até eu conseguir impor respeito em relação a isso [a discriminação racial]. Eu sempre fiz questão de me destacar e me impor, e provar para as pessoas que eu poderia ser a melhor.</w:t>
      </w: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Maya (estudante de Pedagogia), tirar boas notas era a insígnia dessa fuga, como podemos notar:</w:t>
      </w:r>
    </w:p>
    <w:p>
      <w:pPr>
        <w:spacing w:before="120" w:after="120" w:line="240"/>
        <w:ind w:right="0" w:left="2517"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Eu sempre tento muito me superar. No ensino fundamental era mais uma forma de fugir. Eu tinha que ser a melhor aluna porque as pessoas enchiam tanto a minha paciência que uma forma de mostrar pra eles que... bom, vocês podem me chamar de “neguinha”, falar o que for, mas eu vou sempre ser a melhor da turma. Eu sempre tirava um dez, e era minha forma de me vingar. No ensino médio, não. Eu fiquei mais quieta. (MAYA, ESTUDANTE DE PEDAGOGIA)</w:t>
      </w:r>
    </w:p>
    <w:p>
      <w:pPr>
        <w:keepNext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keepNext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Zora (estudante de Música), fazendo eco aos relatos acima, fala dos problemas que o “rótulo” de ser a melhor aliado ao “medo” lhe proporcionaram: </w:t>
      </w:r>
    </w:p>
    <w:p>
      <w:pPr>
        <w:spacing w:before="12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gostava da escola, porque eu gosto de estudar. Eu até era rotulada [como boa aluna], não sei se eu fazia isso pelo rótulo ou porque eu era negra, ou pelos dois. Eu sempre tirava notas muito boas, eu era sempre apontada na sala como a que tira nota boa. Meus pais também sempre falavam, “ela tira nota boa, é a melhor da sala”, aquelas coisas de pais. Eu tive um problema com isso e estou resolvendo agora aqui na faculdade, depois desse tempo todo. Porque é difícil sair do rótulo. Na época em que eu terminei a 8ª série tinha prova pro CEFET, e eu queria fazer Escola Técnica. Aí, eu queria fazer Eletrotécnica, mas eu não fui porque eu tinha medo de não passar e decepcionar meus pais. E eu fiquei com isso até hoje. O vestibular também eu retardei por muito tempo com medo de não passar, devido esse rótulo... “Como, uma menina nota dez não passar?!?”. O rótulo é horrível.</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fim gostaríamos de destacar duas falas. A primeira diz respeito a uma situação em que uma estudante negra é surpreendida com uma piada racista: </w:t>
      </w:r>
    </w:p>
    <w:p>
      <w:pPr>
        <w:spacing w:before="12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fiz cursinho preparatório para o vestibular (...) um colega de Anápolis, não sei se tem alguma coisa a ver, mas muita gente pode ser loira e não ter preconceito, ele era branco do olho azul. Eu tava conversando com um colega e ele veio rindo falando, “gente eu tenho uma piada pra falar pra vocês”, e contou uma piada racista. Era assim, “qual é a diferença entre o negro e a pilha”... Gente, eu fiquei calada, não acreditei, como ele veio contar isso pra mim, uma negra. Deve ser porque algumas pessoas negras devem achar isso muito normal pra ele ter vindo falar isso pra mim. Ai eu fiquei parada e meu colega ficou muito sem graça, porque ele era muito amigo meu. Ai, ele continuou: “é que a pilha tem um lado negativo e outro positivo, e o negro só tem o lado negativo”. Eu lembro que, ninguém tinha vindo pra mim pra contar uma piada racista antes, eu fiquei muito chocada, juro por deus. Eu fiquei sem reação, eu devia ter falado alguma coisa. Eu não falei nada, eu fiquei muito assustada. (CLAUDIA, ESTUDANTE DE MEDICINA)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Nesse relato é nítida a – aparente – naturalidade com que o ato racista ocorreu, demonstrando como se dá a atuação do racismo na escola; violento e ao mesmo tempo dissimulado e não perceptível. É óbvio que o ato racista é dissimulado e não perceptível para algumas pessoas, pois para aquelas que são afligidos pela ação racista nada passa despercebido.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segunda conjuga os vários relatos citados acima e levanta os problemas pelos quais negras e negros passam no ensino formal básico, isto é, adversidades econômicas, a atuação do racismo e a própria negação de sua capacidade intelectual. Isso implica imaginar que a estudante que passa por esse nível de ensino é uma verdadeira “sobrevivente”. </w:t>
      </w:r>
    </w:p>
    <w:p>
      <w:pPr>
        <w:spacing w:before="0" w:after="0" w:line="240"/>
        <w:ind w:right="0" w:left="2517"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Nas escolas quando você não tem uma condição financeira muito boa, as pessoas te excluem, não te deixam entrar nos grupinhos etc. E as pessoas que são negras e não tem dinheiro é mais complicado. Você sobrevive porque tem que sobreviver, você tem que suportar... Ser negro e ser pobre é muito complicado, e ter dignidade mais ainda. Porque as pessoas te olham com outro olhar... Primeiro, se você é negro as pessoas te olham e falam logo, “você é empregada domestica, você é pedreiro...”, as pessoas tem dificuldade em aceitar que você é negro, é inteligente, que você tem dignidade e que você consegue as coisas, sem fazer alguma coisa errada. (SOFIA, ESTUDANTE DE LETRAS)</w:t>
      </w:r>
    </w:p>
    <w:p>
      <w:pPr>
        <w:spacing w:before="0" w:after="0" w:line="36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UNIVERSIDADE: “FACA DE DOIS GUMES”</w:t>
      </w:r>
    </w:p>
    <w:p>
      <w:pPr>
        <w:spacing w:before="0" w:after="0" w:line="360"/>
        <w:ind w:right="0" w:left="0" w:firstLine="0"/>
        <w:jc w:val="both"/>
        <w:rPr>
          <w:rFonts w:ascii="Verdana" w:hAnsi="Verdana" w:cs="Verdana" w:eastAsia="Verdana"/>
          <w:b/>
          <w:color w:val="auto"/>
          <w:spacing w:val="0"/>
          <w:position w:val="0"/>
          <w:sz w:val="22"/>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 dúvida a atuação do racismo no ensino básico, aliado a outros fatores, influencia na trajetória de estudantes negras a ponto de interferir em projetos e escolhas (TEIXEIRA, 2003; QUEIROZ, 2004). A opção do curso, a opção da universidade em que participará do processo seletivo, a idade em que fará o processo seletivo e, conseqüentemente, quando entrará na universidade, é um dilema para as estudantes negras.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ainda que sejam problemas para estudantes de vários segmentos sociais, no tocante as estudantes negras incide de forma mais intensa.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maioria dos sujeitos dessa pesquisa refletem as assertivas colocadas acima. Muitas tiveram que começar a trabalhar muito cedo e aliar o estudo em escolas públicas precárias com o trabalho. Além disso, tiveram que conviver com a violência racista, o que influenciou em suas escolhas e decisões, como podemos observar nos seguinte relato:</w:t>
      </w:r>
    </w:p>
    <w:p>
      <w:pPr>
        <w:spacing w:before="0" w:after="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Eu era rotulada [como boa aluna], não sei se eu fazia isso pelo rótulo ou porque eu era negra, ou pelos dois. Eu sempre tirava notas muito boas, eu era sempre apontada na sala como “a que tira nota boa” (...) </w:t>
      </w:r>
    </w:p>
    <w:p>
      <w:pPr>
        <w:spacing w:before="0" w:after="0" w:line="240"/>
        <w:ind w:right="0" w:left="2517"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Por que você decidiu fazer música?</w:t>
      </w:r>
    </w:p>
    <w:p>
      <w:pPr>
        <w:spacing w:before="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Eu sempre gostei de música. A primeira música que eu ouvi eu senti uma emoção tão grande... Assim, até hoje eu lembro a primeira música que eu ouvi, eu tinha uns três, quatro anos, foi a música dos Beatles, Hey Jude. Eu falei, “nossa...”. Até hoje a música me emociona, sabe? E eu retardei esse processo de medo de não passar mesmo... pelo rótulo. (ZORA, ESTUDANTE DE MÚSICA)</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Poderíamos considerar esses relatos como “normais” de estudantes de baixa renda, no entanto, mesmo que isso não se coloque de forma nítida à primeira vista, a violência racista juntamente com outros fatores proporciona às estudantes negras uma situação psicológica desvantajosa frente às/aos estudantes brancas/os: o “medo”, a desmotivação, a auto-estima baixa etc., construídos devido a uma trajetória desvirtuada, são os principais aspectos disso. Como observa Bourdieu (1996, p. 188), </w:t>
      </w:r>
    </w:p>
    <w:p>
      <w:pPr>
        <w:spacing w:before="240" w:after="24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nível de aspiração dos indivíduos se determina, em grande parte, em referência às probabilidades (intuitivamente estimadas através dos sucessos ou das derrotas anteriores) de atingir o alvo visado. ‘Aquele que vence’, escreve Lewin, ‘situa seu próprio alvo’ um pouco mais (mas não muito) acima de seu último êxito. Assim ele eleva regularmente seu nível de aspiração (aquele que malogra, por outro lado, pode ter duas reações diferentes: ele pode situar seu alvo muito baixo, freqüentemente aquém de seu êxito passado (...) ou então, ele situa seu alvo acima de suas possibilidades.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podemos observar nos relatos de Zora, o que reflete o argumento de Bourdieu, os sujeitos de nossa pesquisa, em sua maioria, fazem muitas vezes escolhas que recaem sobre cursos da área de humanas, ou seja, carreiras menos valorizadas no mercado de trabalho e menos concorridas no exame vestibular, atitudes consideradas por elas como “realistas” diante das possibilidades a que se colocam. Isso demonstra um nível mais baixo de “aspiração”, o que está vinculado às experiências marcadas pela discriminação, como também, às “limitações” impostas por uma origem nas classes sociais desfavorecidas.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Podemos demonstrar aqui a desmotivação imposta às estudantes negras baseada em idéias racistas, como a de “incapacidade intelectual”; um estigma que persegue as/os estudantes negras/os antes e depois da entrada na Universidade.</w:t>
      </w:r>
    </w:p>
    <w:p>
      <w:pPr>
        <w:spacing w:before="240" w:after="240" w:line="240"/>
        <w:ind w:right="0" w:left="252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Quando eu entrei pelo vestibular não existia essa questão de cotas aqui, mas quando eu passei na UFG eu ouvi muita gente dizer que só passei porque foi por cotas. Eu perguntei, “por que, você acha que eu não tenho capacidade para passar na universidade?”. E quando a gente faz esse tipo de pergunta para as pessoas elas não conseguem responder, porque elas não conseguem assumir o preconceito. Só que falam através de piadas, de situações, mas quando a gente enfrenta elas, elas ficam sem argumentos... Eu escutei isso de um médico. Ele falou pensando que eu não estava ouvindo, aí eu perguntei, “por que você acha que eu passei só por causa das cotas, se quando eu passei não existia, não estava aprovado”, ai ele falou, “é brincadeira”, dando desculpa. (SOFIA, ESTUANTE DE LETRAS)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relatos acima além de refletirem o preconceito, que estereotipa a negra como “menos intelectual”, ainda exprime a dimensão espacial disso, ou seja, há ideários que delimitam espaços destinados a brancas/os e negras/os (RATTS, 2004), e a Universidade pública parece não ser um “lugar de preta” (GONZALEZ, 1984). Além disso, a segunda fala evidencia uma das características perversas do racismo brasileiro: apesar de violento se esconde atrás “da brincadeira”, o que não permite a defesa daquela que sofre a ação racista.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Essa imposição de uma “não capacidade intelectual” e o conseqüente não espelhamento para com a Universidade, leva as/os estudantes negras/os acharem que este “é um espaço inalcançável.” (CELIE, ESTUDANTE DE ARTES) ou, como mencionou uma estudante, “pra mim era o Olímpo, um lugar para os deuses. Muito longe de mim.” (ZORA, ESTUDANTE DE MÚSICA).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fato que está vinculado a estes, é o local Universidade não figurar no imaginário e nas perspectivas para o “futuro” das estudantes negras anteriormente ao acesso. Sofia (estudante de Letras) demonstra isso quando questionada sobre sua “visão” referente a universidade antes de nela ingressar: “Eu não tinha idéia nenhuma. Eu entrei na Universidade sem ter uma visão do que era universidade.”. Já Maya (estudante de Pedagogia), provinda de família pobre, que não pode lhe proporcionar uma base para o planejamento futuro dos seus estudos, teve como principal incentivador o pai. Como a estudante relata, ao findar o ensino médio não possuía qualquer idéia do que era a universidade – principalmente a pública – e seu objetivo principal era se inserir no mercado de trabalho – como a maioria das/os estudantes negras/os. </w:t>
      </w:r>
    </w:p>
    <w:p>
      <w:pPr>
        <w:spacing w:before="120" w:after="120" w:line="240"/>
        <w:ind w:right="0" w:left="25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Eu não tinha nem uma idéia sobre a universidade. Aconteceu foi o seguinte: eu ia terminar o segundo grau e ia trabalhar, como todo mundo na periferia pensa, mas meu pai dizia: “quem não estuda, não tem futuro!”, e ele falou pra mim: “o que você quer fazer?” e eu respondi: “eu vou trabalhar”, e ele, “não, você vai entrar na universidade”. Isso foi um choque pra mim, porque meu pai é pedreiro, minha mãe empregada doméstica. Assim, entrar na universidade foi atitude dele: “Maya vai entrar na universidade!”. E muita gente ficou: “não, a menina tem 18 anos, tá boa pra trabalhar”, e ele, “não, ela vai estudar!”. (MAYA, ESTUDANTE DE PEDAGOGIA)</w:t>
      </w:r>
    </w:p>
    <w:p>
      <w:pPr>
        <w:spacing w:before="0" w:after="12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Outro aspecto que podemos destacar na trajetória dessa estudante diz respeito a escolha do curso na Universidade. Mesmo com referências que influenciaram em sua escolha, esbarrou não somente nos problemas econômicos como também no “estranhamento” junto às pessoas de um dos cursos ao qual optara.</w:t>
      </w:r>
    </w:p>
    <w:p>
      <w:pPr>
        <w:spacing w:before="0" w:after="120" w:line="240"/>
        <w:ind w:right="0" w:left="252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Na época foram os dois cursos que me chamaram atenção: pedagogia e psicologia. Pedagogia sempre teve uma história comigo, minha mãe queria ser professora, além dessa história da minha infância com meus professores. Já Psicologia, eu vim conhecer o curso antes. Porque ninguém tinha noção de nada lá em casa. Eu visitei o curso na Católica, mas pense numa pessoa que se sentiu ‘um peixe fora d’água’. Não sei, parece que eu não me identifiquei com as pessoas, com a faculdade. Eu gostei muito do curso, mas não consegui me achar (...) Pelo que eu vi as pessoas que estudavam no curso tinham uma condição financeira bem elevada... meu pai iria conseguir pagar o curso, disso eu tinha certeza, mas e aí? Como eu vô fazer com os livros? Como vô fazer com as coisas? E esse pessoal? Eu estava visitando com uma amiga minha e eles ficavam olhando assim, e eu... “que que eu to fazendo aqui?”. Eu não me achei no curso, na estrutura do prédio. Aqui na faculdade educação eu olhei assim, as pessoas com as carinhas mais amistosas, pessoas que pareciam que tinham uma condição... sei lá. (MAYA, ESTUDANTE DE PEDAGOGIA)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 a entrada na UFG, uma das questões citadas pelas estudantes negras foi o estranhamente junto às pessoas, e mesmo, atinente a localidade. Os mesmos evidenciaram, principalmente, a pouca quantidade de pessoas negras na UFG e a influência disso em suas vidas acadêmicas. </w:t>
      </w:r>
    </w:p>
    <w:p>
      <w:pPr>
        <w:spacing w:before="120" w:after="120" w:line="240"/>
        <w:ind w:right="0" w:left="2517"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Pra mim era o Olímpo, um lugar para os deuses. Muito longe de mim [a UFG]. Quando eu entrei me senti num lugar estranho. Era um lugar muito grande pra mim. Eu me sentia assim, “o que eu to fazendo aqui? quem sou eu?”. O comportamento das pessoas, a distância mesmo, física, né (risos). Mas assim, é um lugar dos sonhos e depois que você ta lá dentro você fica meio perdida. Eu me sentia perdida, eu tinha medo de ir aqui ali, porque eu não sabia se podia entrar em certos lugares, entrar na sala, entrar na biblioteca. (ZORA, ESTUDANTE DE MÚSICA) </w:t>
      </w:r>
    </w:p>
    <w:p>
      <w:pPr>
        <w:keepNext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continua a estudante,</w:t>
      </w:r>
    </w:p>
    <w:p>
      <w:pPr>
        <w:keepNext w:val="true"/>
        <w:spacing w:before="0" w:after="0" w:line="240"/>
        <w:ind w:right="0" w:left="2517" w:firstLine="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vezes eu me sinto sozinha, né? Teve uma palestra que eu participei na universidade, eu olhei assim, você só vê você de negra. Na sala de aula só tem brancos. Assim, aí a gente se sente sozinha. </w:t>
      </w:r>
    </w:p>
    <w:p>
      <w:pPr>
        <w:keepNext w:val="true"/>
        <w:spacing w:before="0" w:after="0" w:line="240"/>
        <w:ind w:right="0" w:left="2517" w:firstLine="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Você acha que isso influencia na sua vida acadêmica?</w:t>
      </w:r>
      <w:r>
        <w:rPr>
          <w:rFonts w:ascii="Times New Roman" w:hAnsi="Times New Roman" w:cs="Times New Roman" w:eastAsia="Times New Roman"/>
          <w:color w:val="auto"/>
          <w:spacing w:val="0"/>
          <w:position w:val="0"/>
          <w:sz w:val="20"/>
          <w:shd w:fill="auto" w:val="clear"/>
        </w:rPr>
        <w:t xml:space="preserve"> </w:t>
      </w:r>
    </w:p>
    <w:p>
      <w:pPr>
        <w:keepNext w:val="true"/>
        <w:spacing w:before="0" w:after="0" w:line="240"/>
        <w:ind w:right="0" w:left="2517" w:firstLine="6"/>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Sim. Nessas escolhas de ficar na frente, eles não vão colocar uma pessoa diferente das outras, vão deixar essa pessoa mais atrás, por último. Que nem a mulher falou né? “deixe sei currículo e aguarde que eu vou te procurar”, mas isso não acontece. (ZORA, ESTUDANTE DE MÚSICA)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Referente à universidade, encontramos perspectivas diferenciadas entre algumas entrevistadas. Fatores como a família e a escola que freqüentaram no ensino fundamental e média tiveram um grande influência. Claudia (Estudante de Medicina), provinda de uma família de profissionais da medicina – o pai, a mãe e a irmã são dessa área, teve toda uma estrutura para ingressar no curso de medicina;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não somente influência de referências pessoais na família, como também incentivo econômico para permanecer fazendo cursinho pré-vestibular. </w:t>
      </w:r>
    </w:p>
    <w:p>
      <w:pPr>
        <w:spacing w:before="12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me lembro que isso me aterrorizava [o vestibular] no terceiro ano, porque eu queria fazer medicina, mas eu tinha medo. Eu sabia que não ia passar. E aí prestei pra veterinária, porque eu tinha esperança de chegar lá e gostar. Aí, fiz uma semana, olhei e pensei “não tem jeito!”. Fiz três anos de cursinho e passei pra medicina. (...) Eu não sei se tem influência do meio, acho que com certeza deve ter, pois meu pai é médico, minha mãe é médica. Sei como é a rotina, cresci ouvindo isso, cresci vendo isso... Não sei se teve influência pra mim, mas acho que agente não ta livre, nossas escolhas tem influência de alguma coisa, querendo ou não. Mas assim, foi vontade mesmo. Eu sabia como era o ritmo, eu achava interessante, eu achava legal, achava apaixonante. O que eu queria fazer de minha vida, sabe?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quando Claudia (estudante de Medicina) é questionada sobre sua estada na UFG e a questão étnico-racial, a mesma alega não ter vivenciado problemas “explícitos” de racismo na universidade, no entanto ela percebe a falta de estudantes negras/os em sua faculdade e reitera: </w:t>
      </w:r>
    </w:p>
    <w:p>
      <w:pPr>
        <w:spacing w:before="12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como uma estudante de medicina, acho que sou uma minoria muito grande [se referindo a ínfima ou inexistente presença de negras/os no curso de medicina]. Porque na minha sala não tem nenhum negro, só eu de negra. Da faculdade tem os estudantes africanos, como estudantes de convênio... eu só conheço três negros que posso considerar negros em toda a faculdade de medicina. </w:t>
      </w: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Continuando a refletir sobre o fato de ser uma negra em um lugar majoritariamente composto por brancas/os, ou seja, “a exceção” – nas palavras da estudante, a mesma se utiliza do exemplo do pai, que é negro e professor da Faculdade de Medicina da UFG para ponderar sobre essa questão:</w:t>
      </w:r>
    </w:p>
    <w:p>
      <w:pPr>
        <w:spacing w:before="120" w:after="24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Meu pai é professor da medicina, faz muito tempo, desde da década 70 (...) Meu pai tem aquela imagem de “bom brasileiro”: que saiu da pobreza, que lutou muito, que é negro, chegou lá com força de vontade e hoje é médico. As pessoas adoram meu pai, acham ele um exemplo.  Então, essa é a imagem do meu pai, e ele é negro e é muito calado. Eu não sei o que ele viveu no passado, o que ele sofreu de preconceito. Lógico que ele sofreu alguma coisa, eu já perguntei uma vez, mas ele não fala nada. Lógico que ele sofreu alguma coisa, acho que ele não quer falar. Mas ele é querido por todos. Eu converso isso com a minha mãe, né. Será que isso é verdadeiro ou será que eles aumentam o carinho porque meu pai é negro e ta lá também e isso dá um status diferente para as pessoas. Sei lá, será se as pessoas se aproximam pra diminuir a culpa, pra falar que tem um amigo negro, não sei, sabe? (CLAUDIA, ESTUDANTE DE MEDICINA)</w:t>
      </w:r>
    </w:p>
    <w:p>
      <w:pPr>
        <w:keepNext w:val="true"/>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Joane (estudante de Ciências Sociais) também fala sobre o fato de ser negro na UFG e sobre as relações, que, como a mesma coloca, se dão de forma “camuflada”, mas ao mesmo tempo atuantes no que se refere ao racismo:</w:t>
      </w:r>
    </w:p>
    <w:p>
      <w:pPr>
        <w:spacing w:before="120" w:after="24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Quem é negro sabe. Sabe que em determinados espaços da universidade que você vai as pessoas te olham diferente... é muito difícil falar, porque você percebe olhares diferentes, sempre que você esta em um local em que vai ser distribuído funções... Você vai na reitoria, por exemplo... eu fui na reitoria com quatro amigos meus, brancos, e percebi um tratamento diferenciado entre nós. Cumprimentaram eles e não me cumprimentaram... algumas amigas minhas negras também notaram isso, não sei se você notou? (...) Aqui na universidade, na UFG, as pessoas conseguem camuflar muito bem algumas coisas... </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Várias entrevistadas falaram das vivências envolvendo a questão étnico-racial na universidade, no entanto, aqui gostaria de destacar uma estudante. A mesma ingressou no ano de 2003 no curso de Pedagogia, ano em que o debate acerca das políticas de Ações Afirmativas entrou em evidência, devido a implementação de cotas em algumas universidades brasileiras.Além disso, a entrevistada participou de um projeto de ações afirmativas na UFG para estudantes negras/os, o </w:t>
      </w:r>
      <w:r>
        <w:rPr>
          <w:rFonts w:ascii="Times New Roman" w:hAnsi="Times New Roman" w:cs="Times New Roman" w:eastAsia="Times New Roman"/>
          <w:i/>
          <w:color w:val="auto"/>
          <w:spacing w:val="0"/>
          <w:position w:val="0"/>
          <w:sz w:val="24"/>
          <w:shd w:fill="auto" w:val="clear"/>
        </w:rPr>
        <w:t xml:space="preserve">Projeto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Passagem do Meio</w:t>
      </w:r>
      <w:r>
        <w:rPr>
          <w:rFonts w:ascii="Times New Roman" w:hAnsi="Times New Roman" w:cs="Times New Roman" w:eastAsia="Times New Roman"/>
          <w:color w:val="auto"/>
          <w:spacing w:val="0"/>
          <w:position w:val="0"/>
          <w:sz w:val="24"/>
          <w:shd w:fill="auto" w:val="clear"/>
        </w:rPr>
        <w:t xml:space="preserve">. Como a mesma menciona, ela era sempre fustigada e pressionada em sala de aula no que diz respeito a estas discussões, por ela ser negra e também por participar de um projeto de Ação Afirmativa. Isso a deixava extremamente constrangida, o que ocasionou brigas com as/os colegas de turma e a levou ao isolamento em sala de aula:</w:t>
      </w:r>
    </w:p>
    <w:p>
      <w:pPr>
        <w:spacing w:before="120" w:after="24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eu briguei com minha turma no primeiro ano. Eles falavam que um aluno não deveria ganhar bolsa só por que é negro. Argumentos que são ultrapassados... (...) Nesse último ano, eu falei: “quer saber, eu vô pro noturno”. Eu não conheço ninguém,  eu chego e fico no canto, entro e saio, sem problema. Não gosto muito de... A gente já tem uma violência com nosso espaço tão grande... acho que assim, a vida já deu tanto tapa que brigar pra que, eu vou ficar quieta no meu canto. (MAYA, ESTUDANTE DE PEDAGOGIA)</w:t>
      </w:r>
    </w:p>
    <w:p>
      <w:pPr>
        <w:spacing w:before="120" w:after="24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Sobre isso, a mesma conclui falando sobre sua decepção com estes vários momentos conflitantes em que foi colocada à prova e sobre sua desilusão com a universidade:</w:t>
      </w:r>
    </w:p>
    <w:p>
      <w:pPr>
        <w:spacing w:before="120" w:after="24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 desde pequena que eu bato de frente: eu bati de frente estudando pra mostrar que eu era a melhor da sala, pra tirar notas boas; eu bati de frente quando as pessoas me ignoravam; eu bati de frente no superior quando eu argumentava, quando alguns alunos provocavam terrivelmente e eu dava resposta, mas eu ficava triste, ficava decepcionada (...) Justamente por causa do trabalho, da correria, da briga que tive logo no primeiro ano com meus colegas de classe; eu ficava meio que isolada. Então, a universidade ta sendo uma coisa meio chata pra mim, eu só estou cumprindo uma questão burocrática. (...) Eu mesmo falo pra os meus colegas, os poucos que sobraram, que a Faculdade de Educação pra mim é de passagem, eu to passando por aqui porque eu tenho que ter um certificado de conclusão do ensino superior. Isso pra mim perdeu aquele valor. (MAYA, ESTUDANTE DE PEDAGOGIA)</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Dando continuidade a seu relato, Maya, juntamente com Doci, estudantes que estão em fase final nos cursos, fazem uma reflexão em sua trajetória na Universidade e explicitam:</w:t>
      </w:r>
    </w:p>
    <w:p>
      <w:pPr>
        <w:spacing w:before="12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Acho que correspondeu [ no que se refere a troca de conhecimentos], mas eu não consegui viver a universidade como deveria ter vivido... (MAYA, ESTUDANTE DE PEDAGOGIA)</w:t>
      </w:r>
    </w:p>
    <w:p>
      <w:pPr>
        <w:spacing w:before="120" w:after="12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Eu to tão louca pra sair dela [da Universidade]... Minha mãe fala que eu vou sentir saudade da faculdade, pra mim não vai fazer diferença nenhuma. Aqui é muita competição, uma pessoa derrubando a outra. (DOCI, ESTUDANTE DE NUTRIÇÃO)</w:t>
      </w:r>
    </w:p>
    <w:p>
      <w:pPr>
        <w:spacing w:before="120" w:after="24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fim gostaria de destacar o relato de uma estudante ao ser questionado o que significa o lugar Universidade para ela, </w:t>
      </w:r>
    </w:p>
    <w:p>
      <w:pPr>
        <w:spacing w:before="0" w:after="0" w:line="240"/>
        <w:ind w:right="0" w:left="251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Todo mundo que entrou na universidade entra com uma concepção e sai com outra. Antes de eu entrar achava que aqui era um lugar perfeito, um espaço totalmente diferente do mundo de lá. Depois, atualmente,... não vou negar que a Universidade tem seu lado bom, onde você pode ter uma boa vivência com uma diversidade de pessoas, mas ela também não deixa de ser um monstro; é competitivo demais, de falsidade demais, onde você vai as pessoas querem puxar seu tapete... Na universidade você encontra uma injustiça camuflada.</w:t>
      </w:r>
    </w:p>
    <w:p>
      <w:pPr>
        <w:spacing w:before="0" w:after="0" w:line="240"/>
        <w:ind w:right="0" w:left="252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É minha visão de universidade, é uma faca de dois gumes. Ao mesmo tempo que ela é boa, é fantástica e te dá um número grande de conhecimento, vem o outro gume da faca, por traz do conhecimento tem a pessoa querendo enfiar uma idéia na sua cabeça a qualquer custo, estão querendo te fazer pensar certo tipo de coisa, estão querendo que você abandone suas ideologias, estão querendo deturpar seu pensamento, estão querendo que você deixe de lado suas crenças... Pensando no caso de quem é negro, estão querendo te europeizar a qualquer custo, querendo te transformar num europeu... Se brincar te fazer pensar que você tem cabelos escorridos e olhos azuis (Joane, estudante de Ciências Sociais).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desfecho da fala da estudante é emblemático, pois, como a mesma ressalta, apesar da universidade ser um lugar importante na construção da individualidade dela, como pessoa negra, é nesse lugar também que lhe é negada veementemente sua negritude, tendo em vista as bases eurocêntricas que ali vigoram.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CONSIDERAÇÕES FINAIS</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Mesmo que os relatos e discussões se restrinjam a um grupo reduzido de pessoas, ou melhor, de estudantes, podemos dimensionar a atuação perversa do racismo nos locais de educação formal. São estudantes que possuem trajetórias em localidades distintas e, além disso, são permeadas por vários fatores de diferencialidade, como: sexualidade, gênero, classe social, local de moradia etc., porém, a atuação do racismo, de certa forma, unifica a trajetória dessas estudantes, as situando em um grupo que é discriminado e sofre as conseqüências disso na sociedade.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Vários outros fatores interferem no processo de ensino-aprendizagem, mas o racismo é tirano por interferir profundamente em subjetividades, levando estudantes negras a construírem um auto-reconhecimento distorcido acerca de si. Nesse sentido, devemos nos atentar para os relatos acima para que possamos buscar formas de desconstruir as relações racializadas nos lugares de educação formal e possamos abolir verdadeiramente a tirana “mística do racismo”.</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BIBLIOGRAFIA</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ANGELOU, Maya. </w:t>
      </w:r>
      <w:r>
        <w:rPr>
          <w:rFonts w:ascii="Times New Roman" w:hAnsi="Times New Roman" w:cs="Times New Roman" w:eastAsia="Times New Roman"/>
          <w:b/>
          <w:color w:val="auto"/>
          <w:spacing w:val="0"/>
          <w:position w:val="0"/>
          <w:sz w:val="24"/>
          <w:shd w:fill="auto" w:val="clear"/>
        </w:rPr>
        <w:t xml:space="preserve">Eu sei por que o pássaro canta na gaiola</w:t>
      </w:r>
      <w:r>
        <w:rPr>
          <w:rFonts w:ascii="Times New Roman" w:hAnsi="Times New Roman" w:cs="Times New Roman" w:eastAsia="Times New Roman"/>
          <w:color w:val="auto"/>
          <w:spacing w:val="0"/>
          <w:position w:val="0"/>
          <w:sz w:val="24"/>
          <w:shd w:fill="auto" w:val="clear"/>
        </w:rPr>
        <w:t xml:space="preserve">. Rio de Janeiro: José Olympio, 1996.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Pierre. A ilusão biográfica. In: AMADO, Janaína; FERREIRA, Marieta de M. (orgs.). </w:t>
      </w:r>
      <w:r>
        <w:rPr>
          <w:rFonts w:ascii="Times New Roman" w:hAnsi="Times New Roman" w:cs="Times New Roman" w:eastAsia="Times New Roman"/>
          <w:b/>
          <w:color w:val="auto"/>
          <w:spacing w:val="0"/>
          <w:position w:val="0"/>
          <w:sz w:val="24"/>
          <w:shd w:fill="auto" w:val="clear"/>
        </w:rPr>
        <w:t xml:space="preserve">Usos e abusos da história oral</w:t>
      </w:r>
      <w:r>
        <w:rPr>
          <w:rFonts w:ascii="Times New Roman" w:hAnsi="Times New Roman" w:cs="Times New Roman" w:eastAsia="Times New Roman"/>
          <w:color w:val="auto"/>
          <w:spacing w:val="0"/>
          <w:position w:val="0"/>
          <w:sz w:val="24"/>
          <w:shd w:fill="auto" w:val="clear"/>
        </w:rPr>
        <w:t xml:space="preserve">. Rio de Janeiro: Ed. FGV. 1996. p.183-191.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w:t>
      </w:r>
      <w:r>
        <w:rPr>
          <w:rFonts w:ascii="Times New Roman" w:hAnsi="Times New Roman" w:cs="Times New Roman" w:eastAsia="Times New Roman"/>
          <w:b/>
          <w:color w:val="auto"/>
          <w:spacing w:val="0"/>
          <w:position w:val="0"/>
          <w:sz w:val="24"/>
          <w:shd w:fill="auto" w:val="clear"/>
        </w:rPr>
        <w:t xml:space="preserve">Educação e Anti-racismo</w:t>
      </w:r>
      <w:r>
        <w:rPr>
          <w:rFonts w:ascii="Times New Roman" w:hAnsi="Times New Roman" w:cs="Times New Roman" w:eastAsia="Times New Roman"/>
          <w:color w:val="auto"/>
          <w:spacing w:val="0"/>
          <w:position w:val="0"/>
          <w:sz w:val="24"/>
          <w:shd w:fill="auto" w:val="clear"/>
        </w:rPr>
        <w:t xml:space="preserve">: Caminhos Abertos Pela Lei Federal Nº 10.639/03. Brasília: Secad/Mec, 2005.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CASTRO, Mary Garcia; ABRAMOVAY, Miriam (Coords.). Relações raciais na escola: produção de desigualdades em nome da igualdade. Brasília: Unesco, 2006.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CAVALLEIRO, Eliana. Discriminação Racial e Pluralismo nas Escolas Públicas da Cidade de São Paulo. In: BRASIL. </w:t>
      </w:r>
      <w:r>
        <w:rPr>
          <w:rFonts w:ascii="Times New Roman" w:hAnsi="Times New Roman" w:cs="Times New Roman" w:eastAsia="Times New Roman"/>
          <w:b/>
          <w:color w:val="auto"/>
          <w:spacing w:val="0"/>
          <w:position w:val="0"/>
          <w:sz w:val="24"/>
          <w:shd w:fill="auto" w:val="clear"/>
        </w:rPr>
        <w:t xml:space="preserve">Educação e Anti-racismo</w:t>
      </w:r>
      <w:r>
        <w:rPr>
          <w:rFonts w:ascii="Times New Roman" w:hAnsi="Times New Roman" w:cs="Times New Roman" w:eastAsia="Times New Roman"/>
          <w:color w:val="auto"/>
          <w:spacing w:val="0"/>
          <w:position w:val="0"/>
          <w:sz w:val="24"/>
          <w:shd w:fill="auto" w:val="clear"/>
        </w:rPr>
        <w:t xml:space="preserve">: Caminhos Abertos Pela Lei Federal Nº 10.639/03. Brasília: Secad/Mec, 2005. (p.65-104)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w:t>
      </w:r>
      <w:r>
        <w:rPr>
          <w:rFonts w:ascii="Times New Roman" w:hAnsi="Times New Roman" w:cs="Times New Roman" w:eastAsia="Times New Roman"/>
          <w:b/>
          <w:color w:val="auto"/>
          <w:spacing w:val="0"/>
          <w:position w:val="0"/>
          <w:sz w:val="24"/>
          <w:shd w:fill="auto" w:val="clear"/>
        </w:rPr>
        <w:t xml:space="preserve">Do silêncio do lar ao silêncio escolar</w:t>
      </w:r>
      <w:r>
        <w:rPr>
          <w:rFonts w:ascii="Times New Roman" w:hAnsi="Times New Roman" w:cs="Times New Roman" w:eastAsia="Times New Roman"/>
          <w:color w:val="auto"/>
          <w:spacing w:val="0"/>
          <w:position w:val="0"/>
          <w:sz w:val="24"/>
          <w:shd w:fill="auto" w:val="clear"/>
        </w:rPr>
        <w:t xml:space="preserve">: racismo, preconceito e discriminação 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CIRQUEIRA, D. M.; RODRIGUES, A. P. C.; RATTS, A. J. P.; VILELA, B. P. Representações da África e da população negra nos livros didáticos de geografia. In: </w:t>
      </w:r>
      <w:r>
        <w:rPr>
          <w:rFonts w:ascii="Times New Roman" w:hAnsi="Times New Roman" w:cs="Times New Roman" w:eastAsia="Times New Roman"/>
          <w:b/>
          <w:color w:val="auto"/>
          <w:spacing w:val="0"/>
          <w:position w:val="0"/>
          <w:sz w:val="24"/>
          <w:shd w:fill="auto" w:val="clear"/>
        </w:rPr>
        <w:t xml:space="preserve">Revista da Casa da Geografia de Sobral</w:t>
      </w:r>
      <w:r>
        <w:rPr>
          <w:rFonts w:ascii="Times New Roman" w:hAnsi="Times New Roman" w:cs="Times New Roman" w:eastAsia="Times New Roman"/>
          <w:color w:val="auto"/>
          <w:spacing w:val="0"/>
          <w:position w:val="0"/>
          <w:sz w:val="24"/>
          <w:shd w:fill="auto" w:val="clear"/>
        </w:rPr>
        <w:t xml:space="preserve">, Sobral, v. 8/9, n. 1, p. 45-59, 2006/2007.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CIRQUEIRA, Diogo Marçal. </w:t>
      </w:r>
      <w:r>
        <w:rPr>
          <w:rFonts w:ascii="Times New Roman" w:hAnsi="Times New Roman" w:cs="Times New Roman" w:eastAsia="Times New Roman"/>
          <w:b/>
          <w:color w:val="auto"/>
          <w:spacing w:val="0"/>
          <w:position w:val="0"/>
          <w:sz w:val="24"/>
          <w:shd w:fill="auto" w:val="clear"/>
        </w:rPr>
        <w:t xml:space="preserve">Trajetórias socioespaciais de estudantes negras e negros da Universidade Federal de Goiás.</w:t>
      </w:r>
      <w:r>
        <w:rPr>
          <w:rFonts w:ascii="Times New Roman" w:hAnsi="Times New Roman" w:cs="Times New Roman" w:eastAsia="Times New Roman"/>
          <w:color w:val="auto"/>
          <w:spacing w:val="0"/>
          <w:position w:val="0"/>
          <w:sz w:val="24"/>
          <w:shd w:fill="auto" w:val="clear"/>
        </w:rPr>
        <w:t xml:space="preserve"> Goiânia: Monografia apresentada no IESA/UFG, 2008.</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GOMES, Nilma Lino. </w:t>
      </w:r>
      <w:r>
        <w:rPr>
          <w:rFonts w:ascii="Times New Roman" w:hAnsi="Times New Roman" w:cs="Times New Roman" w:eastAsia="Times New Roman"/>
          <w:b/>
          <w:color w:val="auto"/>
          <w:spacing w:val="0"/>
          <w:position w:val="0"/>
          <w:sz w:val="24"/>
          <w:shd w:fill="auto" w:val="clear"/>
        </w:rPr>
        <w:t xml:space="preserve">A mulher negra que vi de perto</w:t>
      </w:r>
      <w:r>
        <w:rPr>
          <w:rFonts w:ascii="Times New Roman" w:hAnsi="Times New Roman" w:cs="Times New Roman" w:eastAsia="Times New Roman"/>
          <w:color w:val="auto"/>
          <w:spacing w:val="0"/>
          <w:position w:val="0"/>
          <w:sz w:val="24"/>
          <w:shd w:fill="auto" w:val="clear"/>
        </w:rPr>
        <w:t xml:space="preserve">. 2ª ed. Belo Horizonte: Mazza, 1995.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Alguns termos e conceitos presentes no debate sobre relações raciais no Brasil: uma breve discussão. In: BRASIL. </w:t>
      </w:r>
      <w:r>
        <w:rPr>
          <w:rFonts w:ascii="Times New Roman" w:hAnsi="Times New Roman" w:cs="Times New Roman" w:eastAsia="Times New Roman"/>
          <w:b/>
          <w:color w:val="auto"/>
          <w:spacing w:val="0"/>
          <w:position w:val="0"/>
          <w:sz w:val="24"/>
          <w:shd w:fill="auto" w:val="clear"/>
        </w:rPr>
        <w:t xml:space="preserve">Educação e Anti-racismo</w:t>
      </w:r>
      <w:r>
        <w:rPr>
          <w:rFonts w:ascii="Times New Roman" w:hAnsi="Times New Roman" w:cs="Times New Roman" w:eastAsia="Times New Roman"/>
          <w:color w:val="auto"/>
          <w:spacing w:val="0"/>
          <w:position w:val="0"/>
          <w:sz w:val="24"/>
          <w:shd w:fill="auto" w:val="clear"/>
        </w:rPr>
        <w:t xml:space="preserve">: Caminhos Abertos Pela Lei Federal Nº 10.639/03. Brasília: Secad/Mec, 2005. (p. 39-63)</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w:t>
      </w:r>
      <w:r>
        <w:rPr>
          <w:rFonts w:ascii="Times New Roman" w:hAnsi="Times New Roman" w:cs="Times New Roman" w:eastAsia="Times New Roman"/>
          <w:b/>
          <w:color w:val="auto"/>
          <w:spacing w:val="0"/>
          <w:position w:val="0"/>
          <w:sz w:val="24"/>
          <w:shd w:fill="auto" w:val="clear"/>
        </w:rPr>
        <w:t xml:space="preserve">A mulher negra que vi de perto</w:t>
      </w:r>
      <w:r>
        <w:rPr>
          <w:rFonts w:ascii="Times New Roman" w:hAnsi="Times New Roman" w:cs="Times New Roman" w:eastAsia="Times New Roman"/>
          <w:color w:val="auto"/>
          <w:spacing w:val="0"/>
          <w:position w:val="0"/>
          <w:sz w:val="24"/>
          <w:shd w:fill="auto" w:val="clear"/>
        </w:rPr>
        <w:t xml:space="preserve">. 2ª ed. Belo Horizonte: Mazza, 1995.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GOMES, N. L.; SILVA, P. B. G. e. O desafio da diversidade. In: ______ (orgas.) Experiências étnico-culturais para a formação de professores. Belo Horizonte: Autêntica, 2002.(p. 13-49)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GONZALEZ, Lélia. </w:t>
      </w:r>
      <w:r>
        <w:rPr>
          <w:rFonts w:ascii="Times New Roman" w:hAnsi="Times New Roman" w:cs="Times New Roman" w:eastAsia="Times New Roman"/>
          <w:b/>
          <w:color w:val="auto"/>
          <w:spacing w:val="0"/>
          <w:position w:val="0"/>
          <w:sz w:val="24"/>
          <w:shd w:fill="auto" w:val="clear"/>
        </w:rPr>
        <w:t xml:space="preserve">Racismo e sexismo na cultura brasileira</w:t>
      </w:r>
      <w:r>
        <w:rPr>
          <w:rFonts w:ascii="Times New Roman" w:hAnsi="Times New Roman" w:cs="Times New Roman" w:eastAsia="Times New Roman"/>
          <w:color w:val="auto"/>
          <w:spacing w:val="0"/>
          <w:position w:val="0"/>
          <w:sz w:val="24"/>
          <w:shd w:fill="auto" w:val="clear"/>
        </w:rPr>
        <w:t xml:space="preserve">. São Paulo: ANPOCS, 1984. P. 223-244.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GONZALEZ, Lélia; HASENBALG, Carlos A. </w:t>
      </w:r>
      <w:r>
        <w:rPr>
          <w:rFonts w:ascii="Times New Roman" w:hAnsi="Times New Roman" w:cs="Times New Roman" w:eastAsia="Times New Roman"/>
          <w:b/>
          <w:color w:val="auto"/>
          <w:spacing w:val="0"/>
          <w:position w:val="0"/>
          <w:sz w:val="24"/>
          <w:shd w:fill="auto" w:val="clear"/>
        </w:rPr>
        <w:t xml:space="preserve">Lugar de Negro</w:t>
      </w:r>
      <w:r>
        <w:rPr>
          <w:rFonts w:ascii="Times New Roman" w:hAnsi="Times New Roman" w:cs="Times New Roman" w:eastAsia="Times New Roman"/>
          <w:color w:val="auto"/>
          <w:spacing w:val="0"/>
          <w:position w:val="0"/>
          <w:sz w:val="24"/>
          <w:shd w:fill="auto" w:val="clear"/>
        </w:rPr>
        <w:t xml:space="preserve">. Rio de janeiro, Marco Zero. 1982.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GUIMARÃES, Antônio Sérgio Alfredo. </w:t>
      </w:r>
      <w:r>
        <w:rPr>
          <w:rFonts w:ascii="Times New Roman" w:hAnsi="Times New Roman" w:cs="Times New Roman" w:eastAsia="Times New Roman"/>
          <w:b/>
          <w:color w:val="auto"/>
          <w:spacing w:val="0"/>
          <w:position w:val="0"/>
          <w:sz w:val="24"/>
          <w:shd w:fill="auto" w:val="clear"/>
        </w:rPr>
        <w:t xml:space="preserve">Racismo e anti-racismo no Brasil</w:t>
      </w:r>
      <w:r>
        <w:rPr>
          <w:rFonts w:ascii="Times New Roman" w:hAnsi="Times New Roman" w:cs="Times New Roman" w:eastAsia="Times New Roman"/>
          <w:color w:val="auto"/>
          <w:spacing w:val="0"/>
          <w:position w:val="0"/>
          <w:sz w:val="24"/>
          <w:shd w:fill="auto" w:val="clear"/>
        </w:rPr>
        <w:t xml:space="preserve">. São Paulo: Editora 34, 1999.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HENRRIQUES, Ricardo. </w:t>
      </w:r>
      <w:r>
        <w:rPr>
          <w:rFonts w:ascii="Times New Roman" w:hAnsi="Times New Roman" w:cs="Times New Roman" w:eastAsia="Times New Roman"/>
          <w:b/>
          <w:color w:val="auto"/>
          <w:spacing w:val="0"/>
          <w:position w:val="0"/>
          <w:sz w:val="24"/>
          <w:shd w:fill="auto" w:val="clear"/>
        </w:rPr>
        <w:t xml:space="preserve">Desigualdade racial no Brasil</w:t>
      </w:r>
      <w:r>
        <w:rPr>
          <w:rFonts w:ascii="Times New Roman" w:hAnsi="Times New Roman" w:cs="Times New Roman" w:eastAsia="Times New Roman"/>
          <w:color w:val="auto"/>
          <w:spacing w:val="0"/>
          <w:position w:val="0"/>
          <w:sz w:val="24"/>
          <w:shd w:fill="auto" w:val="clear"/>
        </w:rPr>
        <w:t xml:space="preserve">: Evolução das condições de vida na década de 90. Rio de Janeiro: IPEA, 2001.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LUDKE, Menga e ANDRÉ, Marli E. D. A. Métodos de coleta de dados, observação, entrevista e analise documental. In: ______. </w:t>
      </w:r>
      <w:r>
        <w:rPr>
          <w:rFonts w:ascii="Times New Roman" w:hAnsi="Times New Roman" w:cs="Times New Roman" w:eastAsia="Times New Roman"/>
          <w:b/>
          <w:color w:val="auto"/>
          <w:spacing w:val="0"/>
          <w:position w:val="0"/>
          <w:sz w:val="24"/>
          <w:shd w:fill="auto" w:val="clear"/>
        </w:rPr>
        <w:t xml:space="preserve">Pesquisa em educação: abordagens qualitativas</w:t>
      </w:r>
      <w:r>
        <w:rPr>
          <w:rFonts w:ascii="Times New Roman" w:hAnsi="Times New Roman" w:cs="Times New Roman" w:eastAsia="Times New Roman"/>
          <w:color w:val="auto"/>
          <w:spacing w:val="0"/>
          <w:position w:val="0"/>
          <w:sz w:val="24"/>
          <w:shd w:fill="auto" w:val="clear"/>
        </w:rPr>
        <w:t xml:space="preserve">, 1986.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RATTS, Alex. </w:t>
      </w:r>
      <w:r>
        <w:rPr>
          <w:rFonts w:ascii="Times New Roman" w:hAnsi="Times New Roman" w:cs="Times New Roman" w:eastAsia="Times New Roman"/>
          <w:b/>
          <w:color w:val="auto"/>
          <w:spacing w:val="0"/>
          <w:position w:val="0"/>
          <w:sz w:val="24"/>
          <w:shd w:fill="auto" w:val="clear"/>
        </w:rPr>
        <w:t xml:space="preserve">Eu sou atlântica</w:t>
      </w:r>
      <w:r>
        <w:rPr>
          <w:rFonts w:ascii="Times New Roman" w:hAnsi="Times New Roman" w:cs="Times New Roman" w:eastAsia="Times New Roman"/>
          <w:color w:val="auto"/>
          <w:spacing w:val="0"/>
          <w:position w:val="0"/>
          <w:sz w:val="24"/>
          <w:shd w:fill="auto" w:val="clear"/>
        </w:rPr>
        <w:t xml:space="preserve">: sobre a trajetória de vida de Beatriz Nascimento. São Paulo: Instituto Kuanza, Imprensa Oficial,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As etnias e os outros: as espacialidade dos encontros/confrontos. In: </w:t>
      </w:r>
      <w:r>
        <w:rPr>
          <w:rFonts w:ascii="Times New Roman" w:hAnsi="Times New Roman" w:cs="Times New Roman" w:eastAsia="Times New Roman"/>
          <w:b/>
          <w:color w:val="auto"/>
          <w:spacing w:val="0"/>
          <w:position w:val="0"/>
          <w:sz w:val="24"/>
          <w:shd w:fill="auto" w:val="clear"/>
        </w:rPr>
        <w:t xml:space="preserve">Espaço e cultura</w:t>
      </w:r>
      <w:r>
        <w:rPr>
          <w:rFonts w:ascii="Times New Roman" w:hAnsi="Times New Roman" w:cs="Times New Roman" w:eastAsia="Times New Roman"/>
          <w:color w:val="auto"/>
          <w:spacing w:val="0"/>
          <w:position w:val="0"/>
          <w:sz w:val="24"/>
          <w:shd w:fill="auto" w:val="clear"/>
        </w:rPr>
        <w:t xml:space="preserve">, UERJ, Rio de Janeiro, Nº 17-18, Jan/Dez de 2004. p.77-89.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 </w:t>
      </w:r>
      <w:r>
        <w:rPr>
          <w:rFonts w:ascii="Times New Roman" w:hAnsi="Times New Roman" w:cs="Times New Roman" w:eastAsia="Times New Roman"/>
          <w:b/>
          <w:color w:val="auto"/>
          <w:spacing w:val="0"/>
          <w:position w:val="0"/>
          <w:sz w:val="24"/>
          <w:shd w:fill="auto" w:val="clear"/>
        </w:rPr>
        <w:t xml:space="preserve">Gênero, raça e espaço</w:t>
      </w:r>
      <w:r>
        <w:rPr>
          <w:rFonts w:ascii="Times New Roman" w:hAnsi="Times New Roman" w:cs="Times New Roman" w:eastAsia="Times New Roman"/>
          <w:color w:val="auto"/>
          <w:spacing w:val="0"/>
          <w:position w:val="0"/>
          <w:sz w:val="24"/>
          <w:shd w:fill="auto" w:val="clear"/>
        </w:rPr>
        <w:t xml:space="preserve">: trajetórias de mulheres negras. Comunicação apresentada no 27º. ENCONTRO ANUAL DA ANPOCS (Associação Nacional de Pós-Graduação e Pesquisa em Ciências Sociais), Caxambu, MG, 2003, 18p. (mimeo)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RATTS, A. J. P.; DAMASCENA, A. A. Experiências de ação afirmativa: interlocução com o ponto de vista da juventude negra. In: BERNARDINO, J.; GALDINO, D. (orgs.). </w:t>
      </w:r>
      <w:r>
        <w:rPr>
          <w:rFonts w:ascii="Times New Roman" w:hAnsi="Times New Roman" w:cs="Times New Roman" w:eastAsia="Times New Roman"/>
          <w:b/>
          <w:color w:val="auto"/>
          <w:spacing w:val="0"/>
          <w:position w:val="0"/>
          <w:sz w:val="24"/>
          <w:shd w:fill="auto" w:val="clear"/>
        </w:rPr>
        <w:t xml:space="preserve">Levando a raça a sério</w:t>
      </w:r>
      <w:r>
        <w:rPr>
          <w:rFonts w:ascii="Times New Roman" w:hAnsi="Times New Roman" w:cs="Times New Roman" w:eastAsia="Times New Roman"/>
          <w:color w:val="auto"/>
          <w:spacing w:val="0"/>
          <w:position w:val="0"/>
          <w:sz w:val="24"/>
          <w:shd w:fill="auto" w:val="clear"/>
        </w:rPr>
        <w:t xml:space="preserve">. Rio de Janeiro: DP&amp;A, 2004. p. 173-188.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RELATÓRIO de Desenvolvimento Humano</w:t>
      </w:r>
      <w:r>
        <w:rPr>
          <w:rFonts w:ascii="Times New Roman" w:hAnsi="Times New Roman" w:cs="Times New Roman" w:eastAsia="Times New Roman"/>
          <w:color w:val="auto"/>
          <w:spacing w:val="0"/>
          <w:position w:val="0"/>
          <w:sz w:val="24"/>
          <w:shd w:fill="auto" w:val="clear"/>
        </w:rPr>
        <w:t xml:space="preserve">: racismo, pobreza e violência. Brasília: PNUD,2005.</w:t>
      </w: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MASSEY, Doren. O sentido global do lugar. In: ARANTES, A. A. (org.). O espaço da diferença. Campinas: Papirus, 2000. p. 176-186.</w:t>
      </w: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w:t>
      </w:r>
      <w:r>
        <w:rPr>
          <w:rFonts w:ascii="Times New Roman" w:hAnsi="Times New Roman" w:cs="Times New Roman" w:eastAsia="Times New Roman"/>
          <w:b/>
          <w:color w:val="auto"/>
          <w:spacing w:val="0"/>
          <w:position w:val="0"/>
          <w:sz w:val="24"/>
          <w:shd w:fill="auto" w:val="clear"/>
        </w:rPr>
        <w:t xml:space="preserve">Space, place and gender</w:t>
      </w:r>
      <w:r>
        <w:rPr>
          <w:rFonts w:ascii="Times New Roman" w:hAnsi="Times New Roman" w:cs="Times New Roman" w:eastAsia="Times New Roman"/>
          <w:color w:val="auto"/>
          <w:spacing w:val="0"/>
          <w:position w:val="0"/>
          <w:sz w:val="24"/>
          <w:shd w:fill="auto" w:val="clear"/>
        </w:rPr>
        <w:t xml:space="preserve">. Minneapolis: University Avenue Southeast, 1994.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MORRISON, Toni. </w:t>
      </w:r>
      <w:r>
        <w:rPr>
          <w:rFonts w:ascii="Times New Roman" w:hAnsi="Times New Roman" w:cs="Times New Roman" w:eastAsia="Times New Roman"/>
          <w:b/>
          <w:color w:val="auto"/>
          <w:spacing w:val="0"/>
          <w:position w:val="0"/>
          <w:sz w:val="24"/>
          <w:shd w:fill="auto" w:val="clear"/>
        </w:rPr>
        <w:t xml:space="preserve">O olho mais azul</w:t>
      </w:r>
      <w:r>
        <w:rPr>
          <w:rFonts w:ascii="Times New Roman" w:hAnsi="Times New Roman" w:cs="Times New Roman" w:eastAsia="Times New Roman"/>
          <w:color w:val="auto"/>
          <w:spacing w:val="0"/>
          <w:position w:val="0"/>
          <w:sz w:val="24"/>
          <w:shd w:fill="auto" w:val="clear"/>
        </w:rPr>
        <w:t xml:space="preserve">. São Paulo: Companhia das letras, 2003.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MOORE, Carlos. </w:t>
      </w:r>
      <w:r>
        <w:rPr>
          <w:rFonts w:ascii="Times New Roman" w:hAnsi="Times New Roman" w:cs="Times New Roman" w:eastAsia="Times New Roman"/>
          <w:b/>
          <w:color w:val="auto"/>
          <w:spacing w:val="0"/>
          <w:position w:val="0"/>
          <w:sz w:val="24"/>
          <w:shd w:fill="auto" w:val="clear"/>
        </w:rPr>
        <w:t xml:space="preserve">Racismo e sociedade</w:t>
      </w:r>
      <w:r>
        <w:rPr>
          <w:rFonts w:ascii="Times New Roman" w:hAnsi="Times New Roman" w:cs="Times New Roman" w:eastAsia="Times New Roman"/>
          <w:color w:val="auto"/>
          <w:spacing w:val="0"/>
          <w:position w:val="0"/>
          <w:sz w:val="24"/>
          <w:shd w:fill="auto" w:val="clear"/>
        </w:rPr>
        <w:t xml:space="preserve">. Belo Horizonte: Maza, 2007.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MUNANGA, Kabengele. </w:t>
      </w:r>
      <w:r>
        <w:rPr>
          <w:rFonts w:ascii="Times New Roman" w:hAnsi="Times New Roman" w:cs="Times New Roman" w:eastAsia="Times New Roman"/>
          <w:b/>
          <w:color w:val="auto"/>
          <w:spacing w:val="0"/>
          <w:position w:val="0"/>
          <w:sz w:val="24"/>
          <w:shd w:fill="auto" w:val="clear"/>
        </w:rPr>
        <w:t xml:space="preserve">Superando o racismo na Escola</w:t>
      </w:r>
      <w:r>
        <w:rPr>
          <w:rFonts w:ascii="Times New Roman" w:hAnsi="Times New Roman" w:cs="Times New Roman" w:eastAsia="Times New Roman"/>
          <w:color w:val="auto"/>
          <w:spacing w:val="0"/>
          <w:position w:val="0"/>
          <w:sz w:val="24"/>
          <w:shd w:fill="auto" w:val="clear"/>
        </w:rPr>
        <w:t xml:space="preserve">. Brasília: SECAD/MEC, 2005.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w:t>
      </w:r>
      <w:r>
        <w:rPr>
          <w:rFonts w:ascii="Times New Roman" w:hAnsi="Times New Roman" w:cs="Times New Roman" w:eastAsia="Times New Roman"/>
          <w:b/>
          <w:color w:val="auto"/>
          <w:spacing w:val="0"/>
          <w:position w:val="0"/>
          <w:sz w:val="24"/>
          <w:shd w:fill="auto" w:val="clear"/>
        </w:rPr>
        <w:t xml:space="preserve">Rediscutindo a mestiçagem no Brasil</w:t>
      </w:r>
      <w:r>
        <w:rPr>
          <w:rFonts w:ascii="Times New Roman" w:hAnsi="Times New Roman" w:cs="Times New Roman" w:eastAsia="Times New Roman"/>
          <w:color w:val="auto"/>
          <w:spacing w:val="0"/>
          <w:position w:val="0"/>
          <w:sz w:val="24"/>
          <w:shd w:fill="auto" w:val="clear"/>
        </w:rPr>
        <w:t xml:space="preserve">: identidade nacional versus identidade negra. Belo Horizonte/MG: Autêntica, 2004.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w:t>
      </w:r>
      <w:r>
        <w:rPr>
          <w:rFonts w:ascii="Times New Roman" w:hAnsi="Times New Roman" w:cs="Times New Roman" w:eastAsia="Times New Roman"/>
          <w:b/>
          <w:color w:val="auto"/>
          <w:spacing w:val="0"/>
          <w:position w:val="0"/>
          <w:sz w:val="24"/>
          <w:shd w:fill="auto" w:val="clear"/>
        </w:rPr>
        <w:t xml:space="preserve">. Teorias sobre o racismo</w:t>
      </w:r>
      <w:r>
        <w:rPr>
          <w:rFonts w:ascii="Times New Roman" w:hAnsi="Times New Roman" w:cs="Times New Roman" w:eastAsia="Times New Roman"/>
          <w:color w:val="auto"/>
          <w:spacing w:val="0"/>
          <w:position w:val="0"/>
          <w:sz w:val="24"/>
          <w:shd w:fill="auto" w:val="clear"/>
        </w:rPr>
        <w:t xml:space="preserve">. In: Hasenbalg, A. C.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Estudos e Pesquisas. Rio de Janeiro: EDUFF, 1998. p. 43-65.</w:t>
      </w:r>
    </w:p>
    <w:p>
      <w:pPr>
        <w:spacing w:before="24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OLIVEIRA, Dijaci David de; GERALDES, Elen Cristin; LIMA, R B de; e SANTOS, Sales Augusto dos. A cor do medo: o medo da cor. In: ______. </w:t>
      </w:r>
      <w:r>
        <w:rPr>
          <w:rFonts w:ascii="Times New Roman" w:hAnsi="Times New Roman" w:cs="Times New Roman" w:eastAsia="Times New Roman"/>
          <w:b/>
          <w:color w:val="auto"/>
          <w:spacing w:val="0"/>
          <w:position w:val="0"/>
          <w:sz w:val="24"/>
          <w:shd w:fill="auto" w:val="clear"/>
        </w:rPr>
        <w:t xml:space="preserve">A cor do medo</w:t>
      </w:r>
      <w:r>
        <w:rPr>
          <w:rFonts w:ascii="Times New Roman" w:hAnsi="Times New Roman" w:cs="Times New Roman" w:eastAsia="Times New Roman"/>
          <w:color w:val="auto"/>
          <w:spacing w:val="0"/>
          <w:position w:val="0"/>
          <w:sz w:val="24"/>
          <w:shd w:fill="auto" w:val="clear"/>
        </w:rPr>
        <w:t xml:space="preserve">. Goiânia/Brasília: UnB/UFG, 1998. p. 37-60.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QUEIROZ, Delcele M. </w:t>
      </w:r>
      <w:r>
        <w:rPr>
          <w:rFonts w:ascii="Times New Roman" w:hAnsi="Times New Roman" w:cs="Times New Roman" w:eastAsia="Times New Roman"/>
          <w:b/>
          <w:color w:val="auto"/>
          <w:spacing w:val="0"/>
          <w:position w:val="0"/>
          <w:sz w:val="24"/>
          <w:shd w:fill="auto" w:val="clear"/>
        </w:rPr>
        <w:t xml:space="preserve">Universidade e desigualdade</w:t>
      </w:r>
      <w:r>
        <w:rPr>
          <w:rFonts w:ascii="Times New Roman" w:hAnsi="Times New Roman" w:cs="Times New Roman" w:eastAsia="Times New Roman"/>
          <w:color w:val="auto"/>
          <w:spacing w:val="0"/>
          <w:position w:val="0"/>
          <w:sz w:val="24"/>
          <w:shd w:fill="auto" w:val="clear"/>
        </w:rPr>
        <w:t xml:space="preserve">: brancos e negros no ensino superior. Brasília: Liber Livro, 2004.</w:t>
      </w: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Milton. Ser negro no Brasil hoje. In: RIBEIRO, W. C. (org.). </w:t>
      </w:r>
      <w:r>
        <w:rPr>
          <w:rFonts w:ascii="Times New Roman" w:hAnsi="Times New Roman" w:cs="Times New Roman" w:eastAsia="Times New Roman"/>
          <w:b/>
          <w:color w:val="auto"/>
          <w:spacing w:val="0"/>
          <w:position w:val="0"/>
          <w:sz w:val="24"/>
          <w:shd w:fill="auto" w:val="clear"/>
        </w:rPr>
        <w:t xml:space="preserve">O país distorcido</w:t>
      </w:r>
      <w:r>
        <w:rPr>
          <w:rFonts w:ascii="Times New Roman" w:hAnsi="Times New Roman" w:cs="Times New Roman" w:eastAsia="Times New Roman"/>
          <w:color w:val="auto"/>
          <w:spacing w:val="0"/>
          <w:position w:val="0"/>
          <w:sz w:val="24"/>
          <w:shd w:fill="auto" w:val="clear"/>
        </w:rPr>
        <w:t xml:space="preserve">: o Brasil, a globalização e a cidadania. São Paulo: Publifolha, 2002. p. 157-161.</w:t>
      </w: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As exclusões da globalização: pobres e negros. In: FERREIRA, A. M. T. </w:t>
      </w:r>
      <w:r>
        <w:rPr>
          <w:rFonts w:ascii="Times New Roman" w:hAnsi="Times New Roman" w:cs="Times New Roman" w:eastAsia="Times New Roman"/>
          <w:b/>
          <w:color w:val="auto"/>
          <w:spacing w:val="0"/>
          <w:position w:val="0"/>
          <w:sz w:val="24"/>
          <w:shd w:fill="auto" w:val="clear"/>
        </w:rPr>
        <w:t xml:space="preserve">Na própria pele</w:t>
      </w:r>
      <w:r>
        <w:rPr>
          <w:rFonts w:ascii="Times New Roman" w:hAnsi="Times New Roman" w:cs="Times New Roman" w:eastAsia="Times New Roman"/>
          <w:color w:val="auto"/>
          <w:spacing w:val="0"/>
          <w:position w:val="0"/>
          <w:sz w:val="24"/>
          <w:shd w:fill="auto" w:val="clear"/>
        </w:rPr>
        <w:t xml:space="preserve">. Porto Alegre: CORAG/Secretaria  de Estado da Cultura, 2000. p. 9-20.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Gisleine Aparecida dos. </w:t>
      </w:r>
      <w:r>
        <w:rPr>
          <w:rFonts w:ascii="Times New Roman" w:hAnsi="Times New Roman" w:cs="Times New Roman" w:eastAsia="Times New Roman"/>
          <w:b/>
          <w:color w:val="auto"/>
          <w:spacing w:val="0"/>
          <w:position w:val="0"/>
          <w:sz w:val="24"/>
          <w:shd w:fill="auto" w:val="clear"/>
        </w:rPr>
        <w:t xml:space="preserve">A invenção do ser negro</w:t>
      </w:r>
      <w:r>
        <w:rPr>
          <w:rFonts w:ascii="Times New Roman" w:hAnsi="Times New Roman" w:cs="Times New Roman" w:eastAsia="Times New Roman"/>
          <w:color w:val="auto"/>
          <w:spacing w:val="0"/>
          <w:position w:val="0"/>
          <w:sz w:val="24"/>
          <w:shd w:fill="auto" w:val="clear"/>
        </w:rPr>
        <w:t xml:space="preserve">: o percurso das idéias que naturalizaram a inferioridade dos negros. São Paulo/Rio de Janeiro: Educ; FAPESP; Pallas, 2005.</w:t>
      </w:r>
    </w:p>
    <w:p>
      <w:pPr>
        <w:spacing w:before="0" w:after="12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SANTOS, Sales Augusto dos. Projeto Passagem do Meio: uma política de ação afirmativa na Universidade Federal de Goiás (UFG). In______ (org.). </w:t>
      </w:r>
      <w:r>
        <w:rPr>
          <w:rFonts w:ascii="Times New Roman" w:hAnsi="Times New Roman" w:cs="Times New Roman" w:eastAsia="Times New Roman"/>
          <w:b/>
          <w:color w:val="auto"/>
          <w:spacing w:val="0"/>
          <w:position w:val="0"/>
          <w:sz w:val="24"/>
          <w:shd w:fill="auto" w:val="clear"/>
        </w:rPr>
        <w:t xml:space="preserve">Ações afirmativas e combate ao racismo nas Américas</w:t>
      </w:r>
      <w:r>
        <w:rPr>
          <w:rFonts w:ascii="Times New Roman" w:hAnsi="Times New Roman" w:cs="Times New Roman" w:eastAsia="Times New Roman"/>
          <w:color w:val="auto"/>
          <w:spacing w:val="0"/>
          <w:position w:val="0"/>
          <w:sz w:val="24"/>
          <w:shd w:fill="auto" w:val="clear"/>
        </w:rPr>
        <w:t xml:space="preserve">. Brasília: SECAD/MEC, 2005. p. 269-287. </w:t>
      </w:r>
    </w:p>
    <w:p>
      <w:pPr>
        <w:spacing w:before="0" w:after="0" w:line="360"/>
        <w:ind w:right="0" w:left="0" w:firstLine="0"/>
        <w:jc w:val="both"/>
        <w:rPr>
          <w:rFonts w:ascii="Times New Roman" w:hAnsi="Times New Roman" w:cs="Times New Roman" w:eastAsia="Times New Roman"/>
          <w:color w:val="auto"/>
          <w:spacing w:val="-12"/>
          <w:position w:val="0"/>
          <w:sz w:val="24"/>
          <w:shd w:fill="auto" w:val="clear"/>
        </w:rPr>
      </w:pPr>
      <w:r>
        <w:rPr>
          <w:rFonts w:ascii="Times New Roman" w:hAnsi="Times New Roman" w:cs="Times New Roman" w:eastAsia="Times New Roman"/>
          <w:color w:val="auto"/>
          <w:spacing w:val="0"/>
          <w:position w:val="0"/>
          <w:sz w:val="24"/>
          <w:shd w:fill="auto" w:val="clear"/>
        </w:rPr>
        <w:t xml:space="preserve">SILVA, Ana Célia da. </w:t>
      </w:r>
      <w:r>
        <w:rPr>
          <w:rFonts w:ascii="Times New Roman" w:hAnsi="Times New Roman" w:cs="Times New Roman" w:eastAsia="Times New Roman"/>
          <w:b/>
          <w:color w:val="auto"/>
          <w:spacing w:val="0"/>
          <w:position w:val="0"/>
          <w:sz w:val="24"/>
          <w:shd w:fill="auto" w:val="clear"/>
        </w:rPr>
        <w:t xml:space="preserve">Desconstruindo a discriminação do negro no livro didático</w:t>
      </w:r>
      <w:r>
        <w:rPr>
          <w:rFonts w:ascii="Times New Roman" w:hAnsi="Times New Roman" w:cs="Times New Roman" w:eastAsia="Times New Roman"/>
          <w:color w:val="auto"/>
          <w:spacing w:val="0"/>
          <w:position w:val="0"/>
          <w:sz w:val="24"/>
          <w:shd w:fill="auto" w:val="clear"/>
        </w:rPr>
        <w:t xml:space="preserve">. Salvador: EDUFUBA, 2001.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 A desconstrução da discriminação no livro didático. In: MUNANGA, Kabengele. </w:t>
      </w:r>
      <w:r>
        <w:rPr>
          <w:rFonts w:ascii="Times New Roman" w:hAnsi="Times New Roman" w:cs="Times New Roman" w:eastAsia="Times New Roman"/>
          <w:b/>
          <w:color w:val="auto"/>
          <w:spacing w:val="0"/>
          <w:position w:val="0"/>
          <w:sz w:val="24"/>
          <w:shd w:fill="auto" w:val="clear"/>
        </w:rPr>
        <w:t xml:space="preserve">Superando o racismo na Escola</w:t>
      </w:r>
      <w:r>
        <w:rPr>
          <w:rFonts w:ascii="Times New Roman" w:hAnsi="Times New Roman" w:cs="Times New Roman" w:eastAsia="Times New Roman"/>
          <w:color w:val="auto"/>
          <w:spacing w:val="0"/>
          <w:position w:val="0"/>
          <w:sz w:val="24"/>
          <w:shd w:fill="auto" w:val="clear"/>
        </w:rPr>
        <w:t xml:space="preserve">. Brasília: SECAD/MEC, 2005. p. 21-38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SOUZA, Neusa Santos. </w:t>
      </w:r>
      <w:r>
        <w:rPr>
          <w:rFonts w:ascii="Times New Roman" w:hAnsi="Times New Roman" w:cs="Times New Roman" w:eastAsia="Times New Roman"/>
          <w:b/>
          <w:color w:val="auto"/>
          <w:spacing w:val="0"/>
          <w:position w:val="0"/>
          <w:sz w:val="24"/>
          <w:shd w:fill="auto" w:val="clear"/>
        </w:rPr>
        <w:t xml:space="preserve">Tornar-se negro</w:t>
      </w:r>
      <w:r>
        <w:rPr>
          <w:rFonts w:ascii="Times New Roman" w:hAnsi="Times New Roman" w:cs="Times New Roman" w:eastAsia="Times New Roman"/>
          <w:color w:val="auto"/>
          <w:spacing w:val="0"/>
          <w:position w:val="0"/>
          <w:sz w:val="24"/>
          <w:shd w:fill="auto" w:val="clear"/>
        </w:rPr>
        <w:t xml:space="preserve">. 2ª ed. São Paulo: Graal, 1983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SOUZA, Lorena F. de. </w:t>
      </w:r>
      <w:r>
        <w:rPr>
          <w:rFonts w:ascii="Times New Roman" w:hAnsi="Times New Roman" w:cs="Times New Roman" w:eastAsia="Times New Roman"/>
          <w:b/>
          <w:color w:val="auto"/>
          <w:spacing w:val="0"/>
          <w:position w:val="0"/>
          <w:sz w:val="24"/>
          <w:shd w:fill="auto" w:val="clear"/>
        </w:rPr>
        <w:t xml:space="preserve">Corpos negros femininos em movimento</w:t>
      </w:r>
      <w:r>
        <w:rPr>
          <w:rFonts w:ascii="Times New Roman" w:hAnsi="Times New Roman" w:cs="Times New Roman" w:eastAsia="Times New Roman"/>
          <w:color w:val="auto"/>
          <w:spacing w:val="0"/>
          <w:position w:val="0"/>
          <w:sz w:val="24"/>
          <w:shd w:fill="auto" w:val="clear"/>
        </w:rPr>
        <w:t xml:space="preserve">: trajetória socioespaciais de professoras negras em escolas públicas. Dissertação de Mestrado em Geografia. IESA – UFG,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TEIXEIRA, Moema de Poli. </w:t>
      </w:r>
      <w:r>
        <w:rPr>
          <w:rFonts w:ascii="Times New Roman" w:hAnsi="Times New Roman" w:cs="Times New Roman" w:eastAsia="Times New Roman"/>
          <w:b/>
          <w:color w:val="auto"/>
          <w:spacing w:val="0"/>
          <w:position w:val="0"/>
          <w:sz w:val="24"/>
          <w:shd w:fill="auto" w:val="clear"/>
        </w:rPr>
        <w:t xml:space="preserve">Negros na universidade</w:t>
      </w:r>
      <w:r>
        <w:rPr>
          <w:rFonts w:ascii="Times New Roman" w:hAnsi="Times New Roman" w:cs="Times New Roman" w:eastAsia="Times New Roman"/>
          <w:color w:val="auto"/>
          <w:spacing w:val="0"/>
          <w:position w:val="0"/>
          <w:sz w:val="24"/>
          <w:shd w:fill="auto" w:val="clear"/>
        </w:rPr>
        <w:t xml:space="preserve">: identidade e trajetória de ascensão social no Rio de Janeiro. Rio de Janeiro: Pallas, 2003. p.267.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TUAN, Yi-fu. </w:t>
      </w:r>
      <w:r>
        <w:rPr>
          <w:rFonts w:ascii="Times New Roman" w:hAnsi="Times New Roman" w:cs="Times New Roman" w:eastAsia="Times New Roman"/>
          <w:b/>
          <w:color w:val="auto"/>
          <w:spacing w:val="0"/>
          <w:position w:val="0"/>
          <w:sz w:val="24"/>
          <w:shd w:fill="auto" w:val="clear"/>
        </w:rPr>
        <w:t xml:space="preserve">Espaço e Lugar</w:t>
      </w:r>
      <w:r>
        <w:rPr>
          <w:rFonts w:ascii="Times New Roman" w:hAnsi="Times New Roman" w:cs="Times New Roman" w:eastAsia="Times New Roman"/>
          <w:color w:val="auto"/>
          <w:spacing w:val="0"/>
          <w:position w:val="0"/>
          <w:sz w:val="24"/>
          <w:shd w:fill="auto" w:val="clear"/>
        </w:rPr>
        <w:t xml:space="preserve">. São Paulo: Difel, 1983.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WALKER, Alice. </w:t>
      </w:r>
      <w:r>
        <w:rPr>
          <w:rFonts w:ascii="Times New Roman" w:hAnsi="Times New Roman" w:cs="Times New Roman" w:eastAsia="Times New Roman"/>
          <w:b/>
          <w:color w:val="auto"/>
          <w:spacing w:val="0"/>
          <w:position w:val="0"/>
          <w:sz w:val="24"/>
          <w:shd w:fill="auto" w:val="clear"/>
        </w:rPr>
        <w:t xml:space="preserve">A cor púrpura</w:t>
      </w:r>
      <w:r>
        <w:rPr>
          <w:rFonts w:ascii="Times New Roman" w:hAnsi="Times New Roman" w:cs="Times New Roman" w:eastAsia="Times New Roman"/>
          <w:color w:val="auto"/>
          <w:spacing w:val="0"/>
          <w:position w:val="0"/>
          <w:sz w:val="24"/>
          <w:shd w:fill="auto" w:val="clear"/>
        </w:rPr>
        <w:t xml:space="preserve">. São Paulo: Marco Zero, 1982.</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 relações de gênero no contexto </w:t>
      </w: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da Educação Infantil</w:t>
      </w:r>
    </w:p>
    <w:p>
      <w:pPr>
        <w:spacing w:before="0" w:after="200" w:line="240"/>
        <w:ind w:right="0" w:left="0" w:firstLine="0"/>
        <w:jc w:val="right"/>
        <w:rPr>
          <w:rFonts w:ascii="Times New Roman" w:hAnsi="Times New Roman" w:cs="Times New Roman" w:eastAsia="Times New Roman"/>
          <w:color w:val="auto"/>
          <w:spacing w:val="0"/>
          <w:position w:val="0"/>
          <w:sz w:val="22"/>
          <w:shd w:fill="auto" w:val="clear"/>
          <w:vertAlign w:val="superscript"/>
        </w:rPr>
      </w:pPr>
      <w:r>
        <w:rPr>
          <w:rFonts w:ascii="Times New Roman" w:hAnsi="Times New Roman" w:cs="Times New Roman" w:eastAsia="Times New Roman"/>
          <w:color w:val="auto"/>
          <w:spacing w:val="0"/>
          <w:position w:val="0"/>
          <w:sz w:val="22"/>
          <w:shd w:fill="auto" w:val="clear"/>
        </w:rPr>
        <w:t xml:space="preserve">Karen Santos Amorim</w:t>
      </w:r>
      <w:r>
        <w:rPr>
          <w:rFonts w:ascii="Times New Roman" w:hAnsi="Times New Roman" w:cs="Times New Roman" w:eastAsia="Times New Roman"/>
          <w:color w:val="auto"/>
          <w:spacing w:val="0"/>
          <w:position w:val="0"/>
          <w:sz w:val="22"/>
          <w:shd w:fill="auto" w:val="clear"/>
          <w:vertAlign w:val="superscript"/>
        </w:rPr>
        <w:t xml:space="preserve">1</w:t>
      </w:r>
    </w:p>
    <w:p>
      <w:pPr>
        <w:spacing w:before="0" w:after="200" w:line="240"/>
        <w:ind w:right="0" w:left="0" w:firstLine="0"/>
        <w:jc w:val="right"/>
        <w:rPr>
          <w:rFonts w:ascii="Times New Roman" w:hAnsi="Times New Roman" w:cs="Times New Roman" w:eastAsia="Times New Roman"/>
          <w:color w:val="auto"/>
          <w:spacing w:val="0"/>
          <w:position w:val="0"/>
          <w:sz w:val="22"/>
          <w:shd w:fill="auto" w:val="clear"/>
          <w:vertAlign w:val="superscript"/>
        </w:rPr>
      </w:pPr>
      <w:r>
        <w:rPr>
          <w:rFonts w:ascii="Times New Roman" w:hAnsi="Times New Roman" w:cs="Times New Roman" w:eastAsia="Times New Roman"/>
          <w:color w:val="auto"/>
          <w:spacing w:val="0"/>
          <w:position w:val="0"/>
          <w:sz w:val="22"/>
          <w:shd w:fill="auto" w:val="clear"/>
        </w:rPr>
        <w:t xml:space="preserve">Lílian Miranda Bastos Pacheco </w:t>
      </w:r>
      <w:r>
        <w:rPr>
          <w:rFonts w:ascii="Times New Roman" w:hAnsi="Times New Roman" w:cs="Times New Roman" w:eastAsia="Times New Roman"/>
          <w:color w:val="auto"/>
          <w:spacing w:val="0"/>
          <w:position w:val="0"/>
          <w:sz w:val="22"/>
          <w:shd w:fill="auto" w:val="clear"/>
          <w:vertAlign w:val="superscript"/>
        </w:rPr>
        <w:t xml:space="preserve">2</w:t>
      </w:r>
    </w:p>
    <w:p>
      <w:pPr>
        <w:spacing w:before="0" w:after="200" w:line="240"/>
        <w:ind w:right="0" w:left="0" w:firstLine="0"/>
        <w:jc w:val="right"/>
        <w:rPr>
          <w:rFonts w:ascii="Times New Roman" w:hAnsi="Times New Roman" w:cs="Times New Roman" w:eastAsia="Times New Roman"/>
          <w:color w:val="auto"/>
          <w:spacing w:val="0"/>
          <w:position w:val="0"/>
          <w:sz w:val="22"/>
          <w:shd w:fill="auto" w:val="clear"/>
          <w:vertAlign w:val="superscript"/>
        </w:rPr>
      </w:pPr>
    </w:p>
    <w:p>
      <w:pPr>
        <w:spacing w:before="0" w:after="200" w:line="240"/>
        <w:ind w:right="0" w:left="0" w:firstLine="0"/>
        <w:jc w:val="right"/>
        <w:rPr>
          <w:rFonts w:ascii="Times New Roman" w:hAnsi="Times New Roman" w:cs="Times New Roman" w:eastAsia="Times New Roman"/>
          <w:color w:val="auto"/>
          <w:spacing w:val="0"/>
          <w:position w:val="0"/>
          <w:sz w:val="24"/>
          <w:shd w:fill="auto" w:val="clear"/>
          <w:vertAlign w:val="superscript"/>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vertAlign w:val="superscript"/>
        </w:rPr>
      </w:pPr>
      <w:r>
        <w:rPr>
          <w:rFonts w:ascii="Times New Roman" w:hAnsi="Times New Roman" w:cs="Times New Roman" w:eastAsia="Times New Roman"/>
          <w:b/>
          <w:color w:val="auto"/>
          <w:spacing w:val="0"/>
          <w:position w:val="0"/>
          <w:sz w:val="24"/>
          <w:shd w:fill="auto" w:val="clear"/>
        </w:rPr>
        <w:t xml:space="preserve">Introduzindo...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Num contexto de intensas lutas do movimento feminista em defesa de uma sociedade onde haja a eqüidade entre os sexos, é que a temática, relações de gênero, veio ganhando significativa repercussão e espaço, não só no âmbito das discussões e debates acadêmicos, mas também na agenda política brasileira. Na década de 90, por exemplo, há um expressivo crescimento das produções acadêmicas em torno da temática das relações de gênero, em termos de defesa de teses, dissertações, monografias. Assim como, a criação de algumas importantes revistas científicas que se propõem a difundir estudos em torno deste determinando campo do conhecimento, fomentando assim a produção científica na área. Este é o caso, por exemplo: da Revista de Estudos Feminista, atualmente sediada na Universidade Federal de Santa Catarina; os Cadernos de Pesquisa da Fundação Carlos Chagas; os Cadernos PAGU, da Faculdade de Educação da Universidade de Campinas. Além de alguns Grupos de Pesquisa que também têm se debruçado sobre esta temática, como é o caso do Núcleo de Estudos Interdisciplinares sobre a Mulher – NEIM, da Faculdade de Filosofia e Ciências Humanas da Universidade Federal da Bahia e o Grupo de Estudos de Educação e Relações de Gênero – GEERGE, da Universidade Federal do Rio Grande do Sul, dentre outros, que vêem mostrar o crescimento e amadurecimento das produções em torno deste campo de estudo.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década posterior, o Fundo de Desenvolvimento das Nações Unidas para a Mulher (UNIFEM), juntamente com o Ministério da Educação e Cultura (MEC), o Ministério da Ciência e Tecnologia (MCT) e a Secretaria Especial de Políticas para as Mulheres (SEPM), instituem no ano de 2005 o “Prêmio Construindo a Igualdade de Gênero”.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Este tem por objetivo estimular a produção científica e a reflexão acerca das relações de gênero, mulheres e femininos no país, assim como, promover a participação feminina no campo das ciências e carreiras acadêmicas.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como gênero, a educação da criança de 0 a 6 anos também vem se tornando, ao longo dos anos, objeto de estudo de diversos pesquisadores das mais diversas áreas do conhecimento, como: Sociologia, Educação, Antropologia, Psicologia, dentre outras. A criança, sob a perspectiva dos estudos da Sociologia da Infância, passou a ser vista não mais como um adulto em miniatura ou um vir a ser, mas como sujeito social, criador, transgressor e reprodutor de cultura, que inventa e reinventa ao seu modo, maneiras de vivenciar e experienciar situações diversas, que nem sempre condiz com o esperado por nós adultos.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podemos perceber também um expressivo número de documentos criados na década de 90, pelo Ministério da Educação e Cultura, de maneira a atender às especificidades da criança da Educação Infantil, como é o caso dos documentos: “Por uma Política de Formação do Profissional da Educação Infantil” (BRASIL, 1994); “Propostas Pedagógicas e Currículo em Educação Infantil” (BRASIL, 1996); “Referencial Curricular Nacional para a Educação Infantil” (BRASIL, 1998), dentre outros. Tal produção demonstra a visibilidade e relevância que a educação destes pequenos sujeitos vêem ganhando e o significativo espaço que vêem ocupando na academia, assim como, na agenda política brasileira.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apesar destas duas áreas do conhecimento (Estudos sobre Gênero e Educação Infantil) estarem, nos últimos anos, ganhando visibilidade, poucas são as pesquisas que articulam infância e gênero. Segundo</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Rosemberg (2001, p. 57) “raríssimos estudos parecem ter ido à busca do lugar da infância na construção social das relações de gênero no sistema educacional. [...] e é essa faixa etária que vive a “hora da verdade” da educação brasileira”.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 disso, esta ampla invisibilidade da temática aqui considerada, é reveladora também do desinteresse dos pesquisadores pela mesma, de como a academia, enquanto lócus de pesquisa e centro de formação de professores, tem dado pouca importância em discutir as questões referentes as relações de gênero, priorizando e super valorizando algumas poucas temáticas já consolidadas acadêmicamente como científicas, em detrimento de outras que, equivocadamente, parecem interessar apenas as feministas ou como diz Rosemberg (1996) as "mulherólogas".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Num estudo realizado por nós (AMORIM et al,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2009) ao analisarmos os artigos publicados em periódicos científicos, no período de 1990 a 2003, classificados pela QUALIS-CAPES 2003, nas áreas da Educação como sendo periódicos de circulação internacional e com conceito (A) de excelência, constatamos que, num universo de</w:t>
      </w:r>
      <w:r>
        <w:rPr>
          <w:rFonts w:ascii="Times New Roman" w:hAnsi="Times New Roman" w:cs="Times New Roman" w:eastAsia="Times New Roman"/>
          <w:b/>
          <w:color w:val="auto"/>
          <w:spacing w:val="0"/>
          <w:position w:val="0"/>
          <w:sz w:val="24"/>
          <w:shd w:fill="auto" w:val="clear"/>
        </w:rPr>
        <w:t xml:space="preserve"> 389</w:t>
      </w:r>
      <w:r>
        <w:rPr>
          <w:rFonts w:ascii="Times New Roman" w:hAnsi="Times New Roman" w:cs="Times New Roman" w:eastAsia="Times New Roman"/>
          <w:color w:val="auto"/>
          <w:spacing w:val="0"/>
          <w:position w:val="0"/>
          <w:sz w:val="24"/>
          <w:shd w:fill="auto" w:val="clear"/>
        </w:rPr>
        <w:t xml:space="preserve"> artigos sobre a Educação Infantil, apenas 3,1% do total referem-se à temática gênero, tornando evidente a necessidade cada vez mais imperiosa de se intensificar e aprofundar a produção acadêmica que articulem Educação Infantil e relações de gênero, de maneira que possibilite uma reflexão mais fecunda e consistente acerca do mesmo, principalmente em cursos de formação tanto inicial como continuada de professores.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válido destacar também que, este “suposto” atraso de atentar para a temática “relações de gênero no âmbito da Educação Infantil”, não se constitui numa exclusividade destas revistas de divulgação científica. O maior congresso na área da Educação no Brasil, a Reunião Anual da Associação Nacional de Pós-Graduação e Pesquisa em Educação (ANPEd), somente se atentou para a complexidade e importância da temática relações de gênero, apenas no ano de 2003, com a criação do Grupo de Estudos Gênero, Sexualidade e Educação (GE – 23), passado dois anos, em 2006, é que a temática ganhou um espaço maior na associação e passou a constituir o Grupo de Trabalho Gênero, Sexualidade e Educação (GT – 23), que ainda assim, não congrega muitos estudos que articulem as temáticas em questão.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Compreendemos a relevância da Educação Infantil, como primeira etapa da Educação Básica e que as crianças (atendidas por esta modalidade de ensino) são sujeitos sociais. Portanto, aprendem sobre o mundo e sobre si mesma a partir dos contatos físicos, das convivências e experiências vivenciadas com os mais diversos sujeitos, nos mais diferentes âmbitos. É imprescindível que a escola enquanto instituição social atenda de maneira satisfatória às especificidades e singularidades dos diversos grupos sociais que a ela adentra, e que todo conhecimento, produzido e reproduzido por ela, assim como os vínculos que nela são estabelecidos, atentem e respeitem as diferenças.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relevância deste estudo reside primordialmente em contrapor-se à concepção prevalecente de que meninas e meninos, tão somente reproduzem de maneira passiva os estereótipos de gênero. Ao contrário, ocorre um processo ativo de acomodação e resistência, como nos sugere Anyon (1990),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garotos e garotas muitas vezes respondem de forma diversa às expectativas e imposições sociais de feminilidade e masculinidade, transgredindo-as e até mesmo usando deste legado cultural para resistir aos estigmas construídos para cada sexo.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preocupação em articular as temáticas relações de gênero e Educação Infantil e o interesse em problematizá-la, nos conduziram à realização da presente pesquisa, que a partir das leituras e discussões feitas no Grupo de Pesquisa Desenvolvimento Humano e Processos Educativos (DEHPE/DEDU/UEFS), assim como, da evidência da escassa produção teórica em torno deste determinado campo de análise, gerou-nos profundas inquietações a despeito de como a criança pequena produz e reproduz modos de ser homem e de ser mulher.</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Metodologia: passo-a-passo da pesquisa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vez definido o objetivo central desta pesquisa como sendo o de buscar identificar, nas interações verbais e nas formas de socialização das crianças de cinco anos, de uma determinada escola pública do município de Feira de Santana, a maneira como concebem o ser menina e o ser menino, a partir dos papéis que assumem quanto a identidade de gênero em situação real de sala de aula e em situação de brincadeira. Queríamos observar se elas reproduzem os estereótipos culturalmente e historicamente construídos ou se os transgridem, bem como compreender o tratamento e as expectativas que a professora regente da turma oferecia e esperava, em termos de atitudes e comportamentos de garotos e garotas. Para atingir tal objetivo o próximo desafio posto foi: que caminho percorrer? O que e como fazer para responder aos objetivos deste estudo? Que técnicas, instrumentos e estratégias seria necessário utilizar?</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Primeiramente esta pesquisa foi realizada mediante 10 visitas à escola, mais precisamente ao Grupo 05 matutino (referente às crianças que se encontram na faixa etária dos cinco anos, apesar de haver algumas crianças com seis anos) quando foram feitas observações com a finalidade de obter informações referentes ao objeto de estudo em questão. Para tanto, utilizamos como instrumento de coleta de dados o diário de campo e a observação direta.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foram registrados os fenômenos vistos, ouvido e experienciado em situação real de sala de aula no que tange as identidades de gênero. Segundo Araújo et all (2008, p. 14-15) “o diário de bordo tem como objetivo ser um instrumento em que o investigador vai registrando as notas retiradas das suas observações de campo” e, além disso, “pode também apoiar o investigador a acompanhar o desenvolvimento do estudo”. A observação direta por sua vez, de acordo com Lüdke e André (2005, p. 26):</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Permite que o observador chegue mais perto da “perspectiva dos sujeitos”, um importante alvo nas abordagens qualitativas. Na medida em que o observador acompanha </w:t>
      </w:r>
      <w:r>
        <w:rPr>
          <w:rFonts w:ascii="Times New Roman" w:hAnsi="Times New Roman" w:cs="Times New Roman" w:eastAsia="Times New Roman"/>
          <w:i/>
          <w:color w:val="auto"/>
          <w:spacing w:val="0"/>
          <w:position w:val="0"/>
          <w:sz w:val="22"/>
          <w:shd w:fill="auto" w:val="clear"/>
        </w:rPr>
        <w:t xml:space="preserve">in loco</w:t>
      </w:r>
      <w:r>
        <w:rPr>
          <w:rFonts w:ascii="Times New Roman" w:hAnsi="Times New Roman" w:cs="Times New Roman" w:eastAsia="Times New Roman"/>
          <w:color w:val="auto"/>
          <w:spacing w:val="0"/>
          <w:position w:val="0"/>
          <w:sz w:val="22"/>
          <w:shd w:fill="auto" w:val="clear"/>
        </w:rPr>
        <w:t xml:space="preserve"> as experiências diárias dos sujeitos, pode tentar apreender a sua visão de mundo, isto é, o significado que eles atribuem à realidade que os cerca e às suas próprias ações.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4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Vale salientar que as observações abrangiam todas as atividades realizadas, desde a chegada até a saída das crianças e da professora regente à sala de aula. Elas estão dispostas na próxima parte “Análise dos Dados” em forma de Episódio 01, Episódio 02 e assim por diante, de maneira a facilitar tanto a apresentação dos acontecimentos, como a análise feita sobre os mesmos. </w:t>
      </w:r>
    </w:p>
    <w:p>
      <w:pPr>
        <w:spacing w:before="0" w:after="0" w:line="360"/>
        <w:ind w:right="0" w:left="0" w:firstLine="4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Todas as anotações feitas no diário de campo foram minuciosamente transcritas de forma descritiva e analítica, a partir de uma “visão” crítico-reflexiva a respeito das mesmas, apoiando-se na teoria do poder simbólico proposta por Bourdieu (2007, p. 09) que consiste:</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Num poder de construção da realidade que tende a estabelecer uma ordem </w:t>
      </w:r>
      <w:r>
        <w:rPr>
          <w:rFonts w:ascii="Times New Roman" w:hAnsi="Times New Roman" w:cs="Times New Roman" w:eastAsia="Times New Roman"/>
          <w:i/>
          <w:color w:val="auto"/>
          <w:spacing w:val="0"/>
          <w:position w:val="0"/>
          <w:sz w:val="22"/>
          <w:shd w:fill="auto" w:val="clear"/>
        </w:rPr>
        <w:t xml:space="preserve">gnoseológica</w:t>
      </w:r>
      <w:r>
        <w:rPr>
          <w:rFonts w:ascii="Times New Roman" w:hAnsi="Times New Roman" w:cs="Times New Roman" w:eastAsia="Times New Roman"/>
          <w:color w:val="auto"/>
          <w:spacing w:val="0"/>
          <w:position w:val="0"/>
          <w:sz w:val="22"/>
          <w:shd w:fill="auto" w:val="clear"/>
        </w:rPr>
        <w:t xml:space="preserve">: o sentido imediato do mundo (e, em particular, do mundo social) supõe aquilo que Durkheim chama o </w:t>
      </w:r>
      <w:r>
        <w:rPr>
          <w:rFonts w:ascii="Times New Roman" w:hAnsi="Times New Roman" w:cs="Times New Roman" w:eastAsia="Times New Roman"/>
          <w:i/>
          <w:color w:val="auto"/>
          <w:spacing w:val="0"/>
          <w:position w:val="0"/>
          <w:sz w:val="22"/>
          <w:shd w:fill="auto" w:val="clear"/>
        </w:rPr>
        <w:t xml:space="preserve">conformismo lógico</w:t>
      </w:r>
      <w:r>
        <w:rPr>
          <w:rFonts w:ascii="Times New Roman" w:hAnsi="Times New Roman" w:cs="Times New Roman" w:eastAsia="Times New Roman"/>
          <w:color w:val="auto"/>
          <w:spacing w:val="0"/>
          <w:position w:val="0"/>
          <w:sz w:val="22"/>
          <w:shd w:fill="auto" w:val="clear"/>
        </w:rPr>
        <w:t xml:space="preserve">, quer dizer, &lt;&lt;uma concepção homogênea do tempo, do espaço, do número, da causa, que torna possível a concordância entre as inteligências&gt;&gt;. </w:t>
      </w:r>
    </w:p>
    <w:p>
      <w:pPr>
        <w:spacing w:before="0" w:after="0" w:line="360"/>
        <w:ind w:right="0" w:left="2268"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4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vez desejando ouvir as crianças, um novo desafio surgiu: Como fazer para preservar a identidade delas? Que artifício ou estratégia utilizar para não revelar seus nomes e ao mesmo tempo não destiná-las a um anonimato?   </w:t>
      </w:r>
    </w:p>
    <w:p>
      <w:pPr>
        <w:spacing w:before="0" w:after="200" w:line="360"/>
        <w:ind w:right="0" w:left="0" w:firstLine="4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o Estatuto da Criança e do Adolescente – ECA (BRASIL, 1990), no Artigo 17, do Capítulo II - Do Direito à Liberdade, ao Respeito e à Dignidade, diz: “O direito ao respeito consiste na inviolabilidade da integridade física, psíquica e moral da criança e do adolescente, abrangendo a preservação da imagem, da identidade, da autonomia, dos valores, idéias e crenças, dos espaços e objetos pessoais”. </w:t>
      </w:r>
    </w:p>
    <w:p>
      <w:pPr>
        <w:spacing w:before="0" w:after="200" w:line="360"/>
        <w:ind w:right="0" w:left="0" w:firstLine="4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Partindo do exposto acima, com o princípio ético e legal de preservar os nomes dos pequenos, propusemos que as próprias crianças dissessem com que nome gostariam de aparecer na pesquisa. A opção por esta alternativa se deu pela recusa de utilizarmos números ou letras para identificar as crianças, pois, comungando com o defendido por Kramer (2002), </w:t>
      </w:r>
    </w:p>
    <w:p>
      <w:pPr>
        <w:spacing w:before="0" w:after="200" w:line="360"/>
        <w:ind w:right="0" w:left="0" w:firstLine="475"/>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4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uso destes artifícios nega a condição de sujeito dos pequenos, desconsidera sua identidade relegando-a a um anonimato, que vai completamente de encontro com a concepção de criança em que esta pesquisa está sustentada. Estudos como de Leite (1995) que buscou saber o que as crianças de uma área rural falavam sobre a escola e o saber, recorreu a este mesmo recurso, o de permitir que as próprias crianças escolhessem com que nome gostariam de aparecer no texto. </w:t>
      </w:r>
    </w:p>
    <w:p>
      <w:pPr>
        <w:spacing w:before="0" w:after="200" w:line="360"/>
        <w:ind w:right="0" w:left="0" w:firstLine="4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todos os nomes próprios que aparecerem aqui, no decorrer deste artigo, são nomes fictícios que as próprias crianças escolheram, nenhum deles tem qualquer semelhança com os verdadeiros nomes dos pequenos.</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Sujeitos da Pesquisa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sujeitos deste estudo foram as 21 crianças matriculadas no Grupo 05, matutino, da Educação Infantil de uma determinada escola pública do município de Feira de Santana, sendo 13 meninas (62%) e 08 meninos (35%), entre a faixa etária de cinco e seis anos, oriundas de bairros periféricos do município e pertencentes a classe social menos favorecida economicamente. Filhos e filhas de badameiros, comerciários, motoristas, domésticas e autônomos, sendo afro-descendentes em sua grande maioria. A professora regente da turma, por sua vez, tem formação acadêmica no Magistério, com o nível superior em andamento, também afro-descendente, com 12 anos de experiência profissional na Educação Infantil.  </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Análise dos Dados: “um emaranhado de mochilas azuis e rosas”</w:t>
      </w:r>
      <w:r>
        <w:rPr>
          <w:rFonts w:ascii="Times New Roman" w:hAnsi="Times New Roman" w:cs="Times New Roman" w:eastAsia="Times New Roman"/>
          <w:color w:val="auto"/>
          <w:spacing w:val="0"/>
          <w:position w:val="0"/>
          <w:sz w:val="20"/>
          <w:shd w:fill="auto" w:val="clear"/>
        </w:rPr>
        <w:t xml:space="preserve">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Era uma segunda-feira quando começamos a fazer as observações na escola. Podemos aqui dizer que a primeira vista era um “emaranhado” de mochilas azuis e rosas que simbolicamente dividiam dois grandes territórios: o das meninas e o dos meninos.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da turma ser hegemonicamente feminina, 13 meninas correspondendo a 62% do total de crianças, contra apenas 8 meninos, representando 38% dos pequenos, podemos perceber em todos os 10 dias de observações, que os garotos são os que mais “chamam a atenção” da professora, são os que mais “dominam” o espaço da sala de aula. Eles constantemente levantam dos seus lugares, batem em seus colegas, sobem na mesa e na cadeira, gritam, procuram confusão, enquanto que as meninas parecem até que se “acostumaram” a ficar quietas em seus respectivos lugares.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impressionante a constatação, no plano social, da diferença de comportamentos e atitudes de meninas e meninos. Estes comportamentos pôde ser observado inclusive na hora do retorno do recreio. Quando a sirene “toca” anunciando que o recreio acabou e que por isso todos devem regressar para as suas respectivas salas. Em todos os dias que estivemos observando percebemos que as meninas, todas sem exceção, retornavam imediatamente para a sala, enquanto que os meninos só voltavam após passados de 10 a 15 minutos do término do intervalo.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o que mais nos chamou a atenção não foi esta “liberdade exacerbada” dos meninos, em contrapartida com a “obediência” tão “natural” das meninas, ao contrário, foi a pouca intervenção da professora nestes momentos. Sua indiferença nos permiti inferir que era como se a mesma admitisse como “normal” estas atitudes dos meninos, de bagunçar, bater no colega, transgredir as regras da escola, e a quietude das meninas como algo que lhes são inerente, na condição de femininas. Tal atitude e conduta se assemelha ao que foi constatado por Stoll e Bernardes (1999, p. 79-80) quando procuraram compreender quais as significações a respeito da sexualidade infantil e da educação sexual de meninas e meninos apresentadas por três professoras da Educação Infantil do Vale do Taquari – RS, a partir de suas práticas pedagógicas. Eles constataram que as professoras A e B além de designarem tarefas específicas, assumiam condutas distintas na relação com meninos e meninas. “Das meninas, cobravam comportamentos afetuosos, educados, boa higiene e cuidados com o corpo”, já “os comportamentos dos meninos que revelavam menos polidez, eram tolerados e aceitos como normais”. Os autores ainda constataram que:</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Manifestar atitudes agressivas, falar alto, impor-se na base da força física, exercitar a esperteza e tentar levar vantagem em tudo eram interpretados como positivos, pois aos meninos convinha e parecia salutar acostumarem-se desde cedo a resolver seus problemas e buscar as próprias soluções. (p. 80).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Apesar de não ser da nossa pretensão entrar neste momento no âmbito da discussão da formação docente, o que faremos mais adiante nas considerações finais, no entanto, a este respeito, cabe sinalizar um breve comentário. As informações “retiradas” das práticas dessas professoras levam-nos a perceber o reflexo dos papéis atribuídos a garotos e garotas ditados pelo senso comum e fielmente reproduzidos por estas profissionais, por meio de uma prática arbitrária de condicionar comportamentos preconceituosos e sexistas entre os pequenos, revelando a cultura autoritária e repressiva da nossa sociedade e a carência de uma formação inicial e continuada que possibilite uma reflexão crítica e uma sensibilização para a questão das relações de gênero, que também se constitui em uma relação de poder. </w:t>
      </w:r>
    </w:p>
    <w:p>
      <w:pPr>
        <w:spacing w:before="0" w:after="0" w:line="240"/>
        <w:ind w:right="0" w:left="2268"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Resistência, transgressão, reprodução, contestação, no que tange às identidades de gênero foram experiências vivenciadas pelas crianças desta turma, em todos os 10 dias de observações que fizemos. Quatro episódios foram cuidadosamente selecionados para aqui demonstrar essas vivências das crianças e da professora regente. Situações estas que, serão analisadas, como já fora dito na metodologia, a luz dos estudos de Bourdieu (2007, p. 07) sobre o “poder simbólico”, buscando “saber descobrí-lo onde ele se deixa ver menos, onde ele é mais completamente ignorado, portanto, reconhecido [...]”. Então vejamos o elucidar deste “poder” nos episódios a seguir.   </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EPISÓDIO 01:</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Estávamos próxima a mesa dos meninos ajudando-lhes na atividade de classe, de repente Gustavo levanta, se direciona a Carolina e bate nela sem motivo aparente. Carolina por sua vez, chega até nós e se queixa: “Pró ele me bateu”. Daí perguntamos a Gustavo: Porque você bateu nela? Ele responde: “Porque eu quis”. Perguntamos novamente a ele: Você não tem medo dela descontar o tapa em você? Gustavo fita-nos os olhos e com tom de sarcasmo diz: “Não pró, ela não desconta”. Carolina ouvindo a resposta dele não disse nada, apenas esperava a nossa reação. Quando de repente um dos meninos, Nem, olha-nos e diz: “Oh pró, se nós dois (estava se referindo a ele e o colega que estava sentado ao lado) ajudar ela a bater nele, aí ela desconta”.</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desta situação três aspectos nos chamam bastante atenção: o primeiro diz respeito a atitude de Gustavo de se levantar do seu lugar, atravessar a sala para simplesmente bater em uma de suas colegas. O segundo, a atitude da menina; e o terceiro, diz respeito a maneira como os outros dois meninos queriam resolver o problema.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primeiro episódio fica perceptível que para Gustavo além de Carolina (que representa a figura feminina) ser o “sexo frágil”, fraca e inferior ao homem (ele), ela ainda é incapaz de enfrentá-lo, pois o fato dele ser menino, a intimida e desencoraja por isso ele pode bater e oprimir. A atitude de Carolina, por sua vez, diante desta situação só vem confirmar, de certa forma, o pensamento de Gustavo, uma vez que ela já vem quase chorando se queixar do ocorrido e quando ele responde que bateu por que quis, ela simplesmente olha-nos e espera qual será a nossa reação, demonstrando assim passividade e dependência de uma autoridade que a defenda. De acordo com Stanworth (1983) citado por Bond (1998, p. 49) “a quietude das meninas em sala de aula faz delas alvo de desdém e de conclusões sobre fraqueza por parte dos meninos”.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Comparando as atitudes de Gustavo e Carolina sob a perspectiva de Belotti (1975, p. 52) percebemos que “todo condicionamento sexual depende de um outro, de sentido oposto, provocado no outro sexo. A superioridade e a força de um sexo dependem exclusivamente da inferioridade e fragilidade do outro”. Por isso, se o macho, neste caso Gustavo, se sentir no direito de agredir a sua colega, “só porque pode dominar, inevitavelmente necessitará produzir alguém que aceite ser dominado”, e esse alguém neste caso é Carolina. Isto se constitui numa violência simbólica que na perspectiva de Bourdieu (2007), é um tipo de violência em que “certas pessoas são forçadas a agir e a pensar de uma determinada maneira, sem se darem conta, muitas vezes, de que agem e pensam sob coação” (ARANHA, 1989, p. 129).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o mais curioso é o terceiro momento, quando os dois meninos tentam resolver o problema. Transcrevendo a fala deles na íntegra, poderemos perceber melhor: </w:t>
      </w:r>
      <w:r>
        <w:rPr>
          <w:rFonts w:ascii="Times New Roman" w:hAnsi="Times New Roman" w:cs="Times New Roman" w:eastAsia="Times New Roman"/>
          <w:i/>
          <w:color w:val="auto"/>
          <w:spacing w:val="0"/>
          <w:position w:val="0"/>
          <w:sz w:val="24"/>
          <w:shd w:fill="auto" w:val="clear"/>
        </w:rPr>
        <w:t xml:space="preserve">“Oh pró, </w:t>
      </w:r>
      <w:r>
        <w:rPr>
          <w:rFonts w:ascii="Times New Roman" w:hAnsi="Times New Roman" w:cs="Times New Roman" w:eastAsia="Times New Roman"/>
          <w:b/>
          <w:i/>
          <w:color w:val="auto"/>
          <w:spacing w:val="0"/>
          <w:position w:val="0"/>
          <w:sz w:val="24"/>
          <w:shd w:fill="auto" w:val="clear"/>
        </w:rPr>
        <w:t xml:space="preserve">se</w:t>
      </w:r>
      <w:r>
        <w:rPr>
          <w:rFonts w:ascii="Times New Roman" w:hAnsi="Times New Roman" w:cs="Times New Roman" w:eastAsia="Times New Roman"/>
          <w:i/>
          <w:color w:val="auto"/>
          <w:spacing w:val="0"/>
          <w:position w:val="0"/>
          <w:sz w:val="24"/>
          <w:shd w:fill="auto" w:val="clear"/>
        </w:rPr>
        <w:t xml:space="preserve"> nós dois (estava se referindo a ele e o colega que estava sentado ao lado) ajudar ela (Carolina) a bater nele, </w:t>
      </w:r>
      <w:r>
        <w:rPr>
          <w:rFonts w:ascii="Times New Roman" w:hAnsi="Times New Roman" w:cs="Times New Roman" w:eastAsia="Times New Roman"/>
          <w:b/>
          <w:i/>
          <w:color w:val="auto"/>
          <w:spacing w:val="0"/>
          <w:position w:val="0"/>
          <w:sz w:val="24"/>
          <w:shd w:fill="auto" w:val="clear"/>
        </w:rPr>
        <w:t xml:space="preserve">aí</w:t>
      </w:r>
      <w:r>
        <w:rPr>
          <w:rFonts w:ascii="Times New Roman" w:hAnsi="Times New Roman" w:cs="Times New Roman" w:eastAsia="Times New Roman"/>
          <w:i/>
          <w:color w:val="auto"/>
          <w:spacing w:val="0"/>
          <w:position w:val="0"/>
          <w:sz w:val="24"/>
          <w:shd w:fill="auto" w:val="clear"/>
        </w:rPr>
        <w:t xml:space="preserve"> ela desconta”.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nos atentarmos para os dois vocábulos destacados em negrito acima perceberemos que, para os dois meninos assim como para Gustavo, a menina verdadeiramente é mais fraca do que o menino, pois existe uma condição para ela descontar o tapa, </w:t>
      </w:r>
      <w:r>
        <w:rPr>
          <w:rFonts w:ascii="Times New Roman" w:hAnsi="Times New Roman" w:cs="Times New Roman" w:eastAsia="Times New Roman"/>
          <w:b/>
          <w:color w:val="auto"/>
          <w:spacing w:val="0"/>
          <w:position w:val="0"/>
          <w:sz w:val="24"/>
          <w:shd w:fill="auto" w:val="clear"/>
        </w:rPr>
        <w:t xml:space="preserve">se</w:t>
      </w:r>
      <w:r>
        <w:rPr>
          <w:rFonts w:ascii="Times New Roman" w:hAnsi="Times New Roman" w:cs="Times New Roman" w:eastAsia="Times New Roman"/>
          <w:color w:val="auto"/>
          <w:spacing w:val="0"/>
          <w:position w:val="0"/>
          <w:sz w:val="24"/>
          <w:shd w:fill="auto" w:val="clear"/>
        </w:rPr>
        <w:t xml:space="preserve"> ela tiver a ajuda de mais dois garotos, </w:t>
      </w:r>
      <w:r>
        <w:rPr>
          <w:rFonts w:ascii="Times New Roman" w:hAnsi="Times New Roman" w:cs="Times New Roman" w:eastAsia="Times New Roman"/>
          <w:b/>
          <w:color w:val="auto"/>
          <w:spacing w:val="0"/>
          <w:position w:val="0"/>
          <w:sz w:val="24"/>
          <w:shd w:fill="auto" w:val="clear"/>
        </w:rPr>
        <w:t xml:space="preserve">aí</w:t>
      </w:r>
      <w:r>
        <w:rPr>
          <w:rFonts w:ascii="Times New Roman" w:hAnsi="Times New Roman" w:cs="Times New Roman" w:eastAsia="Times New Roman"/>
          <w:color w:val="auto"/>
          <w:spacing w:val="0"/>
          <w:position w:val="0"/>
          <w:sz w:val="24"/>
          <w:shd w:fill="auto" w:val="clear"/>
        </w:rPr>
        <w:t xml:space="preserve">, ela conseguirá descontar. Ou seja, ela precisa de alguém corajoso, forte, valente, para defendê-la, porque sozinha isto de maneira nenhuma é possível. Então quem será este alguém? A resposta é bem simples e os próprios meninos nos dão: </w:t>
      </w:r>
      <w:r>
        <w:rPr>
          <w:rFonts w:ascii="Times New Roman" w:hAnsi="Times New Roman" w:cs="Times New Roman" w:eastAsia="Times New Roman"/>
          <w:b/>
          <w:i/>
          <w:color w:val="auto"/>
          <w:spacing w:val="0"/>
          <w:position w:val="0"/>
          <w:sz w:val="24"/>
          <w:shd w:fill="auto" w:val="clear"/>
        </w:rPr>
        <w:t xml:space="preserve">nós dois</w:t>
      </w:r>
      <w:r>
        <w:rPr>
          <w:rFonts w:ascii="Times New Roman" w:hAnsi="Times New Roman" w:cs="Times New Roman" w:eastAsia="Times New Roman"/>
          <w:color w:val="auto"/>
          <w:spacing w:val="0"/>
          <w:position w:val="0"/>
          <w:sz w:val="24"/>
          <w:shd w:fill="auto" w:val="clear"/>
        </w:rPr>
        <w:t xml:space="preserve">, isto é, o homem. A presença ou ajuda deles é condição primeira e exclusiva para Carolina se defender de Gustavo, os meninos aqui se colocam como protetores dela, “pobre” menina frágil e indefesa.</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Estas características são historicamente e culturalmente atribuídas a eles e já estão impregnadas de tal maneira no imaginário social que as crianças de cinco anos de idade reproduzem de forma perfeita, não só a diferenciação dos gêneros, mas a inferiorização da mulher diante do homem.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interessante destacar também que, apesar da professora estar na sala de aula no momento do ocorrido, ela não percebeu o que havia acontecido ficando completamente alheia à situação.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será mesmo que as meninas são tão indefesas e passivas assim como Carolina? Teria razão os meninos considerá-las frágeis?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Permissividade exacerbada, agressão, transgressão, atitude repressora e preconceituosa, são alguns dos acontecimentos que caracterizam o episódio a seguir. Então vejamos.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EPISÓDIO 02:</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Estava próximo das festividades de Natal, por isso as crianças passaram o primeiro horário todo ensaiando para a grande festa de final de ano da escola. Após terminado o exaustivo ensaio, as crianças ficaram sentadas esperando o recreio, pois faltava pouco tempo para o mesmo. Nesta espera Gustavo e Nem começaram a se agitar, levantaram dos seus lugares e ficaram perambulando pela sala. Enquanto isso, Lívia se levanta e vai fazer a ponta do lápis, vale ressaltar que a lixeira da sala fica próxima a mesa onde Gustavo e Nem estavam sentados. Passados alguns instantes, Gustavo volta para o seu lugar, vê Lívia em pé e lhe dá um tapa. Imediatamente Lívia vira e revida o tapa de Gustavo com socos e empurrões, até que ele cai no chão chorando. A professora ao ver isso pede para Gustavo levantar do chão, sentar na cadeira e ficar quieto esperando o recreio. Em seguida ela se dirige a Lívia e diz: “Nunca mais faça isso Lívia, será que você já não sabe que mulher não pode brigar com homem? Você é mais fraca do que ele, eu já lhe disse isto, menino é mais forte do que menina, eu já te disse para você não fazer mais isso”. Lívia com a cabeça baixa em cima da mesa e chorando, escuta tudo o que a professora diz a ela calada, sem dizer nada. Posteriormente a professora olha-nos e reafirma: “Olha que eu já falei para ela que menina é mais fraca do que menino, por isso não pode brigar com eles, mas ela não entende isso, é teimosa mesmo”.   </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Ao observarmos a situação apresentada por este episódio, percebemos quatro cenas interessantes que merecem um olhar mais crítico e cuidadoso sobre elas, então vejamos.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primeira cena diz respeito à ação desencadeadora da situação: a atitude de Gustavo, que assim como no episódio 01, agride uma de suas colegas sem motivos aparente. Diante disso nos perguntamos: o que justificaria esta atitude dele? Porque ele “sempre” está batendo nas meninas, porque não nos meninos? O que está atitude quer “dizer”?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Tanto neste episódio quanto no primeiro, podemos perceber nitidamente qual a concepção que Gustavo tem das meninas, aquela socialmente construída e esperada: “sexo frágil”, indefesas, fracas, passivas, “boazinhas”, não agressivas. Por isso, se acha no “direito” de levantar do seu lugar, ir até sua colega e agredí-la sem que a mesma tenha lhe dado motivos.  Esta atitude não só demonstra uma tentativa de dominação masculina, como de desrespeito ao outro, ao considerá-la como inferior e por isso desigual.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segunda cena que nos chama atenção é a atitude de Lívia. Se fôssemos buscar no senso comum qual deveria ser a atitude da garota frente a esta situação, com certeza a reprimiríamos como fez a professora, mas olhemos por um outro ângulo.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Contrariando não só o senso comum, mas a Gustavo também que ficou atônito com a atitude da colega, Lívia não só desconta um tapa, mas demonstra que a visão estereotipada de menina quieta, indefesa, delicada, frágil e sensível, pode também ser transgredida, sem que a sua condição de menina seja questionada. Sua postura é uma forma de dizer para o seu colega que ser garota e mulher não é sinônimo de fraqueza, nem de inferioridade e que, apesar de diferentes, não são por isso desiguais a ponto dele tocar em seu corpo da forma que queira. Este fato nos revela que nem sempre as crianças reagem de acordo com as expectativas do adulto, muito pelo contrário, por serem sujeitos sociais, portadores de uma história, construtores, produtores e reprodutores de cultura, respondem de maneira diversa às situações que vivenciam.</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atitude da professora, por sua vez, frente a esta situação é um outro fato que nos chama bastante a atenção. É interessante notar que quando ela interfere no caso em nenhum momento ela reclama com o agressor (Gustavo) ou o questiona sobre a sua atitude. Muito pelo contrário, ela o manda simplesmente sentar e ficar quieto como se o comportamento dele fosse o mais natural possível. Já era de se esperar, afinal agredir, bater e procurar confusão são características erroneamente naturalizadas como masculina, justificando assim, atitudes de violência, agressão e desrespeito ao outro que nesse caso é a menina. É impressionante também perceber como a professora nem consegue ao menos ver a atitude de Lívia sob a perspectiva da autodefesa, já que ela simplesmente reagiu a uma agressão que sofreu.</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Por ser Lívia uma garota menos submissa e passiva mostrando agressividade quando necessário, contrariou as expectativas da sua professora, uma vez que, a mesma considerou este tipo de comportamento masculino. Já Gustavo, ela logo o deixou em paz, afinal a sua postura e atitude condiz com a sua condição de menino, se enquadra perfeitamente no socialmente esperado para o seu sexo, diferentemente da atitude de Lívia. A desvantagem com que topa a menina Lívia, em relação ao menino Gustavo, é que o modelo a que deve conformar-se, neste caso o da professora, está plenamente ali, dentro da sala, “disponível a todo momento para ser observada e copiada, expressa, por assim dizer, na sua plenitude que é afinal uma enorme pobreza” (BELOTTI, 1975, p. 57).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Este episódio nos revela que a expectativa e o tratamento dado pela professora em relação às crianças difere quando diz respeito ao sexo das mesmas.  Sua atitude não só contribui para a perpetuação de práticas opressoras, preconceituosas e discriminatórias no que tange a figura feminina, mas também, e, sobretudo, para a manutenção de uma ordem social sexista e segregadora.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Para Bourdieu (2007) a atitude dela se constitui numa violência simbólica, que é exercida pelo poder simbólico da linguagem, enquanto instrumento de conhecimento e expressão. A atitude da professora inculca na “cabeça” das crianças, um discurso machista dominante, que converte características sociais em características de ordem natural, para dessa forma justificar e legitimar a dominação hierárquica da figura masculina sobre a feminina. O mais impressionante deste processo de perpetuação dos costumes é que, no caso, a própria perpetuadora dos condicionamentos sociais aqui, na condição de mulher, ela é vítima deste discurso e ao mesmo tempo opressora. Isto reflete nas palavras de Bourdieu (2007, p. 14) por que:</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 poder simbólico como poder de constituir o dado pela enunciação, de fazer ver e fazer crer, de confirmar ou de transformar a visão do mundo e, deste modo, a ação sobre o mundo, portanto o mundo; poder quase mágico que permite obter o equivalente daquilo que é obtido pela força (física ou econômica), graças ao efeito específico de mobilização, só se exerce se for reconhecido, quer dizer, ignorado como arbitrário.</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Isso significa dizer que a própria professora além de aceitar como legítimo este discurso que a inferioriza diante do homem, defende-o e dissemina-o entre os pequenos. E estes por sua vez, apesar de algumas vezes opor-se, como Lívia, que não só demonstrou resistência, mas, sobretudo, indignação por perceber o ser menina sob uma ótica diferente da sua professora, termina “aceitando-o”, pois além dela representar uma autoridade na sala e ser “referência” para as crianças, “detém” o poder simbólico da linguagem, do saber, da autoridade. O simbólico emerge como um poder capaz de impor significações e as impõe como legítimas, contribuindo, dessa forma, com a dominação vigente: “[...] O que faz o poder das palavras e das palavras de ordem, poder de manter a ordem ou de a subverter, é a crença na legitimidade das palavras e daquele que as pronuncia, crença cuja produção não é da competência das palavras” (BOURDIEU, 2007, p. 15).</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como Bourdieu (2007), Finco (2004, p. 08) assevera que: “[...] os múltiplos espaços e as muitas instâncias nas quais se pode observar a instituição das distinções e das desigualdades, a linguagem é, seguramente, o campo mais eficaz e persistente, visto que ela atravessa e constitui a maioria de nossas práticas e ela nos parece, quase sempre, muito natural”.</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fazermos uma pequena comparação entre a atitude de Lívia e a de Carolina, do primeiro episódio, nos perguntamos: Afinal, o que justificaria as posturas diferenciadas adotadas por estas duas meninas?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Precisamos considerar que a escola não se constitui no único </w:t>
      </w:r>
      <w:r>
        <w:rPr>
          <w:rFonts w:ascii="Times New Roman" w:hAnsi="Times New Roman" w:cs="Times New Roman" w:eastAsia="Times New Roman"/>
          <w:i/>
          <w:color w:val="auto"/>
          <w:spacing w:val="0"/>
          <w:position w:val="0"/>
          <w:sz w:val="24"/>
          <w:shd w:fill="auto" w:val="clear"/>
        </w:rPr>
        <w:t xml:space="preserve">lócus</w:t>
      </w:r>
      <w:r>
        <w:rPr>
          <w:rFonts w:ascii="Times New Roman" w:hAnsi="Times New Roman" w:cs="Times New Roman" w:eastAsia="Times New Roman"/>
          <w:color w:val="auto"/>
          <w:spacing w:val="0"/>
          <w:position w:val="0"/>
          <w:sz w:val="24"/>
          <w:shd w:fill="auto" w:val="clear"/>
        </w:rPr>
        <w:t xml:space="preserve"> de convivência destas crianças, mas que antes mesmo da entrada delas nesta instituição, no âmbito familiar elas já vivenciaram e vivenciam relações interpessoais que lhes conferiram um jeito específico de ser menina. Já lhes fora ensinado crenças, valores, comportamentos e atitudes que devem ter. Temos que considerar também que a maneira como as mulheres (mães, avós, tias, irmãs mais velhas) das suas respectivas casas se relacionam com os homens (pais, avôs, tios, irmãos mais velhos) são por elas interpretadas, interiorizadas e mais tarde reproduzidas em suas relações sociais. Podemos assim, supor que o processo de socialização na família de Lívia, seja diferente daquele vivenciado por Carolina e isto talvez justificasse o porque que estas duas meninas em situações tão semelhantes, enfrentam-nas de maneira tão diversa. </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E</w:t>
      </w:r>
      <w:r>
        <w:rPr>
          <w:rFonts w:ascii="Times New Roman" w:hAnsi="Times New Roman" w:cs="Times New Roman" w:eastAsia="Times New Roman"/>
          <w:i/>
          <w:color w:val="auto"/>
          <w:spacing w:val="0"/>
          <w:position w:val="0"/>
          <w:sz w:val="24"/>
          <w:shd w:fill="auto" w:val="clear"/>
        </w:rPr>
        <w:t xml:space="preserve">u nunca vi na minha vida mulher matar homem”</w:t>
      </w:r>
      <w:r>
        <w:rPr>
          <w:rFonts w:ascii="Times New Roman" w:hAnsi="Times New Roman" w:cs="Times New Roman" w:eastAsia="Times New Roman"/>
          <w:color w:val="auto"/>
          <w:spacing w:val="0"/>
          <w:position w:val="0"/>
          <w:sz w:val="24"/>
          <w:shd w:fill="auto" w:val="clear"/>
        </w:rPr>
        <w:t xml:space="preserve">, foi a expressão utilizada por Gustavo e foi a que mais nos chamou atenção no próximo episódio, então vejamos o que ele “quer nos dizer”.</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EPISÓDIO 03:</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Era uma segunda-feira, quando chegamos a escola para fazer mais uma das nossas observações. Assim que chegamos na sala sentamos perto do “grupo dos meninos”, daí um deles, Nem, começou a contar como foi seu final de semana. Falou que brincou, que foi para a casa da avó e que havia se divertido bastante, de repente uma das meninas, Carol, que estava sentada na mesa ao lado gritou: “É mentira dele pró”. Nem, por sua vez, olhou para ela furioso e disse: “Cale a boca, porque senão eu vou aí te dar um murro”. A reação da menina... Imediatamente calou a boca. Neste momento fizemos a mesma pergunta que tinha feito a Gustavo no Episódio 01: E se ela descontasse em você o murro que você disse que daria nela? Ele sorrindo responde: “Ela não desconta”. Perguntamos por quê? Ele responde: “Porque não”. No mesmo instante Gustavo que também estava sentado junto a mesa com Nem olhou para nós e exclamou: “Ela não desconta não pró, porque ela é fraca”. Daí o interrogamos: Fraca? Ele responde: “Ela é fraca pró e eu nunca vi na minha vida mulher matar homem, eu só sei que o homem é quem mata a mulher”. Após alguns instantes complementou dizendo: “Oh pró, mas em mim ele não bate porque eu sou mais forte do que ele”.</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Assim como descrito no primeiro e no segundo episódio, mais uma vez a figura feminina é vista como o “sexo frágil”, a criatura delicada, desarmada e inativa diante de uma situação. É impressionante a exacerbada “autoridade” que os meninos exercem sobre as meninas e como elas se sujeitam a isto, não reagindo e nem ao menos enfrentando-os.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arrogância de sua condição de homem, como diz Belotti (1975), permiti que Nem se sinta no “direito” de gritar com Carol e mandá-la calar a boca sem qualquer temor de uma reação por parte desta. Recorrendo mais uma vez a Bourdieu (2007), percebemos nitidamente o exercício do poder simbólico na atitude de Nem e na reação de Carol,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demonstrando que este poder “invisível”, só pode ser exercido e considerado como legítimo, porque tanto quem o exerce como quem lhe está sujeito ignora-o como arbitrário, provocando assim, “a desmobilização e, conseqüentemente, a domestificação dos dominados” (BOURDIEU, 2007, p. 11), que neste caso, é a menina.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Um outro fato interessante que inclusive caracterizou e anunciou este episódio, está na fala de Gustavo quando diz: "</w:t>
      </w:r>
      <w:r>
        <w:rPr>
          <w:rFonts w:ascii="Times New Roman" w:hAnsi="Times New Roman" w:cs="Times New Roman" w:eastAsia="Times New Roman"/>
          <w:i/>
          <w:color w:val="auto"/>
          <w:spacing w:val="0"/>
          <w:position w:val="0"/>
          <w:sz w:val="24"/>
          <w:shd w:fill="auto" w:val="clear"/>
        </w:rPr>
        <w:t xml:space="preserve">Ela é fraca pró e </w:t>
      </w:r>
      <w:r>
        <w:rPr>
          <w:rFonts w:ascii="Times New Roman" w:hAnsi="Times New Roman" w:cs="Times New Roman" w:eastAsia="Times New Roman"/>
          <w:b/>
          <w:i/>
          <w:color w:val="auto"/>
          <w:spacing w:val="0"/>
          <w:position w:val="0"/>
          <w:sz w:val="24"/>
          <w:shd w:fill="auto" w:val="clear"/>
        </w:rPr>
        <w:t xml:space="preserve">eu nunca vi na minha vida mulher matar homem</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 atentarmos para a expressão destacada em negrito, perceberemos que, a existência de uma forma de pensar extremamente machista já formada em um garoto de apenas cinco anos de idade. Para ele é inadmissível pensar que a mulher um dia pode vir a matar um homem. O problema aqui é claro, não está na questão do ato de matar propriamente dito, até porque isto com certeza é recriminável para ambos os sexos. O que se está discutindo é a forma inferiorizada como a mulher é vista, como se fosse um ser que, na condição de menos do que o homem, pode então por ele ser maltratado, agredido, sendo que o contrário, soaria como uma ofensa à tão exaltada masculinidade.</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É importante perceber que, esta “liberdade” injustificada de tocar no corpo do outro, ou melhor, no corpo feminino, “sem quê nem pra quê”, são situações observadas no cotidiano da sala de aula de crianças pequenas, assim como na mídia. Este meio de comunicação divulga uma imagem banalizada do corpo da mulher, como sendo objeto de desejo do homem, que por ele pode ser não só cobiçado e desejado, mas também tocado, possuído, agredido e por vezes, comparado a animais, como são os casos de muitas “músicas” que por incrível que pareça, ganham fama e destaque nas rádios de todo país. Muitos são os noticiários e jornais em que as mulheres são vítimas de assédio sexual e violência física, onde os principais agressores são homens.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 corpo feminino erotizado invade as telas da televisão e internet não só nos programas, novelas e filmes, mas também nas propagandas. Segundo Felipe e Guizzo (2003, p. 128) “As representações sobre sexualidade, corpo e gênero, veiculadas em especial pela mídia, têm subjetivado não só adultos, homens e mulheres, mas também têm trabalhado minuciosamente para a formação das identidades infantis e juvenis nos nossos dias”. Partindo desta perspectiva talvez possamos compreender o porquê da fala de Gustavo “de nunca ter visto na vida mulher matar homem”.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Ao fazermos uma “espécie” de balanço geral de todo este episódio, perceberemos que tanto na fala de Nem e Gustavo, quanto na reação de Carol, constataremos mais uma vez a existência de violência simbólica.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é exercida por um poder invisível que impõe de forma abusiva o construído ou o inventado como natural, universal, ou ainda, deixando parecer que a situação de subalternidade da mulher em relação ao homem seja biologicamente determinada: “[...] este poder subordinado, é uma forma transformada, quer dizer, irreconhecível, transfigurada e legitimada, das outras formas de poder [...]”. (BOURDIEU, 2007, p. 15).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Até aqui analisamos atitudes agressivas de pequenas crianças em contexto de sala de aula. E em situação de brincadeira, como será que elas assumem as identidades de gênero? Será mesmo que as meninas preferem brincar de corda e os meninos jogar futebol? Ou será uma “preferência” socialmente determinada?</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Esta é uma questão que nos debruçaremos no episódio a seguir.</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EPISÓDIO 04:</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Era uma quarta-feira dia de recreação para o Grupo 05/matutino. Este era o dia mais esperado pelas crianças desta turma, pois iriam passar grande parte do tempo brincando na área livre e imensa da escola. Após alguns minutos de espera... Enfim a professora chega da secretaria com duas cordas e uma bola de futebol nas mãos. As crianças ao avistarem a professora, correram ao seu encontro e ela rapidamente dividiu a turma em dois grupos: meninas de um lado e meninos do outro. Aí ela pegou a bola, olhou para os meninos e disse: “Tomem a bola meninos, vão jogar futebol”. Em seguida foi a vez das meninas: “Aqui está meninas, as cordas são para vocês brincarem”. Enquanto as meninas estavam brincando de corda e os meninos de futebol, de repente um garoto de cinco anos da turma vizinha saiu de sua sala e foi correndo em direção a elas, o que ele queria? Advinha... brincar de corda também. A princípio houve resistência por parte das meninas, elas diziam: - “Saia daqui, você não pode brincar de pular corda, é brincadeira de menina”. Ele simplesmente olha para elas e diz: - “Mas eu quero brincar”. Quando as garotas percebem que ele não iria desistir, elas permitiram que ele participasse da brincadeira, e em questão de minutos outros meninos se aproximaram, viram o garoto pulando corda, a primeira vista estranharam, mas logo em seguida se renderam e começaram a brincar de corda também juntamente com as meninas.</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presenciarmos esta cena pudemos perceber três fatores de extrema relevância: imposição, transgressão e resistência.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Primeiramente a professora traz para as crianças apenas dois brinquedos: corda e bola de futebol, em seguida ela determina quem vai brincar com o que. Neste momento a turma estava dividida em dois grandes “territórios”, o das “meninas” que brincam de pular corda e o dos “meninos” que brincam de jogar futebol. Diante desta situação será que ainda podemos sustentar a idéia “natural” de quê as garotas preferem a corda e os garotos o futebol? Mais parece que estes gostos estão sendo determinados, inculcados na “cabeça” dos pequenos.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Esta atitude da professora de estabelecer com o que cada criança vai brincar, ou melhor, deve brincar, reforça os estereótipos historicamente construídos de que existem brincadeiras femininas e masculinas. Esta atitude demonstra para os pequenos que existem modelos cristalizados de brincadeiras que só é permitido às meninas e outras que só são permitidas aos meninos. Bichara (2001, p. 20) caracteriza esta postura da professora como “estereotipia de gênero”, que segundo a autora é um “conjunto organizado de expectativas para comportamentos e atividades consideradas apropriadas e desejadas pelos outros, para homens e mulheres”. Na perspectiva de Silva et al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citado por Cordazzo e Vieira (2008, p. 366) “a estereotipia de gênero leva a segregação e a tipificação sexual e é um comportamento diretamente influenciado pelas condições sociais de um determinado grupo”.   </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Quanto ao fator transgressão, percebermos que o senso comum ensina: “menina brinca de corda e menino de bola”, mas para o garoto de cinco anos da turma vizinha o que vale é brincar do que gosta. É interessante notarmos nesta situação que apesar do senso comum considerar a brincadeira de pular corda feminina, mais uma vez percebemos que é verdade que as crianças reproduzem as identidades historicamente construídas sobre os gêneros. No entanto, é bem verdade também que o contrário acontece. As crianças transgridem essas convenções, mostrando dessa forma que as afirmações tão naturalizadas a respeito do que convém a meninas e meninos necessitam sim serem questionadas e por isso, carecem de estudos mais aprofundados que façam esta articulação possível e necessária entre relações de gênero e Educação Infantil. Segundo Finco (2004, p. 11):</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Na medida em que meninas e meninos transgridem o que é pré-determinado para cada gênero, mostram que a instituição de Educação Infantil pode apresentar mais uma característica positiva bem quanto às formas dessas relações, o ambiente da Educação Infantil pode ser um espaço propício para o não-sexismo. É importante que o profissional que trabalha na educação de crianças pequenas tenha consciência deste potencial, para deste modo repensar sua prática educativa. </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É interessante destacar que após entregar a corda e a bola para meninas e meninos, a professora se retira do pátio, deixando as crianças brincarem sozinhas. Por isso, não foi possível perceber a interferência da mesma nesta situação de transgressão.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 e a resistência, onde ela está nesta história...?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interessante destacar que o futebol dos meninos demorou a começar porque faltavam dois jogadores e eles não aceitavam de forma alguma que as meninas, que não quiseram brincar de corda, mas queriam jogar bola, jogassem com eles.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Fazendo uma comparação dos comportamentos de garotos e garotas, percebemos que elas são muito mais flexíveis e permissivas quando é para aceitar o “outro” em suas brincadeiras. Diferentemente, eles não permitiram, de forma alguma, que elas adentrassem em seu “território”, na brincadeira do futebol. Este dado coincide com os achados de outros autores que perceberam a partir das observações das brincadeiras de crianças de 6 a 10 anos de idade de uma escola privada em Florianópolis, “fatores de estereotipia de gênero entre as crianças menores, uma vez que os meninos, principalmente, não permitiam que uma menina se envolvesse em suas brincadeiras” (CORDAZZO; VIEIRA, 2008, p. 372).</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futebol dos meninos, menina nenhuma podia jogar, mas eles se sentiam no direito de transgredir as “regras” e “invadir” o “terreno das garotas”. Ao contrário delas que nem ousavam encostar no deles, era como se fosse um “território proibido”, um local que não lhes cabia, que não lhes era permitido entrar. Esta constatação difere dos resultados encontrados por Stoll e Bernardes (1999, p. 92-93) que em seu estudo perceberam que “a escolha de parceiros para brincar não era rígida, pois eram freqüentes os momentos em que meninos procuravam meninas para brincar e vice-versa”. Semelhante resultado foi encontrado por Finco (2004, p. 09):</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Através da observação, foram registradas brincadeiras coletivas, nas quais meninos e meninas se revezavam nos papéis, sem menosprezar ou desprezar papéis considerados masculinos ou femininos, a criança buscava um companheiro para brincar e vivenciar momentos agradáveis, não importando se é homem ou mulher, se é menino ou menina.</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fato não só demonstra resistência por parte dos meninos, demonstra, sobretudo, desrespeito deles em relação a elas, uma vez que, se no “campo deles” elas não podem entrar, porque é que então eles adentram sem problemas o território delas?  Com eles, elas não podem brincar, mas e porque o contrário pode?</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Poderíamos ingenuamente pensar que a interação de crianças pequenas são meras brincadeiras infantis, quando na verdade aí já estão implantadas as relações sociais de poder.</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Será que as meninas são por “natureza” solidárias e boazinhas, e por isso permitem que os meninos “coitadinhos” brinquem caso queiram? Ou será que a elas é dada uma educação repressora e submissa que não permiti às mesmas se darem o luxo de transgredir, enquanto que aos meninos é oferecida uma educação mais “liberal”, onde a permissividade exacerbada não só lhes permitem transgredir como lhes incentiva a fazê-lo?  </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da atitude da professora de impor as brincadeiras de meninos e meninas, e da postura dos garotos de se permitirem “invadir o território das garotas”, mas não permitindo que o contrário aconteça, mais uma vez constatamos o exercício do poder simbólico. Este poder que “[...] se define numa relação determinada – e por meio deste – entre os que exercem o poder e os que lhe estão sujeitos, quer dizer, isto é, na própria estrutura do campo em que se produz e se reproduz a crença”. (BOURDIEU, 2007, p. 14). Assim sendo, as relações de poder são exercidas de forma coerente e integrada em um sistema de dominação que implica todos os sujeitos sociais em relação de complementaridade dominador/submisso.</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linhas gerais, até aqui analisamos de forma sucinta, porém significativa, a luz da teoria do poder simbólico de Bourdieu (2007), quatro episódios, que aconteceram em situação real de sala de aula e em situação de brincadeira, sobre a manifestação das identidades de gênero das crianças do Grupo 05, além das expectativas esperadas e os tratamentos dados pela professora da turma a estas manifestações. Comungando com a linha de pensamento deste importante teórico, acreditamos que o poder de imposição simbólico da superioridade masculina sobre a feminina radica-se no desconhecimento. Isto leva-nos a supor que a tomada de consciência do arbitrário, quer dizer, a revelação da verdade objetiva, talvez possa desconstruir a crença que o mantém como legítimo, possibilitando assim, o aniquilamento das falsas verdades sustentadas pelo discurso machista dominante. Talvez, assim, se possa neutralizar o poder de desmobilização, substituindo o poder simbólico de mobilização e de subversão pela eqüidade dos sexos, dando expressão ao poder potencial da classe dominada, neste caso, as mulheres.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Considerações Finais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Ao longo deste estudo pudemos perceber já nas crianças pequenas (5/6 anos de idade) formas de interação, diálogo e discussão entre as díades criança-criança e criança-professora, perpassadas por atitudes discriminatórias, preconceituosas, arbitrárias e podadoras no que tange ao ser menina e ao ser menino.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As falas e interações de garotos e garotas em situação real de sala de aula e em situação de brincadeira, assim como, as expectativas almejadas e os tratamentos oferecidos às crianças pela professora, denunciam que muito há para ser feito, discutido e transformado no cotidiano escolar, sobretudo, na Educação Infantil, período de intensas descobertas das crianças pequenas.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É preciso refletir sobre a forma de socialização de meninos e meninas, os tipos de brinquedos e brincadeiras a que são constantemente estimulados até a possibilidade de uma prática pedagógica menos sexista.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Os episódios aqui analisados revelaram que a Educação Infantil é um campo fértil para a propagação de um tipo de violência que muitas vezes nos é desconhecida, passamos despercebidos por uma camuflagem de que é algo “normal” ou “natural”: a violência simbólica de gênero. Através das observações no Grupo 05/matutino, na instituição pesquisada, percebemos que agressividade, repressões, opressões e desrespeito foram atitudes e posturas que caracterizaram bem este momento. Além disso, ficou também perceptível que nem sempre:</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As meninas são vítimas passivas de expectativas de papéis sexuais estereotipados, mas são participantes ativas em seus próprios desenvolvimentos [...] sendo assim, podemos supor que acomodação e resistência faça parte integrante da totalidade dos processos que todas as crianças usam para construir suas identidades sociais. (ANYON, 1990, p. 23). </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Neste sentido cabe a nós educadoras/es das crianças de 0 a 6 anos, identificarmos no cotidiano escolar como esta violência se constitui, se hierarquiza, se cristaliza, entra em conflito ou se complementa (SAYÃO, 2003), para daí adotarmos medidas e iniciativas que conscientemente fomente a eqüidade entre os sexos.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Infelizmente, pudemos perceber, uma prática docente alicerçada em dicotomias rigidamente instituídas que colocam meninos de um lado e meninas de outro, reproduzindo e perpetuando as desigualdades de gênero, através da socialização diferencial que ela oferece a garotos e garotas. O que é curioso destacar neste dado é que por ser a Educação Infantil um espaço majoritariamente feminino, é surpreendente e ao mesmo tempo contraditório notar que as mulheres, educadoras que nelas atuam, contribuem para a perpetuação das desigualdades sexuais, onde a menina ainda é vista em situação inferior a dos meninos. Diante disso é cada vez mais gritante que reconheçamos no âmbito da Educação Infantil:</w:t>
      </w:r>
    </w:p>
    <w:p>
      <w:pPr>
        <w:spacing w:before="0" w:after="0" w:line="240"/>
        <w:ind w:right="0" w:left="2268"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Nem pequenas mulheres, nem pequenos homens, mas meninos e meninas que, com a mediação de profissionais que se reconheçam em sua condição social de homens ou mulheres, possam, através de diferentes experiências, tomar consciência de que “anti-valores” como hierarquia, poder e dominação precisam ser constantemente desmistificados, ajudando, assim, a ampliar as concepções de infância e gênero. (SAYÃO, 2003, p. 84).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Diante de todas estas constatações, resta-nos ainda uma indagação: Afinal o que fazer para que meninos e meninas não se “enxerguem” e nem “enxerguem” o outro como diferentes, quando esta diferença denota inferioridade? Mais uma vez retomamos a tão apregoada questão da formação de professores.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Já anunciamos e denunciamos ao longo deste estudo a necessidade de uma formação acadêmica inicial de qualidade por parte das/os educadoras/es que trabalham diretamente com as crianças de 0 a 6 anos. Esta deve ser sensível a temática das relações de gênero, de maneira a provocar tomada de consciência por parte dos professores, sobre suas próprias concepções e estereótipos internalizados. Desta maneira, estar-se-á provocando aperfeiçoamentos da prática pedagógica.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 sentido se constitui numa necessidade cada vez mais imperiosa a contemplação da temática relações de gênero, nos currículos de formação de professores, sobretudo nos cursos de Licenciaturas e, em especial de Pedagogia, uma vez que, este profissional, além de ser o único habilitado para trabalhar com as crianças da Educação Infantil, é o profissional do ensino que promove diálogos entre as mais diversas áreas do conhecimento (português, matemática, geografia, história, ciências, artes, costumes, moral, etc.). Nesta perspectiva urge uma formação que possibilite a estes profissionais, refletirem e construírem uma formação reflexiva sobre a temática em questão. Assim, poderemos viabilizar uma prática pedagógica onde momentos de contatos físicos, reflexões e convivências desprovidas de repressões estereotipadas e preconceituosas, sejam constantes nas instituições de Educação Infantil.</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Todavia, apesar de defendermos a necessidade urgente desta formação acadêmica nos cursos de formação de professores, seria ingenuidade demais da nossa parte acharmos que esta formação inicial na academia dará conta de todos os desafios atualmente postos pela dinâmica escolar. São grandes as demandas impostas pela e para a escola, sobretudo para os professores, como, por exemplo, a educação para as relações étnico-raciais (negros, indígenas, ciganos, dentre outros grupos historicamente marginalizados), para as pessoas com necessidades educacionais especiais, para os sujeitos que vivem no e do campo, para os jovens e os adultos, além da educação específica da criança de 0 a 6 anos que tem suas singularidades, que também requer uma formação docente de qualidade e diferenciada para atender de maneira satisfatória ao público a que se destina.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fato não há formação que consiga abarcar tamanha complexidade advinda de todas as questões que a sociedade apresenta e das existentes no próprio contexto escolar. Apesar da temática em questão ser considerada importante, no entanto não se constitui como prioritária “frente a um cotidiano complexo, angustiante e cheio de várias intercorrências, apelando por respostas urgentes”. (CRUZ, 2003, p. 115).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entanto, isto não significa dizer que, os cursos de formação de professores têm o “direito” de se acomodarem diante destes desafios e não discutirem e debaterem sobre as questões de gênero. Não poderemos querer construir uma sociedade onde a igualdade de gênero seja de fato uma realidade, se a própria universidade não tem se atentado para a complexidade e importância desta questão!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Portanto, reside aí a importância e urgência da tão apregoada formação continuada. Torna-se cada vez mais urgente a sensibilização e o aprofundamento teórico das e dos profissionais da Educação para as questões de gênero, de maneira que tragam contribuições significativas e, sobretudo, transformadoras de maneira a extinguir práticas pedagógicas repressoras, sexistas e segregadoras, que são oferecidas aos milhões de meninos e meninas que freqüentam cotidianamente o espaço público e coletivo das escolas de Educação Infantil deste país.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 interessante destacar também a questão das relações de gênero sobre a perspectiva do menino. O “peso” e a responsabilidade que recai sobre os garotos de ter que sustentar este estereótipo histórico e culturalmente construído em torno da masculinidade. Esta implicação gera conflitos socioemocionais que são igualmente opressores, como a inferioridade da mulher diante do homem. Por isso, defendemos e propomos neste estudo a construção da igualdade nas relações de gênero entre as crianças da Educação Infantil, não sob a perspectiva apenas da necessidade de superação do estigma sobre a mulher, mas que esta deve abranger e superar também os estereótipos que recai sobre o homem. Pois “o modelo de feminilidade que significa submissão, obediência e passividade, não é ruim só para as mulheres; tem o mesmo caráter negativo para os homens já que os mesmos têm que sustentar o oposto” (FERNANDEZ, 1992, p. 171).</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sendo, acreditamos que o desenrolar de um trabalho aprofundado, coletivo, integrado e articulado, sobre a temática das relações de gênero no âmbito da Educação Infantil, poderá de maneira significativa possibilitar uma construção não hierárquica, mas de respeito na relação entre meninas e meninos.</w:t>
      </w: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 para, além disso, quem sabe num futuro bem próximo, possamos perceber a construção de uma sociedade onde o respeito mútuo às diferenças, a desconstrução de formas hierárquicas de dominação e de diferenciação entre homens/mulheres, meninos/meninas seja amenizada ou quem sabe superada.</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 suma, o propósito deste trabalho que combinou denúncia com proposição, é o de que urge transcendermos o campo da acusação, da lamúria, da indignação e adentrarmos no campo das ações político-pedagógicas nas escolas, de maneira organizada, planejada, reflexiva e, sobretudo, efetiva, que propicie no campo empírico, a verdadeira superação deste quadro historicamente construído de subordinação, preconceito, estereotipia e estigmatização da figura feminina. E que o discurso tão encantador de respeito às diferenças e a igualdade de oportunidades para todos independente da raça, cor, etnia, origem, sexo, religião, seja de fato encarnado, corporificado em práticas eficazes que permita ultrapassar o campo apenas do discurso</w:t>
      </w: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 </w:t>
      </w:r>
    </w:p>
    <w:p>
      <w:pPr>
        <w:spacing w:before="0" w:after="0" w:line="360"/>
        <w:ind w:right="0" w:left="0" w:firstLine="0"/>
        <w:jc w:val="both"/>
        <w:rPr>
          <w:rFonts w:ascii="TimesNewRoman,Bold" w:hAnsi="TimesNewRoman,Bold" w:cs="TimesNewRoman,Bold" w:eastAsia="TimesNewRoman,Bold"/>
          <w:color w:val="auto"/>
          <w:spacing w:val="0"/>
          <w:position w:val="0"/>
          <w:sz w:val="22"/>
          <w:shd w:fill="auto" w:val="clear"/>
        </w:rPr>
      </w:pPr>
      <w:r>
        <w:rPr>
          <w:rFonts w:ascii="TimesNewRoman,Bold" w:hAnsi="TimesNewRoman,Bold" w:cs="TimesNewRoman,Bold" w:eastAsia="TimesNewRoman,Bold"/>
          <w:color w:val="auto"/>
          <w:spacing w:val="0"/>
          <w:position w:val="0"/>
          <w:sz w:val="24"/>
          <w:shd w:fill="auto" w:val="clear"/>
        </w:rPr>
        <w:t xml:space="preserve">AMORIM, K. S.; PACHECO, L. M. B.; SANTOS, L. P.; PEREIRA, F. R. S. Estado da Arte dos Artigos sobre Gênero na Educação Infantil de 1990-2003</w:t>
      </w:r>
      <w:r>
        <w:rPr>
          <w:rFonts w:ascii="TimesNewRoman,Bold" w:hAnsi="TimesNewRoman,Bold" w:cs="TimesNewRoman,Bold" w:eastAsia="TimesNewRoman,Bold"/>
          <w:i/>
          <w:color w:val="auto"/>
          <w:spacing w:val="0"/>
          <w:position w:val="0"/>
          <w:sz w:val="22"/>
          <w:shd w:fill="auto" w:val="clear"/>
        </w:rPr>
        <w:t xml:space="preserve">. </w:t>
      </w:r>
      <w:r>
        <w:rPr>
          <w:rFonts w:ascii="TimesNewRoman,Bold" w:hAnsi="TimesNewRoman,Bold" w:cs="TimesNewRoman,Bold" w:eastAsia="TimesNewRoman,Bold"/>
          <w:color w:val="auto"/>
          <w:spacing w:val="0"/>
          <w:position w:val="0"/>
          <w:sz w:val="24"/>
          <w:shd w:fill="auto" w:val="clear"/>
        </w:rPr>
        <w:t xml:space="preserve">In.: XIII Seminário de Iniciação Científica da UEFS: a ciência na UEFS. Feira de Santana/ BA. CD-ROM</w:t>
      </w:r>
      <w:r>
        <w:rPr>
          <w:rFonts w:ascii="TimesNewRoman,Bold" w:hAnsi="TimesNewRoman,Bold" w:cs="TimesNewRoman,Bold" w:eastAsia="TimesNewRoman,Bold"/>
          <w:color w:val="auto"/>
          <w:spacing w:val="0"/>
          <w:position w:val="0"/>
          <w:sz w:val="22"/>
          <w:shd w:fill="auto" w:val="clear"/>
        </w:rPr>
        <w:t xml:space="preserve">. </w:t>
      </w:r>
      <w:r>
        <w:rPr>
          <w:rFonts w:ascii="TimesNewRoman,Bold" w:hAnsi="TimesNewRoman,Bold" w:cs="TimesNewRoman,Bold" w:eastAsia="TimesNewRoman,Bold"/>
          <w:i/>
          <w:color w:val="auto"/>
          <w:spacing w:val="0"/>
          <w:position w:val="0"/>
          <w:sz w:val="24"/>
          <w:shd w:fill="auto" w:val="clear"/>
        </w:rPr>
        <w:t xml:space="preserve">Anais 2009. E:\semic2009\trabalhos\SII-031.pdf.</w:t>
      </w:r>
      <w:r>
        <w:rPr>
          <w:rFonts w:ascii="TimesNewRoman,Bold" w:hAnsi="TimesNewRoman,Bold" w:cs="TimesNewRoman,Bold" w:eastAsia="TimesNewRoman,Bold"/>
          <w:color w:val="auto"/>
          <w:spacing w:val="0"/>
          <w:position w:val="0"/>
          <w:sz w:val="24"/>
          <w:shd w:fill="auto" w:val="clear"/>
        </w:rPr>
        <w:t xml:space="preserve"> Acesso em: 15/03/2010.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ANYON, J. Intersecções de gênero e classe: acomodação e resistência de mulheres e meninas às ideologias de papéis sexuais. </w:t>
      </w:r>
      <w:r>
        <w:rPr>
          <w:rFonts w:ascii="Times New Roman" w:hAnsi="Times New Roman" w:cs="Times New Roman" w:eastAsia="Times New Roman"/>
          <w:i/>
          <w:color w:val="auto"/>
          <w:spacing w:val="0"/>
          <w:position w:val="0"/>
          <w:sz w:val="24"/>
          <w:shd w:fill="auto" w:val="clear"/>
        </w:rPr>
        <w:t xml:space="preserve">Cadernos de Pesquisa. </w:t>
      </w:r>
      <w:r>
        <w:rPr>
          <w:rFonts w:ascii="Times New Roman" w:hAnsi="Times New Roman" w:cs="Times New Roman" w:eastAsia="Times New Roman"/>
          <w:color w:val="auto"/>
          <w:spacing w:val="0"/>
          <w:position w:val="0"/>
          <w:sz w:val="24"/>
          <w:shd w:fill="auto" w:val="clear"/>
        </w:rPr>
        <w:t xml:space="preserve">São Paulo,</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nº 73, p. 13-25, maio/1990.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ARANHA, M. L. A. </w:t>
      </w:r>
      <w:r>
        <w:rPr>
          <w:rFonts w:ascii="Times New Roman" w:hAnsi="Times New Roman" w:cs="Times New Roman" w:eastAsia="Times New Roman"/>
          <w:i/>
          <w:color w:val="auto"/>
          <w:spacing w:val="0"/>
          <w:position w:val="0"/>
          <w:sz w:val="24"/>
          <w:shd w:fill="auto" w:val="clear"/>
        </w:rPr>
        <w:t xml:space="preserve">Filosofia da Educação</w:t>
      </w:r>
      <w:r>
        <w:rPr>
          <w:rFonts w:ascii="Times New Roman" w:hAnsi="Times New Roman" w:cs="Times New Roman" w:eastAsia="Times New Roman"/>
          <w:color w:val="auto"/>
          <w:spacing w:val="0"/>
          <w:position w:val="0"/>
          <w:sz w:val="24"/>
          <w:shd w:fill="auto" w:val="clear"/>
        </w:rPr>
        <w:t xml:space="preserve">. São Paulo: Moderna, 1989.</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ARAÚJO, C.; PINTO, E. M. F.; LOPES, J.; NOGUEIRA, L.; PINTO, R. Estudo de Caso. 2008. Disponível em: </w:t>
      </w:r>
      <w:hyperlink xmlns:r="http://schemas.openxmlformats.org/officeDocument/2006/relationships" r:id="docRId245">
        <w:r>
          <w:rPr>
            <w:rFonts w:ascii="Times New Roman" w:hAnsi="Times New Roman" w:cs="Times New Roman" w:eastAsia="Times New Roman"/>
            <w:i/>
            <w:color w:val="0000FF"/>
            <w:spacing w:val="0"/>
            <w:position w:val="0"/>
            <w:sz w:val="24"/>
            <w:u w:val="single"/>
            <w:shd w:fill="auto" w:val="clear"/>
          </w:rPr>
          <w:t xml:space="preserve">http://grupo4te.com.sapo.pt/estudo_caso.pdf</w:t>
        </w:r>
      </w:hyperlink>
      <w:r>
        <w:rPr>
          <w:rFonts w:ascii="Times New Roman" w:hAnsi="Times New Roman" w:cs="Times New Roman" w:eastAsia="Times New Roman"/>
          <w:color w:val="auto"/>
          <w:spacing w:val="0"/>
          <w:position w:val="0"/>
          <w:sz w:val="24"/>
          <w:shd w:fill="auto" w:val="clear"/>
        </w:rPr>
        <w:t xml:space="preserve">. Acesso em: 22/12/09.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BELOTTI, E. G. </w:t>
      </w:r>
      <w:r>
        <w:rPr>
          <w:rFonts w:ascii="Times New Roman" w:hAnsi="Times New Roman" w:cs="Times New Roman" w:eastAsia="Times New Roman"/>
          <w:i/>
          <w:color w:val="auto"/>
          <w:spacing w:val="0"/>
          <w:position w:val="0"/>
          <w:sz w:val="24"/>
          <w:shd w:fill="auto" w:val="clear"/>
        </w:rPr>
        <w:t xml:space="preserve">Educar para a submissão. </w:t>
      </w:r>
      <w:r>
        <w:rPr>
          <w:rFonts w:ascii="Times New Roman" w:hAnsi="Times New Roman" w:cs="Times New Roman" w:eastAsia="Times New Roman"/>
          <w:color w:val="auto"/>
          <w:spacing w:val="0"/>
          <w:position w:val="0"/>
          <w:sz w:val="24"/>
          <w:shd w:fill="auto" w:val="clear"/>
        </w:rPr>
        <w:t xml:space="preserve">Tradução de Ephraim Ferreira Alves. Petrópolis: Vozes, 1975.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BICHARA, I. D. Brincadeiras de meninos e meninas: segregação e estereotipia em episódios de faz-de-conta. </w:t>
      </w:r>
      <w:r>
        <w:rPr>
          <w:rFonts w:ascii="Times New Roman" w:hAnsi="Times New Roman" w:cs="Times New Roman" w:eastAsia="Times New Roman"/>
          <w:i/>
          <w:color w:val="auto"/>
          <w:spacing w:val="0"/>
          <w:position w:val="0"/>
          <w:sz w:val="24"/>
          <w:shd w:fill="auto" w:val="clear"/>
        </w:rPr>
        <w:t xml:space="preserve">Temas em Psicologia da SBP</w:t>
      </w:r>
      <w:r>
        <w:rPr>
          <w:rFonts w:ascii="Times New Roman" w:hAnsi="Times New Roman" w:cs="Times New Roman" w:eastAsia="Times New Roman"/>
          <w:color w:val="auto"/>
          <w:spacing w:val="0"/>
          <w:position w:val="0"/>
          <w:sz w:val="24"/>
          <w:shd w:fill="auto" w:val="clear"/>
        </w:rPr>
        <w:t xml:space="preserve">. Ribeirão Preto, v. 9, nº. 1, p. 19-28, setembro/ 2001.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BOURDIEU, P. </w:t>
      </w:r>
      <w:r>
        <w:rPr>
          <w:rFonts w:ascii="Times New Roman" w:hAnsi="Times New Roman" w:cs="Times New Roman" w:eastAsia="Times New Roman"/>
          <w:i/>
          <w:color w:val="auto"/>
          <w:spacing w:val="0"/>
          <w:position w:val="0"/>
          <w:sz w:val="24"/>
          <w:shd w:fill="auto" w:val="clear"/>
        </w:rPr>
        <w:t xml:space="preserve">O poder simbólico. </w:t>
      </w:r>
      <w:r>
        <w:rPr>
          <w:rFonts w:ascii="Times New Roman" w:hAnsi="Times New Roman" w:cs="Times New Roman" w:eastAsia="Times New Roman"/>
          <w:color w:val="auto"/>
          <w:spacing w:val="0"/>
          <w:position w:val="0"/>
          <w:sz w:val="24"/>
          <w:shd w:fill="auto" w:val="clear"/>
        </w:rPr>
        <w:t xml:space="preserve">11 ed. Rio de Janeiro: Bertrand Brasil, 2007.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Estatuto da Criança e do Adolescente.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Lei nº 8.069 de 13 julho de 1990.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MEC/SEF/Coedi. </w:t>
      </w:r>
      <w:r>
        <w:rPr>
          <w:rFonts w:ascii="Times New Roman" w:hAnsi="Times New Roman" w:cs="Times New Roman" w:eastAsia="Times New Roman"/>
          <w:i/>
          <w:color w:val="auto"/>
          <w:spacing w:val="0"/>
          <w:position w:val="0"/>
          <w:sz w:val="24"/>
          <w:shd w:fill="auto" w:val="clear"/>
        </w:rPr>
        <w:t xml:space="preserve">Propostas Pedagógicas e Currículo em Educação Infantil. </w:t>
      </w:r>
      <w:r>
        <w:rPr>
          <w:rFonts w:ascii="Times New Roman" w:hAnsi="Times New Roman" w:cs="Times New Roman" w:eastAsia="Times New Roman"/>
          <w:color w:val="auto"/>
          <w:spacing w:val="0"/>
          <w:position w:val="0"/>
          <w:sz w:val="24"/>
          <w:shd w:fill="auto" w:val="clear"/>
        </w:rPr>
        <w:t xml:space="preserve">Brasília: 1996.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Ministério da Educação e do Desporto. Secretaria de Educação Fundamental. </w:t>
      </w:r>
      <w:r>
        <w:rPr>
          <w:rFonts w:ascii="Times New Roman" w:hAnsi="Times New Roman" w:cs="Times New Roman" w:eastAsia="Times New Roman"/>
          <w:i/>
          <w:color w:val="auto"/>
          <w:spacing w:val="0"/>
          <w:position w:val="0"/>
          <w:sz w:val="24"/>
          <w:shd w:fill="auto" w:val="clear"/>
        </w:rPr>
        <w:t xml:space="preserve">Referencial Curricular Nacional para a Educação Infantil / </w:t>
      </w:r>
      <w:r>
        <w:rPr>
          <w:rFonts w:ascii="Times New Roman" w:hAnsi="Times New Roman" w:cs="Times New Roman" w:eastAsia="Times New Roman"/>
          <w:color w:val="auto"/>
          <w:spacing w:val="0"/>
          <w:position w:val="0"/>
          <w:sz w:val="24"/>
          <w:shd w:fill="auto" w:val="clear"/>
        </w:rPr>
        <w:t xml:space="preserve">Ministério da Educação e do Desporto, Secretaria de Educação Fundamental. – Brasília: MEC/SEF, 1998, Volume 1/2.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 </w:t>
      </w:r>
      <w:r>
        <w:rPr>
          <w:rFonts w:ascii="Times New Roman" w:hAnsi="Times New Roman" w:cs="Times New Roman" w:eastAsia="Times New Roman"/>
          <w:i/>
          <w:color w:val="auto"/>
          <w:spacing w:val="0"/>
          <w:position w:val="0"/>
          <w:sz w:val="24"/>
          <w:shd w:fill="auto" w:val="clear"/>
        </w:rPr>
        <w:t xml:space="preserve">Por uma Política de Formação do Profissional da Educação Infantil</w:t>
      </w:r>
      <w:r>
        <w:rPr>
          <w:rFonts w:ascii="Times New Roman" w:hAnsi="Times New Roman" w:cs="Times New Roman" w:eastAsia="Times New Roman"/>
          <w:color w:val="auto"/>
          <w:spacing w:val="0"/>
          <w:position w:val="0"/>
          <w:sz w:val="24"/>
          <w:shd w:fill="auto" w:val="clear"/>
        </w:rPr>
        <w:t xml:space="preserve">. Brasília: 1994a.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CORDAZZO, S. T. D.; VIEIRA, M. L. Caracterização de Brincadeiras de Crianças em Idade Escolar.  </w:t>
      </w:r>
      <w:r>
        <w:rPr>
          <w:rFonts w:ascii="Times New Roman" w:hAnsi="Times New Roman" w:cs="Times New Roman" w:eastAsia="Times New Roman"/>
          <w:i/>
          <w:color w:val="auto"/>
          <w:spacing w:val="0"/>
          <w:position w:val="0"/>
          <w:sz w:val="24"/>
          <w:shd w:fill="auto" w:val="clear"/>
        </w:rPr>
        <w:t xml:space="preserve">Psicologia: Reflexão e Crítica</w:t>
      </w:r>
      <w:r>
        <w:rPr>
          <w:rFonts w:ascii="Times New Roman" w:hAnsi="Times New Roman" w:cs="Times New Roman" w:eastAsia="Times New Roman"/>
          <w:color w:val="auto"/>
          <w:spacing w:val="0"/>
          <w:position w:val="0"/>
          <w:sz w:val="24"/>
          <w:shd w:fill="auto" w:val="clear"/>
        </w:rPr>
        <w:t xml:space="preserve">. Rio Grande do Sul. nº 21 (3), p. 365-373, dezembro/ 2008.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CRUZ, E. F. Educação sexual e Educação Infantil nos relatos de profissionais que trabalham com a formação de educadoras de creche/pré-escola. </w:t>
      </w:r>
      <w:r>
        <w:rPr>
          <w:rFonts w:ascii="Times New Roman" w:hAnsi="Times New Roman" w:cs="Times New Roman" w:eastAsia="Times New Roman"/>
          <w:i/>
          <w:color w:val="auto"/>
          <w:spacing w:val="0"/>
          <w:position w:val="0"/>
          <w:sz w:val="24"/>
          <w:shd w:fill="auto" w:val="clear"/>
        </w:rPr>
        <w:t xml:space="preserve">Pro-Posições.</w:t>
      </w:r>
      <w:r>
        <w:rPr>
          <w:rFonts w:ascii="Times New Roman" w:hAnsi="Times New Roman" w:cs="Times New Roman" w:eastAsia="Times New Roman"/>
          <w:color w:val="auto"/>
          <w:spacing w:val="0"/>
          <w:position w:val="0"/>
          <w:sz w:val="24"/>
          <w:shd w:fill="auto" w:val="clear"/>
        </w:rPr>
        <w:t xml:space="preserve"> Campinas, v. 14, n. 3 [42], p. 103-117, setembro-dezembro/ 2003.</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FELIPE, J.; GUIZZO, B. S. Erotização dos corpos infantis na sociedade de consumo. </w:t>
      </w:r>
      <w:r>
        <w:rPr>
          <w:rFonts w:ascii="Times New Roman" w:hAnsi="Times New Roman" w:cs="Times New Roman" w:eastAsia="Times New Roman"/>
          <w:i/>
          <w:color w:val="auto"/>
          <w:spacing w:val="0"/>
          <w:position w:val="0"/>
          <w:sz w:val="24"/>
          <w:shd w:fill="auto" w:val="clear"/>
        </w:rPr>
        <w:t xml:space="preserve">Pro- Posições</w:t>
      </w:r>
      <w:r>
        <w:rPr>
          <w:rFonts w:ascii="Times New Roman" w:hAnsi="Times New Roman" w:cs="Times New Roman" w:eastAsia="Times New Roman"/>
          <w:color w:val="auto"/>
          <w:spacing w:val="0"/>
          <w:position w:val="0"/>
          <w:sz w:val="24"/>
          <w:shd w:fill="auto" w:val="clear"/>
        </w:rPr>
        <w:t xml:space="preserve">. Campinas, v. 14, nº 3 (42), p. 119-130, setembro-dezembro/ 2003.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FERNANDEZ, A. Agressividade: qual o teu papel na aprendizagem? In.: GROSSI, E. P. </w:t>
      </w:r>
      <w:r>
        <w:rPr>
          <w:rFonts w:ascii="Times New Roman" w:hAnsi="Times New Roman" w:cs="Times New Roman" w:eastAsia="Times New Roman"/>
          <w:i/>
          <w:color w:val="auto"/>
          <w:spacing w:val="0"/>
          <w:position w:val="0"/>
          <w:sz w:val="24"/>
          <w:shd w:fill="auto" w:val="clear"/>
        </w:rPr>
        <w:t xml:space="preserve">Paixão de aprender. </w:t>
      </w:r>
      <w:r>
        <w:rPr>
          <w:rFonts w:ascii="Times New Roman" w:hAnsi="Times New Roman" w:cs="Times New Roman" w:eastAsia="Times New Roman"/>
          <w:color w:val="auto"/>
          <w:spacing w:val="0"/>
          <w:position w:val="0"/>
          <w:sz w:val="24"/>
          <w:shd w:fill="auto" w:val="clear"/>
        </w:rPr>
        <w:t xml:space="preserve">Petrópolis, RJ: Vozes, 1992.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FINCO, D. Educação Infantil, Gênero e Brincadeiras: das naturalidades às transgressões. 2004. Disponível em: </w:t>
      </w:r>
      <w:hyperlink xmlns:r="http://schemas.openxmlformats.org/officeDocument/2006/relationships" r:id="docRId246">
        <w:r>
          <w:rPr>
            <w:rFonts w:ascii="Times New Roman" w:hAnsi="Times New Roman" w:cs="Times New Roman" w:eastAsia="Times New Roman"/>
            <w:i/>
            <w:color w:val="0000FF"/>
            <w:spacing w:val="0"/>
            <w:position w:val="0"/>
            <w:sz w:val="24"/>
            <w:u w:val="single"/>
            <w:shd w:fill="auto" w:val="clear"/>
          </w:rPr>
          <w:t xml:space="preserve">http://www.anped.org.br/reunioes/28/textos/gt07/gt07945int.rtf</w:t>
        </w:r>
      </w:hyperlink>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Acesso em: 02/12/09.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KRAMER, S. Autoria e autorização: questões éticas na pesquisa com crianças. </w:t>
      </w:r>
      <w:r>
        <w:rPr>
          <w:rFonts w:ascii="Times New Roman" w:hAnsi="Times New Roman" w:cs="Times New Roman" w:eastAsia="Times New Roman"/>
          <w:i/>
          <w:color w:val="auto"/>
          <w:spacing w:val="0"/>
          <w:position w:val="0"/>
          <w:sz w:val="24"/>
          <w:shd w:fill="auto" w:val="clear"/>
        </w:rPr>
        <w:t xml:space="preserve">Cadernos de Pesquisa.</w:t>
      </w:r>
      <w:r>
        <w:rPr>
          <w:rFonts w:ascii="Times New Roman" w:hAnsi="Times New Roman" w:cs="Times New Roman" w:eastAsia="Times New Roman"/>
          <w:color w:val="auto"/>
          <w:spacing w:val="0"/>
          <w:position w:val="0"/>
          <w:sz w:val="24"/>
          <w:shd w:fill="auto" w:val="clear"/>
        </w:rPr>
        <w:t xml:space="preserve"> São Paulo, nº 116, p. 41-59, julho/ 2002. </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LEITE, M. I. F. P. No campo da linguagem a linguagem no campo: o que falam de escola e saber as crianças da área rural. Rio de Janeiro, 1995. </w:t>
      </w:r>
      <w:r>
        <w:rPr>
          <w:rFonts w:ascii="Times New Roman" w:hAnsi="Times New Roman" w:cs="Times New Roman" w:eastAsia="Times New Roman"/>
          <w:i/>
          <w:color w:val="auto"/>
          <w:spacing w:val="0"/>
          <w:position w:val="0"/>
          <w:sz w:val="24"/>
          <w:shd w:fill="auto" w:val="clear"/>
        </w:rPr>
        <w:t xml:space="preserve">Dissertação de Mestrado. PUC.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LÜDKE, M.; ANDRÉ, M. E. D. A. </w:t>
      </w:r>
      <w:r>
        <w:rPr>
          <w:rFonts w:ascii="Times New Roman" w:hAnsi="Times New Roman" w:cs="Times New Roman" w:eastAsia="Times New Roman"/>
          <w:i/>
          <w:color w:val="auto"/>
          <w:spacing w:val="0"/>
          <w:position w:val="0"/>
          <w:sz w:val="24"/>
          <w:shd w:fill="auto" w:val="clear"/>
        </w:rPr>
        <w:t xml:space="preserve">Pesquisa em Educação: </w:t>
      </w:r>
      <w:r>
        <w:rPr>
          <w:rFonts w:ascii="Times New Roman" w:hAnsi="Times New Roman" w:cs="Times New Roman" w:eastAsia="Times New Roman"/>
          <w:color w:val="auto"/>
          <w:spacing w:val="0"/>
          <w:position w:val="0"/>
          <w:sz w:val="24"/>
          <w:shd w:fill="auto" w:val="clear"/>
        </w:rPr>
        <w:t xml:space="preserve">abordagens qualitativas. 9</w:t>
      </w:r>
      <w:r>
        <w:rPr>
          <w:rFonts w:ascii="Times New Roman" w:hAnsi="Times New Roman" w:cs="Times New Roman" w:eastAsia="Times New Roman"/>
          <w:color w:val="auto"/>
          <w:spacing w:val="0"/>
          <w:position w:val="0"/>
          <w:sz w:val="24"/>
          <w:shd w:fill="auto" w:val="clear"/>
          <w:vertAlign w:val="superscript"/>
        </w:rPr>
        <w:t xml:space="preserve">a</w:t>
      </w:r>
      <w:r>
        <w:rPr>
          <w:rFonts w:ascii="Times New Roman" w:hAnsi="Times New Roman" w:cs="Times New Roman" w:eastAsia="Times New Roman"/>
          <w:color w:val="auto"/>
          <w:spacing w:val="0"/>
          <w:position w:val="0"/>
          <w:sz w:val="24"/>
          <w:shd w:fill="auto" w:val="clear"/>
        </w:rPr>
        <w:t xml:space="preserve"> reimpressão. São Paulo: E.P.U., 2005.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ROSEMBERG, F. Caminhos Cruzados: educação e gênero na produção acadêmica. </w:t>
      </w:r>
      <w:r>
        <w:rPr>
          <w:rFonts w:ascii="Times New Roman" w:hAnsi="Times New Roman" w:cs="Times New Roman" w:eastAsia="Times New Roman"/>
          <w:i/>
          <w:color w:val="auto"/>
          <w:spacing w:val="0"/>
          <w:position w:val="0"/>
          <w:sz w:val="24"/>
          <w:shd w:fill="auto" w:val="clear"/>
        </w:rPr>
        <w:t xml:space="preserve">Educação e Pesquisa</w:t>
      </w:r>
      <w:r>
        <w:rPr>
          <w:rFonts w:ascii="Times New Roman" w:hAnsi="Times New Roman" w:cs="Times New Roman" w:eastAsia="Times New Roman"/>
          <w:color w:val="auto"/>
          <w:spacing w:val="0"/>
          <w:position w:val="0"/>
          <w:sz w:val="24"/>
          <w:shd w:fill="auto" w:val="clear"/>
        </w:rPr>
        <w:t xml:space="preserve">. São Paulo, v. 27, nº 1, p. 47-68, janeiro-junho/ 2001.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ROSEMBERG, F. Educação Infantil, classe, raça e gênero. </w:t>
      </w:r>
      <w:r>
        <w:rPr>
          <w:rFonts w:ascii="Times New Roman" w:hAnsi="Times New Roman" w:cs="Times New Roman" w:eastAsia="Times New Roman"/>
          <w:i/>
          <w:color w:val="auto"/>
          <w:spacing w:val="0"/>
          <w:position w:val="0"/>
          <w:sz w:val="24"/>
          <w:shd w:fill="auto" w:val="clear"/>
        </w:rPr>
        <w:t xml:space="preserve">Cadernos de Pesquisa</w:t>
      </w:r>
      <w:r>
        <w:rPr>
          <w:rFonts w:ascii="Times New Roman" w:hAnsi="Times New Roman" w:cs="Times New Roman" w:eastAsia="Times New Roman"/>
          <w:color w:val="auto"/>
          <w:spacing w:val="0"/>
          <w:position w:val="0"/>
          <w:sz w:val="24"/>
          <w:shd w:fill="auto" w:val="clear"/>
        </w:rPr>
        <w:t xml:space="preserve">. São Paulo,</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nº 96, p. 58-65, fevereiro/ 1996.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SAYÃO, D. T. Pequenos homens, pequenas mulheres? Meninos, meninas? Algumas questões para pensar as relações entre gênero e infância. </w:t>
      </w:r>
      <w:r>
        <w:rPr>
          <w:rFonts w:ascii="Times New Roman" w:hAnsi="Times New Roman" w:cs="Times New Roman" w:eastAsia="Times New Roman"/>
          <w:i/>
          <w:color w:val="auto"/>
          <w:spacing w:val="0"/>
          <w:position w:val="0"/>
          <w:sz w:val="24"/>
          <w:shd w:fill="auto" w:val="clear"/>
        </w:rPr>
        <w:t xml:space="preserve">Pro-Posições.</w:t>
      </w:r>
      <w:r>
        <w:rPr>
          <w:rFonts w:ascii="Times New Roman" w:hAnsi="Times New Roman" w:cs="Times New Roman" w:eastAsia="Times New Roman"/>
          <w:color w:val="auto"/>
          <w:spacing w:val="0"/>
          <w:position w:val="0"/>
          <w:sz w:val="24"/>
          <w:shd w:fill="auto" w:val="clear"/>
        </w:rPr>
        <w:t xml:space="preserve"> Campinas, v. 14, n. 3 [42], p. 67-87, setembro-dezembro/ 2003.</w:t>
      </w: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STANWORTH, M. Gender and schooling: a study of sexual divisions in the classroom. In: BOND, K. Como “criaturas selvagens” domaram as distinções de gênero. </w:t>
      </w:r>
      <w:r>
        <w:rPr>
          <w:rFonts w:ascii="Times New Roman" w:hAnsi="Times New Roman" w:cs="Times New Roman" w:eastAsia="Times New Roman"/>
          <w:i/>
          <w:color w:val="auto"/>
          <w:spacing w:val="0"/>
          <w:position w:val="0"/>
          <w:sz w:val="24"/>
          <w:shd w:fill="auto" w:val="clear"/>
        </w:rPr>
        <w:t xml:space="preserve">Pro-Posições. </w:t>
      </w:r>
      <w:r>
        <w:rPr>
          <w:rFonts w:ascii="Times New Roman" w:hAnsi="Times New Roman" w:cs="Times New Roman" w:eastAsia="Times New Roman"/>
          <w:color w:val="auto"/>
          <w:spacing w:val="0"/>
          <w:position w:val="0"/>
          <w:sz w:val="24"/>
          <w:shd w:fill="auto" w:val="clear"/>
        </w:rPr>
        <w:t xml:space="preserve">Campinas, v. 9, nº 2 (26), p. 46-54, junho/ 1998.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STOLL, R. R.; BERNARDES, N. M. G. Professoras de escola infantil: práticas e significações a respeito da sexualidade e da educação sexual. </w:t>
      </w:r>
      <w:r>
        <w:rPr>
          <w:rFonts w:ascii="Times New Roman" w:hAnsi="Times New Roman" w:cs="Times New Roman" w:eastAsia="Times New Roman"/>
          <w:i/>
          <w:color w:val="auto"/>
          <w:spacing w:val="0"/>
          <w:position w:val="0"/>
          <w:sz w:val="24"/>
          <w:shd w:fill="auto" w:val="clear"/>
        </w:rPr>
        <w:t xml:space="preserve">Educação</w:t>
      </w:r>
      <w:r>
        <w:rPr>
          <w:rFonts w:ascii="Times New Roman" w:hAnsi="Times New Roman" w:cs="Times New Roman" w:eastAsia="Times New Roman"/>
          <w:color w:val="auto"/>
          <w:spacing w:val="0"/>
          <w:position w:val="0"/>
          <w:sz w:val="24"/>
          <w:shd w:fill="auto" w:val="clear"/>
        </w:rPr>
        <w:t xml:space="preserve">. Porto Alegre, ano XXII, nº 39, p. 71-106, setembro/ 1999.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uppressAutoHyphens w:val="true"/>
        <w:spacing w:before="0" w:after="0" w:line="36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 CHORINHO BRASILEIRO DE CHIQUINHA GONZAGA</w:t>
      </w:r>
    </w:p>
    <w:p>
      <w:pPr>
        <w:suppressAutoHyphens w:val="true"/>
        <w:spacing w:before="0" w:after="0" w:line="360"/>
        <w:ind w:right="0" w:left="0" w:firstLine="709"/>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Bruno Portes de Castro</w:t>
      </w:r>
    </w:p>
    <w:p>
      <w:pPr>
        <w:suppressAutoHyphens w:val="true"/>
        <w:spacing w:before="0" w:after="0" w:line="360"/>
        <w:ind w:right="0" w:left="0" w:firstLine="709"/>
        <w:jc w:val="right"/>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Alain Didier Weill postula o tornar-se humano como uma vocação, cuja transmissão se daria através da voz, através de uma “sonata materna”(DIDIER-WEILL, 1999, pág. 9). Esta transmissão traria consigo algo duplo: a continuidade musical e diacrônica das vogais e a descontinuidade significante e sincrônica das consoantes. A descontinuidade diria, então, do campo da discriminação, da oposição, e portanto da lei; e na continuidade, por outro lado, seria onde encontraríamos o campo do “soar a música”, de um certo fora-da-lei, onde  os limites espaço-temporais sofrem “uma súbita colocação entre parênteses” (DIDIER-WEILL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1999, p. 10). Nesse sentido, a música convocaria o sujeito a habitar o campo da continuidade.</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 ainda observa certas sociedades xamânicas, onde a idéia de tempo é acolhida sob duas vertentes: a do tempo sagrado e a do tempo profano. A partir daí, o autor propõe que o recalque originário diria respeito à incidência do significante que marca um início, isto é, um ato psíquico que extrai o sujeito deste tempo primordial anistórico e dessexuado (sagrado) e o introduz na sexuação do tempo histórico (profano). Aponta portanto, uma continuidade e entrelaçamento entre o sagrado e o profano e desenvolve o conceito de sublimação articulando-o ao tempo: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72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“...uma maneira de compreender o que é o ato de sublimação é o modo pelo qual um sujeito pode se ver reencontrando um tempo primordial que, se, como diz Freud, é um tempo de dessexualização, não corresponde no entando à dessexualização de que Freud fala. Enquanto, para ele, ‘dessexualização’ significa subtração psíquica a um </w:t>
      </w:r>
      <w:r>
        <w:rPr>
          <w:rFonts w:ascii="Times New Roman" w:hAnsi="Times New Roman" w:cs="Times New Roman" w:eastAsia="Times New Roman"/>
          <w:i/>
          <w:color w:val="auto"/>
          <w:spacing w:val="0"/>
          <w:position w:val="0"/>
          <w:sz w:val="20"/>
          <w:shd w:fill="auto" w:val="clear"/>
        </w:rPr>
        <w:t xml:space="preserve">primum movens </w:t>
      </w:r>
      <w:r>
        <w:rPr>
          <w:rFonts w:ascii="Times New Roman" w:hAnsi="Times New Roman" w:cs="Times New Roman" w:eastAsia="Times New Roman"/>
          <w:color w:val="auto"/>
          <w:spacing w:val="0"/>
          <w:position w:val="0"/>
          <w:sz w:val="20"/>
          <w:shd w:fill="auto" w:val="clear"/>
        </w:rPr>
        <w:t xml:space="preserve">que é o sexual para nós – e nisso seguimos o ensinamento de Lacan -, a aparição do objeto sexual não é, como para Freud, originária, e sim aquisição secundária advindo depois da ação dessa causa material que é o significante primordial”.(DIDIER-WEILL, 1999, p. 27)</w:t>
      </w:r>
    </w:p>
    <w:p>
      <w:pPr>
        <w:suppressAutoHyphens w:val="true"/>
        <w:spacing w:before="0" w:after="0" w:line="360"/>
        <w:ind w:right="0" w:left="72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Ainda neste campo, Laura Pigozzi acrescenta que timbre e ritmo são marcas que identificam o sujeito, como ocorre com a assinatura digital. Segundo esta psicanalista, o ritmo da voz paterna dá uma organização ao real do som, ligado ao campo do materno e que “sem ritmo não haveria música, mas somente fluidez de um som sem medida” (PIGOZZI, 2008, p.114). Nesse sentido, também sobre a conjugação de vogais e consoantes, ela aponta o fato de que, se o timbre se aproxima do imensurável do som das vogais, o ritmo efetua a função de ordenador, dá medida ao som pela alternância entre as consoantes nas palavras.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Sob essa colocação, ela observa o curioso fato de que muitos sujeitos com gagueira, ao cantar não apresentam este “tropeço” no ritmo das frases. Aliás, na cultura hebraica, por exemplo, ressalta a importância da presença do som nos rituais judaicos e a condição humana de “tropeço” de Moisés que era gago. Conclui assim, que o chofar nesta cultura conduz ao despertar ao mesmo tempo em que relembra uma aliança com o Outro, ligando portanto amor e ética, lei e desejo, medida e pulsionalidade (PIGOZZI, 2008, p.127): “desperta do coma de uma repetição indiferente para recordar uma ligação conjuntamente ética e pulsional” (PIGOZZI, 2008, p. 128).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esta via, o primeiro autor, para articular música e psicanálise, retoma as origens dionisíacas da tragédia, pautada nos rituais musicais e dançantes pré-helenísticos, postulando assim que em Édipo podemos perceber uma tensão irredutível entre a harmonia descontínua e dórica da lira de Apolo e a melodia contínua e frigia da flauta de Dioniso. Ainda por este caminho, destaca a dissonância presente no modo frígio, que atraía as mênades da pólis para a floresta para um misterioso ritual dionisíaco.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Dessa maneira, destaca que os vestígios dessa dissonância permanecem em uma forma de acorde que por séculos foi proibida pela Igreja Católica: o </w:t>
      </w:r>
      <w:r>
        <w:rPr>
          <w:rFonts w:ascii="Times New Roman" w:hAnsi="Times New Roman" w:cs="Times New Roman" w:eastAsia="Times New Roman"/>
          <w:i/>
          <w:color w:val="auto"/>
          <w:spacing w:val="0"/>
          <w:position w:val="0"/>
          <w:sz w:val="24"/>
          <w:shd w:fill="auto" w:val="clear"/>
        </w:rPr>
        <w:t xml:space="preserve">tritum diabolicum. </w:t>
      </w:r>
      <w:r>
        <w:rPr>
          <w:rFonts w:ascii="Times New Roman" w:hAnsi="Times New Roman" w:cs="Times New Roman" w:eastAsia="Times New Roman"/>
          <w:color w:val="auto"/>
          <w:spacing w:val="0"/>
          <w:position w:val="0"/>
          <w:sz w:val="24"/>
          <w:shd w:fill="auto" w:val="clear"/>
        </w:rPr>
        <w:t xml:space="preserve">Forma que reaparece no </w:t>
      </w:r>
      <w:r>
        <w:rPr>
          <w:rFonts w:ascii="Times New Roman" w:hAnsi="Times New Roman" w:cs="Times New Roman" w:eastAsia="Times New Roman"/>
          <w:i/>
          <w:color w:val="auto"/>
          <w:spacing w:val="0"/>
          <w:position w:val="0"/>
          <w:sz w:val="24"/>
          <w:shd w:fill="auto" w:val="clear"/>
        </w:rPr>
        <w:t xml:space="preserve">blues, </w:t>
      </w:r>
      <w:r>
        <w:rPr>
          <w:rFonts w:ascii="Times New Roman" w:hAnsi="Times New Roman" w:cs="Times New Roman" w:eastAsia="Times New Roman"/>
          <w:color w:val="auto"/>
          <w:spacing w:val="0"/>
          <w:position w:val="0"/>
          <w:sz w:val="24"/>
          <w:shd w:fill="auto" w:val="clear"/>
        </w:rPr>
        <w:t xml:space="preserve">movimento musical produzido por negros norte-americanos e que é uma das grandes influências do </w:t>
      </w:r>
      <w:r>
        <w:rPr>
          <w:rFonts w:ascii="Times New Roman" w:hAnsi="Times New Roman" w:cs="Times New Roman" w:eastAsia="Times New Roman"/>
          <w:i/>
          <w:color w:val="auto"/>
          <w:spacing w:val="0"/>
          <w:position w:val="0"/>
          <w:sz w:val="24"/>
          <w:shd w:fill="auto" w:val="clear"/>
        </w:rPr>
        <w:t xml:space="preserve">jazz.</w:t>
      </w:r>
      <w:r>
        <w:rPr>
          <w:rFonts w:ascii="Times New Roman" w:hAnsi="Times New Roman" w:cs="Times New Roman" w:eastAsia="Times New Roman"/>
          <w:color w:val="auto"/>
          <w:spacing w:val="0"/>
          <w:position w:val="0"/>
          <w:sz w:val="24"/>
          <w:shd w:fill="auto" w:val="clear"/>
        </w:rPr>
        <w:t xml:space="preserve"> Desta forma, o referido psicanalista relembra também uma carta de Delacroix direcionada a Chopin, após ouvi-lo tocar piano num momento de profunda tristeza e encontrar uma nota musical dissonante e siderante, batizando-a de nota azul. Didier-Weill articula que essa nota traz consigo a esperança da resolução da tensão trágica: “Uma nota que, cheio de esperança, o ouvinte espera, quase como se espera um amor. Uma </w:t>
      </w:r>
      <w:r>
        <w:rPr>
          <w:rFonts w:ascii="Times New Roman" w:hAnsi="Times New Roman" w:cs="Times New Roman" w:eastAsia="Times New Roman"/>
          <w:i/>
          <w:color w:val="auto"/>
          <w:spacing w:val="0"/>
          <w:position w:val="0"/>
          <w:sz w:val="24"/>
          <w:shd w:fill="auto" w:val="clear"/>
        </w:rPr>
        <w:t xml:space="preserve">nota prometida </w:t>
      </w:r>
      <w:r>
        <w:rPr>
          <w:rFonts w:ascii="Times New Roman" w:hAnsi="Times New Roman" w:cs="Times New Roman" w:eastAsia="Times New Roman"/>
          <w:color w:val="auto"/>
          <w:spacing w:val="0"/>
          <w:position w:val="0"/>
          <w:sz w:val="24"/>
          <w:shd w:fill="auto" w:val="clear"/>
        </w:rPr>
        <w:t xml:space="preserve">pela progressão harmônica que a prepara, mas que, entretanto, chega inesperada.” (PIGOZZI, 2008, p.188). Essa esperança coloca o sujeito em movimento, como podemos observar nos movimentos de um bebê, que sendo desordenados surpreendentemente apresentam graciosidade.</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propósito do </w:t>
      </w:r>
      <w:r>
        <w:rPr>
          <w:rFonts w:ascii="Times New Roman" w:hAnsi="Times New Roman" w:cs="Times New Roman" w:eastAsia="Times New Roman"/>
          <w:i/>
          <w:color w:val="auto"/>
          <w:spacing w:val="0"/>
          <w:position w:val="0"/>
          <w:sz w:val="24"/>
          <w:shd w:fill="auto" w:val="clear"/>
        </w:rPr>
        <w:t xml:space="preserve">jazz,</w:t>
      </w:r>
      <w:r>
        <w:rPr>
          <w:rFonts w:ascii="Times New Roman" w:hAnsi="Times New Roman" w:cs="Times New Roman" w:eastAsia="Times New Roman"/>
          <w:color w:val="auto"/>
          <w:spacing w:val="0"/>
          <w:position w:val="0"/>
          <w:sz w:val="24"/>
          <w:shd w:fill="auto" w:val="clear"/>
        </w:rPr>
        <w:t xml:space="preserve"> Laura Pigozzi analisa os </w:t>
      </w:r>
      <w:r>
        <w:rPr>
          <w:rFonts w:ascii="Times New Roman" w:hAnsi="Times New Roman" w:cs="Times New Roman" w:eastAsia="Times New Roman"/>
          <w:i/>
          <w:color w:val="auto"/>
          <w:spacing w:val="0"/>
          <w:position w:val="0"/>
          <w:sz w:val="24"/>
          <w:shd w:fill="auto" w:val="clear"/>
        </w:rPr>
        <w:t xml:space="preserve">scats </w:t>
      </w:r>
      <w:r>
        <w:rPr>
          <w:rFonts w:ascii="Times New Roman" w:hAnsi="Times New Roman" w:cs="Times New Roman" w:eastAsia="Times New Roman"/>
          <w:color w:val="auto"/>
          <w:spacing w:val="0"/>
          <w:position w:val="0"/>
          <w:sz w:val="24"/>
          <w:shd w:fill="auto" w:val="clear"/>
        </w:rPr>
        <w:t xml:space="preserve">(vocalizes lúdicas e improvisadas) de Ella Fitzgerald. Nesta via, as vocalizações jazzísticas recuperariam antigas ecolalias, lalações, formas glossolálicas e balbucios, constituindo um repertório vocálico de rica expressão de rítmica e entonação, o que denota que “a voz é o primeiro verdadeiro jogo da criança” (PIGOZZI, 2008, p.84-85).  Seguindo este caminho, postula, a partir de Kandinskij, que dentre as várias cores que um timbre pode assumir, pode advir um timbre azul, timbre que chama e captura o sujeito em sua intimidade, dissonância amorosa investida de esperança.  E observa que a vertigem do encontro com o inimaginável e o impensável dos eventos que ocorrem na história do sujeito deixam marcas em seu timbre, como verificamos na voz de Billie Holiday,  que pouco antes de morrer aflora um “ timbre denso da história daquela desafortunada mulher de talento, intensa e trágica amante da vida” (PIGOZZI, 2008, p.190), revolucionando a maneira de cantar </w:t>
      </w:r>
      <w:r>
        <w:rPr>
          <w:rFonts w:ascii="Times New Roman" w:hAnsi="Times New Roman" w:cs="Times New Roman" w:eastAsia="Times New Roman"/>
          <w:i/>
          <w:color w:val="auto"/>
          <w:spacing w:val="0"/>
          <w:position w:val="0"/>
          <w:sz w:val="24"/>
          <w:shd w:fill="auto" w:val="clear"/>
        </w:rPr>
        <w:t xml:space="preserve">jazz. </w:t>
      </w:r>
      <w:r>
        <w:rPr>
          <w:rFonts w:ascii="Times New Roman" w:hAnsi="Times New Roman" w:cs="Times New Roman" w:eastAsia="Times New Roman"/>
          <w:color w:val="auto"/>
          <w:spacing w:val="0"/>
          <w:position w:val="0"/>
          <w:sz w:val="24"/>
          <w:shd w:fill="auto" w:val="clear"/>
        </w:rPr>
        <w:t xml:space="preserve">E afirma que, como as mulheres, as vozes só podem ser contadas uma a uma (PIGOZZI, 2008, p.147). Ainda nesta aproximação do vocal com o campo do feminino, a autora destaca que, em determinadas condições, o ato de cantar coloca em vibração todo o corpo e que a experiência do canto traz consigo um certo estado de êxtase.</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destas articulações, intencionamos aqui a trabalhar a síncope brasileira. A síncope é uma alteração na marcação rítmica por conta de uma batida que falta, causando uma certa arritmia e um apelo ao ouvinte a que preencha este vazio com a marcação corporal – palmas, meneios, balanços, dança – com a dinâmica do movimento no espaço (SODRÉ, 1998, p.11). Herança da tradição oral africana e dos rituais negros da época colonial, no período de urbanização do Rio de Janeiro a síncope funde-se às músicas de salão européias (valsas, polcas, mazurcas, etc) e dá origem ao Choro e ao Maxixe.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este respeito, destacamos que as rodas de Choro foram introduzidas por Antonio Callado e consistiam em seções onde um músico propunha desafios musicais a outro músico por meio de improvisações, dando tom lúdico às peças musicais executadas e aos encontros. SODRÉ (1998) comenta que: </w:t>
      </w:r>
    </w:p>
    <w:p>
      <w:pPr>
        <w:suppressAutoHyphens w:val="true"/>
        <w:spacing w:before="0" w:after="0" w:line="360"/>
        <w:ind w:right="0" w:left="72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72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“Na música brasileira, a principal aproximação técnica com o </w:t>
      </w:r>
      <w:r>
        <w:rPr>
          <w:rFonts w:ascii="Times New Roman" w:hAnsi="Times New Roman" w:cs="Times New Roman" w:eastAsia="Times New Roman"/>
          <w:i/>
          <w:color w:val="auto"/>
          <w:spacing w:val="0"/>
          <w:position w:val="0"/>
          <w:sz w:val="20"/>
          <w:shd w:fill="auto" w:val="clear"/>
        </w:rPr>
        <w:t xml:space="preserve">jazz </w:t>
      </w:r>
      <w:r>
        <w:rPr>
          <w:rFonts w:ascii="Times New Roman" w:hAnsi="Times New Roman" w:cs="Times New Roman" w:eastAsia="Times New Roman"/>
          <w:color w:val="auto"/>
          <w:spacing w:val="0"/>
          <w:position w:val="0"/>
          <w:sz w:val="20"/>
          <w:shd w:fill="auto" w:val="clear"/>
        </w:rPr>
        <w:t xml:space="preserve">ocorreu através do </w:t>
      </w:r>
      <w:r>
        <w:rPr>
          <w:rFonts w:ascii="Times New Roman" w:hAnsi="Times New Roman" w:cs="Times New Roman" w:eastAsia="Times New Roman"/>
          <w:i/>
          <w:color w:val="auto"/>
          <w:spacing w:val="0"/>
          <w:position w:val="0"/>
          <w:sz w:val="20"/>
          <w:shd w:fill="auto" w:val="clear"/>
        </w:rPr>
        <w:t xml:space="preserve">choro </w:t>
      </w:r>
      <w:r>
        <w:rPr>
          <w:rFonts w:ascii="Times New Roman" w:hAnsi="Times New Roman" w:cs="Times New Roman" w:eastAsia="Times New Roman"/>
          <w:color w:val="auto"/>
          <w:spacing w:val="0"/>
          <w:position w:val="0"/>
          <w:sz w:val="20"/>
          <w:shd w:fill="auto" w:val="clear"/>
        </w:rPr>
        <w:t xml:space="preserve">(feito inicialmente por negros e mulatos), que valorizava instrumentos de sopro (saxofone, clarineta), também adotando como processo de composição o livre improviso. Mas a sincopa brasileira teve maior influência institucional no samba, possivelmente devido à maior proximidade dessa forma musical com os </w:t>
      </w:r>
      <w:r>
        <w:rPr>
          <w:rFonts w:ascii="Times New Roman" w:hAnsi="Times New Roman" w:cs="Times New Roman" w:eastAsia="Times New Roman"/>
          <w:i/>
          <w:color w:val="auto"/>
          <w:spacing w:val="0"/>
          <w:position w:val="0"/>
          <w:sz w:val="20"/>
          <w:shd w:fill="auto" w:val="clear"/>
        </w:rPr>
        <w:t xml:space="preserve">terreiros.</w:t>
      </w:r>
      <w:r>
        <w:rPr>
          <w:rFonts w:ascii="Times New Roman" w:hAnsi="Times New Roman" w:cs="Times New Roman" w:eastAsia="Times New Roman"/>
          <w:color w:val="auto"/>
          <w:spacing w:val="0"/>
          <w:position w:val="0"/>
          <w:sz w:val="20"/>
          <w:shd w:fill="auto" w:val="clear"/>
        </w:rPr>
        <w:t xml:space="preserve">” (SODRÉ, 1998, p.26)</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Até mesmo no campo da literatura e da poesia brasileira, verificamos a influência e a presença da síncope. Mario de Andrade, por exemplo, assim comenta a mistura entre a ritmicidade africana e as modulações tonais européias: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72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“Os portugueses fixaram o nosso tonalismo harmônico; nos deram a quadratura estrófica; provavelmente a síncope que nos encarregamos de desenvolver ao contato da pererequice rítmica do africano, o qual também tomou parte vasta na formação do canto popular brasileiro. Foi certamente ao contato de que a nossa rítmica alcançou as variedades que tem.”(ANDRADE, 1987, apud  STIVAL, 2004, p. 62)</w:t>
      </w:r>
    </w:p>
    <w:p>
      <w:pPr>
        <w:suppressAutoHyphens w:val="true"/>
        <w:spacing w:before="0" w:after="0" w:line="360"/>
        <w:ind w:right="0" w:left="72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STIVAL (2004) afirma que se os africanos já conheciam esta alteração no ritmo e os europeus a possuíam na melodia a síncope brasileira é “rítmico-melódica” (STIVAL, 2004, p.67).</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Personagem importante desse período de mistura musical (passagem do séc. XIX para o séc. XX) é Chiquinha Gonzaga, que, apesar de sofrer represálias da sociedade de sua época e enfrentar muitas dificuldades no contexto tão marcadamente paternalista em que se encontrava, apresentou seu grande talento e se tornou personagem de grande importância para a música brasileira. Eis o comentário de sua biógrafa:</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720" w:leader="none"/>
        </w:tabs>
        <w:suppressAutoHyphens w:val="true"/>
        <w:spacing w:before="0" w:after="0" w:line="240"/>
        <w:ind w:right="0" w:left="72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antecipação com que usou a liberdade pessoal faz dela a primeira grande personagem na história do Brasil a não ser uma heroína no sentido oficial; não estava a serviço da pátria, nem da humanidade, nem de um marido. Estava apenas a serviço de si mesma, de suas vontades e desejos. Só que isso não era permitido a uma mulher.</w:t>
      </w:r>
    </w:p>
    <w:p>
      <w:pPr>
        <w:tabs>
          <w:tab w:val="left" w:pos="720" w:leader="none"/>
        </w:tabs>
        <w:suppressAutoHyphens w:val="true"/>
        <w:spacing w:before="0" w:after="0" w:line="240"/>
        <w:ind w:right="0" w:left="72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Sua história está inevitavelmente vinculada à história do país. Elas se cruzam em um dos momentos mais expressivos da nacionalidade: aquele em que se forja uma cultura brasileira e que é momento também da mais entusiasmada e ampla participação política de que o Brasil guarda memória – entusiasmo que o brasileiro só voltaria a manifestar cem anos depois, com a campanha Diretas já, pelo restabelecimento da ordem democrática no país. E Chiquinha Gonzaga ao renunciar ao papel tradicional de esposa e mãe, terminou por exercer um papel social transformador.” (DINIZ, 1999, p.7)</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360"/>
        <w:ind w:right="0" w:left="0" w:firstLine="708"/>
        <w:jc w:val="both"/>
        <w:rPr>
          <w:rFonts w:ascii="Times New Roman" w:hAnsi="Times New Roman" w:cs="Times New Roman" w:eastAsia="Times New Roman"/>
          <w:color w:val="000000"/>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Primeira mulher a entrar nas rodas de Choro, introdutora do piano nestes desafios musicais e primeira maestrina de música brasileira, Chiquinha entre outras produções, musica peças para o então Teatro de Revista, modalidade jocosa e cômica advindo da </w:t>
      </w:r>
      <w:r>
        <w:rPr>
          <w:rFonts w:ascii="Times New Roman" w:hAnsi="Times New Roman" w:cs="Times New Roman" w:eastAsia="Times New Roman"/>
          <w:i/>
          <w:color w:val="auto"/>
          <w:spacing w:val="0"/>
          <w:position w:val="0"/>
          <w:sz w:val="24"/>
          <w:shd w:fill="auto" w:val="clear"/>
        </w:rPr>
        <w:t xml:space="preserve">Opera Comique, </w:t>
      </w: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i/>
          <w:color w:val="auto"/>
          <w:spacing w:val="0"/>
          <w:position w:val="0"/>
          <w:sz w:val="24"/>
          <w:shd w:fill="auto" w:val="clear"/>
        </w:rPr>
        <w:t xml:space="preserve">Forrobodó, </w:t>
      </w:r>
      <w:r>
        <w:rPr>
          <w:rFonts w:ascii="Times New Roman" w:hAnsi="Times New Roman" w:cs="Times New Roman" w:eastAsia="Times New Roman"/>
          <w:color w:val="auto"/>
          <w:spacing w:val="0"/>
          <w:position w:val="0"/>
          <w:sz w:val="24"/>
          <w:shd w:fill="auto" w:val="clear"/>
        </w:rPr>
        <w:t xml:space="preserve">texto de Luiz Peixoto e Carlos Bittencourt,</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torna-se um marco na história do teatro brasileiro. A partir deste teatro, consagram-se personagens-tipo como o malandro e a mulata que dançam ao som sensual e buliçoso do maxixe. Esta peça </w:t>
      </w:r>
      <w:r>
        <w:rPr>
          <w:rFonts w:ascii="Times New Roman" w:hAnsi="Times New Roman" w:cs="Times New Roman" w:eastAsia="Times New Roman"/>
          <w:color w:val="000000"/>
          <w:spacing w:val="0"/>
          <w:position w:val="0"/>
          <w:sz w:val="23"/>
          <w:shd w:fill="auto" w:val="clear"/>
        </w:rPr>
        <w:t xml:space="preserve">“[...] representou um marco para o teatro nacional, pois, a partir dela, a linguagem popular brasileira entrou em cena. As gírias, o carioquês, os nossos sotaques, passaram imediatamente às revistas que, até então se mantinham fiéis à prosódia lusitana”.” (GONÇALVES, 1967, apud STIVAL, 2004,p.18)</w:t>
      </w:r>
    </w:p>
    <w:p>
      <w:pPr>
        <w:suppressAutoHyphens w:val="true"/>
        <w:spacing w:before="0" w:after="0" w:line="360"/>
        <w:ind w:right="0" w:left="0" w:firstLine="708"/>
        <w:jc w:val="both"/>
        <w:rPr>
          <w:rFonts w:ascii="Times New Roman" w:hAnsi="Times New Roman" w:cs="Times New Roman" w:eastAsia="Times New Roman"/>
          <w:color w:val="000000"/>
          <w:spacing w:val="0"/>
          <w:position w:val="0"/>
          <w:sz w:val="23"/>
          <w:shd w:fill="auto" w:val="clear"/>
        </w:rPr>
      </w:pP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Chiquinha também cria a primeira marchinha de carnaval (</w:t>
      </w:r>
      <w:r>
        <w:rPr>
          <w:rFonts w:ascii="Times New Roman" w:hAnsi="Times New Roman" w:cs="Times New Roman" w:eastAsia="Times New Roman"/>
          <w:i/>
          <w:color w:val="auto"/>
          <w:spacing w:val="0"/>
          <w:position w:val="0"/>
          <w:sz w:val="24"/>
          <w:shd w:fill="auto" w:val="clear"/>
        </w:rPr>
        <w:t xml:space="preserve">Oh Abre Alas!</w:t>
      </w:r>
      <w:r>
        <w:rPr>
          <w:rFonts w:ascii="Times New Roman" w:hAnsi="Times New Roman" w:cs="Times New Roman" w:eastAsia="Times New Roman"/>
          <w:color w:val="auto"/>
          <w:spacing w:val="0"/>
          <w:position w:val="0"/>
          <w:sz w:val="24"/>
          <w:shd w:fill="auto" w:val="clear"/>
        </w:rPr>
        <w:t xml:space="preserve">), entrelaçando música, dança, teatro e carnaval. DINIZ(1999) aponta que, em 28 de fevereiro de 1935, quinta-feira, morre Chiquinha Gonzaga, e que, dias depois, em 2 de março, ocorre o primeiro concurso oficial das escolas de samba. Em suas produções estava sempre presente a síncope, alteração rítmica importante. Marca do samba.</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SODRÉ (1998), acerca da temporalidade da síncope destaca que “o tempo capturado é duração, meio de afirmação da vida e de elaboração simbólica da morte, que não se define apenas a partir da passagem irrecorrível do tempo. Cantar/dançar, entrar no ritmo, é como ouvir os batimentos do próprio coração – é sentir a vida sem deixar de nela reinscrever simbolicamente a morte” (SODRÉ, 1998, p.23). Ele ainda compara o transe do </w:t>
      </w:r>
      <w:r>
        <w:rPr>
          <w:rFonts w:ascii="Times New Roman" w:hAnsi="Times New Roman" w:cs="Times New Roman" w:eastAsia="Times New Roman"/>
          <w:i/>
          <w:color w:val="auto"/>
          <w:spacing w:val="0"/>
          <w:position w:val="0"/>
          <w:sz w:val="24"/>
          <w:shd w:fill="auto" w:val="clear"/>
        </w:rPr>
        <w:t xml:space="preserve">vodum </w:t>
      </w:r>
      <w:r>
        <w:rPr>
          <w:rFonts w:ascii="Times New Roman" w:hAnsi="Times New Roman" w:cs="Times New Roman" w:eastAsia="Times New Roman"/>
          <w:color w:val="auto"/>
          <w:spacing w:val="0"/>
          <w:position w:val="0"/>
          <w:sz w:val="24"/>
          <w:shd w:fill="auto" w:val="clear"/>
        </w:rPr>
        <w:t xml:space="preserve">presente na “esfera emocional” do </w:t>
      </w:r>
      <w:r>
        <w:rPr>
          <w:rFonts w:ascii="Times New Roman" w:hAnsi="Times New Roman" w:cs="Times New Roman" w:eastAsia="Times New Roman"/>
          <w:i/>
          <w:color w:val="auto"/>
          <w:spacing w:val="0"/>
          <w:position w:val="0"/>
          <w:sz w:val="24"/>
          <w:shd w:fill="auto" w:val="clear"/>
        </w:rPr>
        <w:t xml:space="preserve">blues </w:t>
      </w:r>
      <w:r>
        <w:rPr>
          <w:rFonts w:ascii="Times New Roman" w:hAnsi="Times New Roman" w:cs="Times New Roman" w:eastAsia="Times New Roman"/>
          <w:color w:val="auto"/>
          <w:spacing w:val="0"/>
          <w:position w:val="0"/>
          <w:sz w:val="24"/>
          <w:shd w:fill="auto" w:val="clear"/>
        </w:rPr>
        <w:t xml:space="preserve">ao transe promovido pela síncope no samba.</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Entretanto, a partir deste autor, observamos que o samba afastou-se de sua base popular e entrou na dinâmica do espetáculo e da comercialização da obra de arte. Trata-se da imposição do ritmo de produção e consumo, onde agora se vive </w:t>
      </w:r>
      <w:r>
        <w:rPr>
          <w:rFonts w:ascii="Times New Roman" w:hAnsi="Times New Roman" w:cs="Times New Roman" w:eastAsia="Times New Roman"/>
          <w:i/>
          <w:color w:val="auto"/>
          <w:spacing w:val="0"/>
          <w:position w:val="0"/>
          <w:sz w:val="24"/>
          <w:shd w:fill="auto" w:val="clear"/>
        </w:rPr>
        <w:t xml:space="preserve">de </w:t>
      </w:r>
      <w:r>
        <w:rPr>
          <w:rFonts w:ascii="Times New Roman" w:hAnsi="Times New Roman" w:cs="Times New Roman" w:eastAsia="Times New Roman"/>
          <w:color w:val="auto"/>
          <w:spacing w:val="0"/>
          <w:position w:val="0"/>
          <w:sz w:val="24"/>
          <w:shd w:fill="auto" w:val="clear"/>
        </w:rPr>
        <w:t xml:space="preserve">samba e não </w:t>
      </w:r>
      <w:r>
        <w:rPr>
          <w:rFonts w:ascii="Times New Roman" w:hAnsi="Times New Roman" w:cs="Times New Roman" w:eastAsia="Times New Roman"/>
          <w:i/>
          <w:color w:val="auto"/>
          <w:spacing w:val="0"/>
          <w:position w:val="0"/>
          <w:sz w:val="24"/>
          <w:shd w:fill="auto" w:val="clear"/>
        </w:rPr>
        <w:t xml:space="preserve">no </w:t>
      </w:r>
      <w:r>
        <w:rPr>
          <w:rFonts w:ascii="Times New Roman" w:hAnsi="Times New Roman" w:cs="Times New Roman" w:eastAsia="Times New Roman"/>
          <w:color w:val="auto"/>
          <w:spacing w:val="0"/>
          <w:position w:val="0"/>
          <w:sz w:val="24"/>
          <w:shd w:fill="auto" w:val="clear"/>
        </w:rPr>
        <w:t xml:space="preserve">samba. </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Assim, verificamos também que nos anos 50, com o surgimento da Bossa Nova, movimento advindo da mistura do samba com o </w:t>
      </w:r>
      <w:r>
        <w:rPr>
          <w:rFonts w:ascii="Times New Roman" w:hAnsi="Times New Roman" w:cs="Times New Roman" w:eastAsia="Times New Roman"/>
          <w:i/>
          <w:color w:val="auto"/>
          <w:spacing w:val="0"/>
          <w:position w:val="0"/>
          <w:sz w:val="24"/>
          <w:shd w:fill="auto" w:val="clear"/>
        </w:rPr>
        <w:t xml:space="preserve">bebop </w:t>
      </w:r>
      <w:r>
        <w:rPr>
          <w:rFonts w:ascii="Times New Roman" w:hAnsi="Times New Roman" w:cs="Times New Roman" w:eastAsia="Times New Roman"/>
          <w:color w:val="auto"/>
          <w:spacing w:val="0"/>
          <w:position w:val="0"/>
          <w:sz w:val="24"/>
          <w:shd w:fill="auto" w:val="clear"/>
        </w:rPr>
        <w:t xml:space="preserve">e com o </w:t>
      </w:r>
      <w:r>
        <w:rPr>
          <w:rFonts w:ascii="Times New Roman" w:hAnsi="Times New Roman" w:cs="Times New Roman" w:eastAsia="Times New Roman"/>
          <w:i/>
          <w:color w:val="auto"/>
          <w:spacing w:val="0"/>
          <w:position w:val="0"/>
          <w:sz w:val="24"/>
          <w:shd w:fill="auto" w:val="clear"/>
        </w:rPr>
        <w:t xml:space="preserve">cool-jazz,</w:t>
      </w:r>
      <w:r>
        <w:rPr>
          <w:rFonts w:ascii="Times New Roman" w:hAnsi="Times New Roman" w:cs="Times New Roman" w:eastAsia="Times New Roman"/>
          <w:color w:val="auto"/>
          <w:spacing w:val="0"/>
          <w:position w:val="0"/>
          <w:sz w:val="24"/>
          <w:shd w:fill="auto" w:val="clear"/>
        </w:rPr>
        <w:t xml:space="preserve"> as letras das músicas absorveram um tom mais “universtitário” e se tornaram objeto de consumo para as camadas médias urbanas, distanciando-se do léxico popular.</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Entretanto, a aproximação com o </w:t>
      </w:r>
      <w:r>
        <w:rPr>
          <w:rFonts w:ascii="Times New Roman" w:hAnsi="Times New Roman" w:cs="Times New Roman" w:eastAsia="Times New Roman"/>
          <w:i/>
          <w:color w:val="auto"/>
          <w:spacing w:val="0"/>
          <w:position w:val="0"/>
          <w:sz w:val="24"/>
          <w:shd w:fill="auto" w:val="clear"/>
        </w:rPr>
        <w:t xml:space="preserve">jazz, </w:t>
      </w:r>
      <w:r>
        <w:rPr>
          <w:rFonts w:ascii="Times New Roman" w:hAnsi="Times New Roman" w:cs="Times New Roman" w:eastAsia="Times New Roman"/>
          <w:color w:val="auto"/>
          <w:spacing w:val="0"/>
          <w:position w:val="0"/>
          <w:sz w:val="24"/>
          <w:shd w:fill="auto" w:val="clear"/>
        </w:rPr>
        <w:t xml:space="preserve">possibilitou uma revitalização da síncopa brasileira, apontada como manifestação da resistência do negro ao imperativo escravagista de redução do corpo a uma máquina produtiva (SODRÉ, 1998, p.12).</w:t>
      </w:r>
    </w:p>
    <w:p>
      <w:pPr>
        <w:suppressAutoHyphens w:val="true"/>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Acreditamos assim, na síncope como ponto de enodamento entre o campo da descontinuidade rítmica e o campo da continuidade melódica em nossa cultura. E, diante das ditaduras e encantamentos do supereu na sociedade de consumo atual, ação mortífera e diabólica da pulsão, apostamos na síncope, bem como na psicanálise, como ação revigorante da pulsão na direção da anulação de significações estanques para que o movimento e o novo possam advir. </w:t>
      </w:r>
    </w:p>
    <w:p>
      <w:pPr>
        <w:suppressAutoHyphens w:val="true"/>
        <w:spacing w:before="0" w:after="0" w:line="360"/>
        <w:ind w:right="0" w:left="0" w:firstLine="708"/>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w:t>
      </w:r>
      <w:r>
        <w:rPr>
          <w:rFonts w:ascii="Calibri" w:hAnsi="Calibri" w:cs="Calibri" w:eastAsia="Calibri"/>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BIBLIOGRAFIA:</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AMBERTÍN, Marta Gerez. </w:t>
      </w:r>
      <w:r>
        <w:rPr>
          <w:rFonts w:ascii="Times New Roman" w:hAnsi="Times New Roman" w:cs="Times New Roman" w:eastAsia="Times New Roman"/>
          <w:i/>
          <w:color w:val="auto"/>
          <w:spacing w:val="0"/>
          <w:position w:val="0"/>
          <w:sz w:val="24"/>
          <w:shd w:fill="auto" w:val="clear"/>
        </w:rPr>
        <w:t xml:space="preserve">As Vozes do Supereu: na clínica psicanalítica e no mal-estar na civilização. </w:t>
      </w:r>
      <w:r>
        <w:rPr>
          <w:rFonts w:ascii="Times New Roman" w:hAnsi="Times New Roman" w:cs="Times New Roman" w:eastAsia="Times New Roman"/>
          <w:color w:val="auto"/>
          <w:spacing w:val="0"/>
          <w:position w:val="0"/>
          <w:sz w:val="24"/>
          <w:shd w:fill="auto" w:val="clear"/>
        </w:rPr>
        <w:t xml:space="preserve">Caxias do Sul, RS – 2003. Editora de Cultura &amp; EDUCS.</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DIDIER-WEILL, Alain. </w:t>
      </w:r>
      <w:r>
        <w:rPr>
          <w:rFonts w:ascii="Times New Roman" w:hAnsi="Times New Roman" w:cs="Times New Roman" w:eastAsia="Times New Roman"/>
          <w:i/>
          <w:color w:val="auto"/>
          <w:spacing w:val="0"/>
          <w:position w:val="0"/>
          <w:sz w:val="24"/>
          <w:shd w:fill="auto" w:val="clear"/>
        </w:rPr>
        <w:t xml:space="preserve">Invocações: Dionísio, Moisés, São Paulo e Freud. </w:t>
      </w:r>
      <w:r>
        <w:rPr>
          <w:rFonts w:ascii="Times New Roman" w:hAnsi="Times New Roman" w:cs="Times New Roman" w:eastAsia="Times New Roman"/>
          <w:color w:val="auto"/>
          <w:spacing w:val="0"/>
          <w:position w:val="0"/>
          <w:sz w:val="24"/>
          <w:shd w:fill="auto" w:val="clear"/>
        </w:rPr>
        <w:t xml:space="preserve">Rio de Janeiro: Companhia de Freud, 1999.</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DINIZ, Edinha. </w:t>
      </w:r>
      <w:r>
        <w:rPr>
          <w:rFonts w:ascii="Times New Roman" w:hAnsi="Times New Roman" w:cs="Times New Roman" w:eastAsia="Times New Roman"/>
          <w:i/>
          <w:color w:val="auto"/>
          <w:spacing w:val="0"/>
          <w:position w:val="0"/>
          <w:sz w:val="24"/>
          <w:shd w:fill="auto" w:val="clear"/>
        </w:rPr>
        <w:t xml:space="preserve">Chiquinha Gonzaga, uma história de vida. </w:t>
      </w:r>
      <w:r>
        <w:rPr>
          <w:rFonts w:ascii="Times New Roman" w:hAnsi="Times New Roman" w:cs="Times New Roman" w:eastAsia="Times New Roman"/>
          <w:color w:val="auto"/>
          <w:spacing w:val="0"/>
          <w:position w:val="0"/>
          <w:sz w:val="24"/>
          <w:shd w:fill="auto" w:val="clear"/>
        </w:rPr>
        <w:t xml:space="preserve">10.ed. Rio de Janeiro: Roda dos Tempos, 1999.</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LACAN, Jacques. (1956-1957) </w:t>
      </w:r>
      <w:r>
        <w:rPr>
          <w:rFonts w:ascii="Times New Roman" w:hAnsi="Times New Roman" w:cs="Times New Roman" w:eastAsia="Times New Roman"/>
          <w:i/>
          <w:color w:val="auto"/>
          <w:spacing w:val="0"/>
          <w:position w:val="0"/>
          <w:sz w:val="24"/>
          <w:shd w:fill="auto" w:val="clear"/>
        </w:rPr>
        <w:t xml:space="preserve">O Seminário, Livro 4: a relação de objeto. </w:t>
      </w:r>
      <w:r>
        <w:rPr>
          <w:rFonts w:ascii="Times New Roman" w:hAnsi="Times New Roman" w:cs="Times New Roman" w:eastAsia="Times New Roman"/>
          <w:color w:val="auto"/>
          <w:spacing w:val="0"/>
          <w:position w:val="0"/>
          <w:sz w:val="24"/>
          <w:shd w:fill="auto" w:val="clear"/>
        </w:rPr>
        <w:t xml:space="preserve">Texto estabelecido por Jacques Alain-Miller; tradução de Antonio Quinet. Rio de Janeiro, Jorge Zahar Editor, 1997.</w:t>
      </w:r>
    </w:p>
    <w:p>
      <w:pPr>
        <w:suppressAutoHyphens w:val="true"/>
        <w:spacing w:before="0" w:after="0" w:line="240"/>
        <w:ind w:right="0" w:left="420" w:firstLine="831"/>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 (1959-1960) </w:t>
      </w:r>
      <w:r>
        <w:rPr>
          <w:rFonts w:ascii="Times New Roman" w:hAnsi="Times New Roman" w:cs="Times New Roman" w:eastAsia="Times New Roman"/>
          <w:i/>
          <w:color w:val="auto"/>
          <w:spacing w:val="0"/>
          <w:position w:val="0"/>
          <w:sz w:val="24"/>
          <w:shd w:fill="auto" w:val="clear"/>
        </w:rPr>
        <w:t xml:space="preserve">O Seminário, Livro 7: A ética da psicanálise.</w:t>
      </w:r>
      <w:r>
        <w:rPr>
          <w:rFonts w:ascii="Times New Roman" w:hAnsi="Times New Roman" w:cs="Times New Roman" w:eastAsia="Times New Roman"/>
          <w:color w:val="auto"/>
          <w:spacing w:val="0"/>
          <w:position w:val="0"/>
          <w:sz w:val="24"/>
          <w:shd w:fill="auto" w:val="clear"/>
        </w:rPr>
        <w:t xml:space="preserve">Texto estabelecido por Jacques Alain-Miller; tradução de Antonio Quinet. Rio de Janeiro, Jorge Zahar Editor, 1997.</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 (1960-1961) </w:t>
      </w:r>
      <w:r>
        <w:rPr>
          <w:rFonts w:ascii="Times New Roman" w:hAnsi="Times New Roman" w:cs="Times New Roman" w:eastAsia="Times New Roman"/>
          <w:i/>
          <w:color w:val="auto"/>
          <w:spacing w:val="0"/>
          <w:position w:val="0"/>
          <w:sz w:val="24"/>
          <w:shd w:fill="auto" w:val="clear"/>
        </w:rPr>
        <w:t xml:space="preserve">O Seminário, Livro 8: A transferência .</w:t>
      </w:r>
      <w:r>
        <w:rPr>
          <w:rFonts w:ascii="Times New Roman" w:hAnsi="Times New Roman" w:cs="Times New Roman" w:eastAsia="Times New Roman"/>
          <w:color w:val="auto"/>
          <w:spacing w:val="0"/>
          <w:position w:val="0"/>
          <w:sz w:val="24"/>
          <w:shd w:fill="auto" w:val="clear"/>
        </w:rPr>
        <w:t xml:space="preserve">Texto estabelecido por Jacques Alain-Miller; tradução de Dulce Duque Estrada. Rio de Janeiro, Jorge Zahar Editor, 1992.</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 (1962-1963) </w:t>
      </w:r>
      <w:r>
        <w:rPr>
          <w:rFonts w:ascii="Times New Roman" w:hAnsi="Times New Roman" w:cs="Times New Roman" w:eastAsia="Times New Roman"/>
          <w:i/>
          <w:color w:val="auto"/>
          <w:spacing w:val="0"/>
          <w:position w:val="0"/>
          <w:sz w:val="24"/>
          <w:shd w:fill="auto" w:val="clear"/>
        </w:rPr>
        <w:t xml:space="preserve">O Seminário, Livro 10: A angústia .</w:t>
      </w:r>
      <w:r>
        <w:rPr>
          <w:rFonts w:ascii="Times New Roman" w:hAnsi="Times New Roman" w:cs="Times New Roman" w:eastAsia="Times New Roman"/>
          <w:color w:val="auto"/>
          <w:spacing w:val="0"/>
          <w:position w:val="0"/>
          <w:sz w:val="24"/>
          <w:shd w:fill="auto" w:val="clear"/>
        </w:rPr>
        <w:t xml:space="preserve">Texto estabelecido por Jacques Alain-Miller; tradução de Vera Ribeiro. Rio de Janeiro, Jorge Zahar Editor, 2005.</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PIGOZZI, Laura. </w:t>
      </w:r>
      <w:r>
        <w:rPr>
          <w:rFonts w:ascii="Times New Roman" w:hAnsi="Times New Roman" w:cs="Times New Roman" w:eastAsia="Times New Roman"/>
          <w:i/>
          <w:color w:val="auto"/>
          <w:spacing w:val="0"/>
          <w:position w:val="0"/>
          <w:sz w:val="24"/>
          <w:shd w:fill="auto" w:val="clear"/>
        </w:rPr>
        <w:t xml:space="preserve">A nuda voce: Vocalità, inconscio, sessualità. </w:t>
      </w:r>
      <w:r>
        <w:rPr>
          <w:rFonts w:ascii="Times New Roman" w:hAnsi="Times New Roman" w:cs="Times New Roman" w:eastAsia="Times New Roman"/>
          <w:color w:val="auto"/>
          <w:spacing w:val="0"/>
          <w:position w:val="0"/>
          <w:sz w:val="24"/>
          <w:shd w:fill="auto" w:val="clear"/>
        </w:rPr>
        <w:t xml:space="preserve">Torino, 2008. Antigone Edizioni s.a.s.</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SODRÉ, Muniz. </w:t>
      </w:r>
      <w:r>
        <w:rPr>
          <w:rFonts w:ascii="Times New Roman" w:hAnsi="Times New Roman" w:cs="Times New Roman" w:eastAsia="Times New Roman"/>
          <w:i/>
          <w:color w:val="auto"/>
          <w:spacing w:val="0"/>
          <w:position w:val="0"/>
          <w:sz w:val="24"/>
          <w:shd w:fill="auto" w:val="clear"/>
        </w:rPr>
        <w:t xml:space="preserve">Samba, o Dono do Corpo. </w:t>
      </w:r>
      <w:r>
        <w:rPr>
          <w:rFonts w:ascii="Times New Roman" w:hAnsi="Times New Roman" w:cs="Times New Roman" w:eastAsia="Times New Roman"/>
          <w:color w:val="auto"/>
          <w:spacing w:val="0"/>
          <w:position w:val="0"/>
          <w:sz w:val="24"/>
          <w:shd w:fill="auto" w:val="clear"/>
        </w:rPr>
        <w:t xml:space="preserve">Rio de Janeiro, RJ – 1998. Mauad Editora LTDA.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STIVAL, Silvana Beeck. </w:t>
      </w:r>
      <w:r>
        <w:rPr>
          <w:rFonts w:ascii="Times New Roman" w:hAnsi="Times New Roman" w:cs="Times New Roman" w:eastAsia="Times New Roman"/>
          <w:i/>
          <w:color w:val="auto"/>
          <w:spacing w:val="0"/>
          <w:position w:val="0"/>
          <w:sz w:val="24"/>
          <w:shd w:fill="auto" w:val="clear"/>
        </w:rPr>
        <w:t xml:space="preserve">Chiquinha Gonzaga em Forrobodó</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Dissertação (Mestrado). Programa de Pós-Graduação em Letras/ Literatura Brasilera do Centro de Comunicação e Expressão. Universidade Federal de Santa Catarina, 2004.  Disponível em: </w:t>
      </w:r>
      <w:hyperlink xmlns:r="http://schemas.openxmlformats.org/officeDocument/2006/relationships" r:id="docRId247">
        <w:r>
          <w:rPr>
            <w:rFonts w:ascii="Times New Roman" w:hAnsi="Times New Roman" w:cs="Times New Roman" w:eastAsia="Times New Roman"/>
            <w:color w:val="0000FF"/>
            <w:spacing w:val="0"/>
            <w:position w:val="0"/>
            <w:sz w:val="24"/>
            <w:u w:val="single"/>
            <w:shd w:fill="auto" w:val="clear"/>
          </w:rPr>
          <w:t xml:space="preserve">www.chiquinhagonzaga.com.br</w:t>
        </w:r>
      </w:hyperlink>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num w:numId="520">
    <w:abstractNumId w:val="786"/>
  </w:num>
  <w:num w:numId="522">
    <w:abstractNumId w:val="780"/>
  </w:num>
  <w:num w:numId="524">
    <w:abstractNumId w:val="774"/>
  </w:num>
  <w:num w:numId="527">
    <w:abstractNumId w:val="768"/>
  </w:num>
  <w:num w:numId="529">
    <w:abstractNumId w:val="762"/>
  </w:num>
  <w:num w:numId="856">
    <w:abstractNumId w:val="756"/>
  </w:num>
  <w:num w:numId="873">
    <w:abstractNumId w:val="750"/>
  </w:num>
  <w:num w:numId="893">
    <w:abstractNumId w:val="744"/>
  </w:num>
  <w:num w:numId="895">
    <w:abstractNumId w:val="738"/>
  </w:num>
  <w:num w:numId="897">
    <w:abstractNumId w:val="732"/>
  </w:num>
  <w:num w:numId="970">
    <w:abstractNumId w:val="726"/>
  </w:num>
  <w:num w:numId="973">
    <w:abstractNumId w:val="720"/>
  </w:num>
  <w:num w:numId="1019">
    <w:abstractNumId w:val="714"/>
  </w:num>
  <w:num w:numId="1035">
    <w:abstractNumId w:val="708"/>
  </w:num>
  <w:num w:numId="1037">
    <w:abstractNumId w:val="702"/>
  </w:num>
  <w:num w:numId="1052">
    <w:abstractNumId w:val="696"/>
  </w:num>
  <w:num w:numId="1140">
    <w:abstractNumId w:val="690"/>
  </w:num>
  <w:num w:numId="1142">
    <w:abstractNumId w:val="684"/>
  </w:num>
  <w:num w:numId="1144">
    <w:abstractNumId w:val="678"/>
  </w:num>
  <w:num w:numId="1146">
    <w:abstractNumId w:val="672"/>
  </w:num>
  <w:num w:numId="1148">
    <w:abstractNumId w:val="666"/>
  </w:num>
  <w:num w:numId="1150">
    <w:abstractNumId w:val="660"/>
  </w:num>
  <w:num w:numId="1152">
    <w:abstractNumId w:val="654"/>
  </w:num>
  <w:num w:numId="1154">
    <w:abstractNumId w:val="648"/>
  </w:num>
  <w:num w:numId="1156">
    <w:abstractNumId w:val="642"/>
  </w:num>
  <w:num w:numId="1158">
    <w:abstractNumId w:val="636"/>
  </w:num>
  <w:num w:numId="1160">
    <w:abstractNumId w:val="630"/>
  </w:num>
  <w:num w:numId="1162">
    <w:abstractNumId w:val="624"/>
  </w:num>
  <w:num w:numId="1164">
    <w:abstractNumId w:val="618"/>
  </w:num>
  <w:num w:numId="1166">
    <w:abstractNumId w:val="612"/>
  </w:num>
  <w:num w:numId="1168">
    <w:abstractNumId w:val="606"/>
  </w:num>
  <w:num w:numId="1170">
    <w:abstractNumId w:val="600"/>
  </w:num>
  <w:num w:numId="1172">
    <w:abstractNumId w:val="594"/>
  </w:num>
  <w:num w:numId="1174">
    <w:abstractNumId w:val="588"/>
  </w:num>
  <w:num w:numId="1176">
    <w:abstractNumId w:val="582"/>
  </w:num>
  <w:num w:numId="1178">
    <w:abstractNumId w:val="576"/>
  </w:num>
  <w:num w:numId="1180">
    <w:abstractNumId w:val="570"/>
  </w:num>
  <w:num w:numId="1182">
    <w:abstractNumId w:val="564"/>
  </w:num>
  <w:num w:numId="1184">
    <w:abstractNumId w:val="558"/>
  </w:num>
  <w:num w:numId="1186">
    <w:abstractNumId w:val="552"/>
  </w:num>
  <w:num w:numId="1188">
    <w:abstractNumId w:val="546"/>
  </w:num>
  <w:num w:numId="1190">
    <w:abstractNumId w:val="540"/>
  </w:num>
  <w:num w:numId="1192">
    <w:abstractNumId w:val="534"/>
  </w:num>
  <w:num w:numId="1194">
    <w:abstractNumId w:val="528"/>
  </w:num>
  <w:num w:numId="1196">
    <w:abstractNumId w:val="522"/>
  </w:num>
  <w:num w:numId="1198">
    <w:abstractNumId w:val="516"/>
  </w:num>
  <w:num w:numId="1200">
    <w:abstractNumId w:val="510"/>
  </w:num>
  <w:num w:numId="1202">
    <w:abstractNumId w:val="504"/>
  </w:num>
  <w:num w:numId="1204">
    <w:abstractNumId w:val="498"/>
  </w:num>
  <w:num w:numId="1206">
    <w:abstractNumId w:val="492"/>
  </w:num>
  <w:num w:numId="1208">
    <w:abstractNumId w:val="486"/>
  </w:num>
  <w:num w:numId="1210">
    <w:abstractNumId w:val="480"/>
  </w:num>
  <w:num w:numId="1212">
    <w:abstractNumId w:val="474"/>
  </w:num>
  <w:num w:numId="1214">
    <w:abstractNumId w:val="468"/>
  </w:num>
  <w:num w:numId="1216">
    <w:abstractNumId w:val="462"/>
  </w:num>
  <w:num w:numId="1376">
    <w:abstractNumId w:val="456"/>
  </w:num>
  <w:num w:numId="1466">
    <w:abstractNumId w:val="450"/>
  </w:num>
  <w:num w:numId="1475">
    <w:abstractNumId w:val="444"/>
  </w:num>
  <w:num w:numId="1546">
    <w:abstractNumId w:val="438"/>
  </w:num>
  <w:num w:numId="1548">
    <w:abstractNumId w:val="432"/>
  </w:num>
  <w:num w:numId="1550">
    <w:abstractNumId w:val="426"/>
  </w:num>
  <w:num w:numId="1833">
    <w:abstractNumId w:val="420"/>
  </w:num>
  <w:num w:numId="1863">
    <w:abstractNumId w:val="414"/>
  </w:num>
  <w:num w:numId="1878">
    <w:abstractNumId w:val="408"/>
  </w:num>
  <w:num w:numId="2070">
    <w:abstractNumId w:val="402"/>
  </w:num>
  <w:num w:numId="2497">
    <w:abstractNumId w:val="396"/>
  </w:num>
  <w:num w:numId="2542">
    <w:abstractNumId w:val="390"/>
  </w:num>
  <w:num w:numId="2955">
    <w:abstractNumId w:val="384"/>
  </w:num>
  <w:num w:numId="2961">
    <w:abstractNumId w:val="378"/>
  </w:num>
  <w:num w:numId="2971">
    <w:abstractNumId w:val="372"/>
  </w:num>
  <w:num w:numId="2984">
    <w:abstractNumId w:val="366"/>
  </w:num>
  <w:num w:numId="2995">
    <w:abstractNumId w:val="360"/>
  </w:num>
  <w:num w:numId="3081">
    <w:abstractNumId w:val="354"/>
  </w:num>
  <w:num w:numId="3089">
    <w:abstractNumId w:val="348"/>
  </w:num>
  <w:num w:numId="3675">
    <w:abstractNumId w:val="342"/>
  </w:num>
  <w:num w:numId="3683">
    <w:abstractNumId w:val="336"/>
  </w:num>
  <w:num w:numId="3716">
    <w:abstractNumId w:val="330"/>
  </w:num>
  <w:num w:numId="3767">
    <w:abstractNumId w:val="324"/>
  </w:num>
  <w:num w:numId="3786">
    <w:abstractNumId w:val="318"/>
  </w:num>
  <w:num w:numId="4000">
    <w:abstractNumId w:val="312"/>
  </w:num>
  <w:num w:numId="4003">
    <w:abstractNumId w:val="306"/>
  </w:num>
  <w:num w:numId="4035">
    <w:abstractNumId w:val="300"/>
  </w:num>
  <w:num w:numId="4056">
    <w:abstractNumId w:val="294"/>
  </w:num>
  <w:num w:numId="4063">
    <w:abstractNumId w:val="288"/>
  </w:num>
  <w:num w:numId="4073">
    <w:abstractNumId w:val="282"/>
  </w:num>
  <w:num w:numId="4155">
    <w:abstractNumId w:val="276"/>
  </w:num>
  <w:num w:numId="4157">
    <w:abstractNumId w:val="270"/>
  </w:num>
  <w:num w:numId="4181">
    <w:abstractNumId w:val="264"/>
  </w:num>
  <w:num w:numId="4193">
    <w:abstractNumId w:val="258"/>
  </w:num>
  <w:num w:numId="4233">
    <w:abstractNumId w:val="252"/>
  </w:num>
  <w:num w:numId="4248">
    <w:abstractNumId w:val="246"/>
  </w:num>
  <w:num w:numId="4380">
    <w:abstractNumId w:val="240"/>
  </w:num>
  <w:num w:numId="4384">
    <w:abstractNumId w:val="234"/>
  </w:num>
  <w:num w:numId="4529">
    <w:abstractNumId w:val="228"/>
  </w:num>
  <w:num w:numId="4540">
    <w:abstractNumId w:val="222"/>
  </w:num>
  <w:num w:numId="4546">
    <w:abstractNumId w:val="216"/>
  </w:num>
  <w:num w:numId="4551">
    <w:abstractNumId w:val="210"/>
  </w:num>
  <w:num w:numId="4559">
    <w:abstractNumId w:val="204"/>
  </w:num>
  <w:num w:numId="4562">
    <w:abstractNumId w:val="198"/>
  </w:num>
  <w:num w:numId="4572">
    <w:abstractNumId w:val="192"/>
  </w:num>
  <w:num w:numId="4598">
    <w:abstractNumId w:val="186"/>
  </w:num>
  <w:num w:numId="4617">
    <w:abstractNumId w:val="180"/>
  </w:num>
  <w:num w:numId="4631">
    <w:abstractNumId w:val="174"/>
  </w:num>
  <w:num w:numId="4646">
    <w:abstractNumId w:val="168"/>
  </w:num>
  <w:num w:numId="4651">
    <w:abstractNumId w:val="162"/>
  </w:num>
  <w:num w:numId="4657">
    <w:abstractNumId w:val="156"/>
  </w:num>
  <w:num w:numId="4663">
    <w:abstractNumId w:val="150"/>
  </w:num>
  <w:num w:numId="4683">
    <w:abstractNumId w:val="144"/>
  </w:num>
  <w:num w:numId="4685">
    <w:abstractNumId w:val="138"/>
  </w:num>
  <w:num w:numId="4759">
    <w:abstractNumId w:val="132"/>
  </w:num>
  <w:num w:numId="4800">
    <w:abstractNumId w:val="126"/>
  </w:num>
  <w:num w:numId="4828">
    <w:abstractNumId w:val="120"/>
  </w:num>
  <w:num w:numId="4832">
    <w:abstractNumId w:val="114"/>
  </w:num>
  <w:num w:numId="4835">
    <w:abstractNumId w:val="108"/>
  </w:num>
  <w:num w:numId="4840">
    <w:abstractNumId w:val="102"/>
  </w:num>
  <w:num w:numId="4856">
    <w:abstractNumId w:val="96"/>
  </w:num>
  <w:num w:numId="4875">
    <w:abstractNumId w:val="90"/>
  </w:num>
  <w:num w:numId="4904">
    <w:abstractNumId w:val="84"/>
  </w:num>
  <w:num w:numId="4911">
    <w:abstractNumId w:val="78"/>
  </w:num>
  <w:num w:numId="4923">
    <w:abstractNumId w:val="72"/>
  </w:num>
  <w:num w:numId="4932">
    <w:abstractNumId w:val="66"/>
  </w:num>
  <w:num w:numId="4944">
    <w:abstractNumId w:val="60"/>
  </w:num>
  <w:num w:numId="4949">
    <w:abstractNumId w:val="54"/>
  </w:num>
  <w:num w:numId="5015">
    <w:abstractNumId w:val="48"/>
  </w:num>
  <w:num w:numId="5756">
    <w:abstractNumId w:val="42"/>
  </w:num>
  <w:num w:numId="5762">
    <w:abstractNumId w:val="36"/>
  </w:num>
  <w:num w:numId="5764">
    <w:abstractNumId w:val="30"/>
  </w:num>
  <w:num w:numId="5774">
    <w:abstractNumId w:val="24"/>
  </w:num>
  <w:num w:numId="5793">
    <w:abstractNumId w:val="18"/>
  </w:num>
  <w:num w:numId="5813">
    <w:abstractNumId w:val="12"/>
  </w:num>
  <w:num w:numId="5818">
    <w:abstractNumId w:val="6"/>
  </w:num>
  <w:num w:numId="583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26.bin" Id="docRId103" Type="http://schemas.openxmlformats.org/officeDocument/2006/relationships/oleObject"/><Relationship TargetMode="External" Target="http://www.ieg.ufsc.br/revista" Id="docRId153" Type="http://schemas.openxmlformats.org/officeDocument/2006/relationships/hyperlink"/><Relationship TargetMode="External" Target="http://www.justitia.com.br/revistas/%20w3137c.pdf" Id="docRId164" Type="http://schemas.openxmlformats.org/officeDocument/2006/relationships/hyperlink"/><Relationship TargetMode="External" Target="http://g1.globo.com/Noticias/Brasil/0%2C%2CMUL751484-5598%2C0-BRASIL%2BTEM%2BMAIS%2BDE%2B%20MIL%2BMULHERES%2BPRESAS.html" Id="docRId174" Type="http://schemas.openxmlformats.org/officeDocument/2006/relationships/hyperlink"/><Relationship Target="media/image22.wmf" Id="docRId88" Type="http://schemas.openxmlformats.org/officeDocument/2006/relationships/image"/><Relationship Target="media/image23.wmf" Id="docRId90" Type="http://schemas.openxmlformats.org/officeDocument/2006/relationships/image"/><Relationship Target="embeddings/oleObject7.bin" Id="docRId14" Type="http://schemas.openxmlformats.org/officeDocument/2006/relationships/oleObject"/><Relationship TargetMode="External" Target="http://www.observatoriojovem.org/materia/relat" Id="docRId75" Type="http://schemas.openxmlformats.org/officeDocument/2006/relationships/hyperlink"/><Relationship TargetMode="External" Target="http://www.scielo.br/pdf/jbpsiq/v55n3/v55n3a06.pdf" Id="docRId183" Type="http://schemas.openxmlformats.org/officeDocument/2006/relationships/hyperlink"/><Relationship TargetMode="External" Target="http://www.homossexualidade.net/o-que-e-a-homossexualidade/?wscr=1280x800" Id="docRId207" Type="http://schemas.openxmlformats.org/officeDocument/2006/relationships/hyperlink"/><Relationship TargetMode="External" Target="http://www.revistaescola.abril.com.br/edicoes/0203/aberto/mt_233229.shtml" Id="docRId228" Type="http://schemas.openxmlformats.org/officeDocument/2006/relationships/hyperlink"/><Relationship TargetMode="External" Target="http://www.geocities.com/claudiaad/qualitativa.pdf" Id="docRId230" Type="http://schemas.openxmlformats.org/officeDocument/2006/relationships/hyperlink"/><Relationship TargetMode="External" Target="http://g1.globo.com/Noticias/Brasil/0%2C%2CMUL751484-5598%2C00-BRASIL%2BTEM%2BMAIS%2B%20DE%2BMIL%2BMULHERES%2BPRESAS.html" Id="docRId158" Type="http://schemas.openxmlformats.org/officeDocument/2006/relationships/hyperlink"/><Relationship TargetMode="External" Target="http://www.clicrbs.com.br/especial/rs/portal-social/19%2C0%2C2728460%2CPobreza-atinge-mais-as-mulheres-e-criancas-na-America-Latina.html" Id="docRId171" Type="http://schemas.openxmlformats.org/officeDocument/2006/relationships/hyperlink"/><Relationship TargetMode="External" Target="http://www.sidra.ibge.gov.br/bda/tabela/protabl.asp?c=202&amp;z=cd&amp;o=4&amp;i=P" Id="docRId219" Type="http://schemas.openxmlformats.org/officeDocument/2006/relationships/hyperlink"/><Relationship Target="embeddings/oleObject13.bin" Id="docRId36" Type="http://schemas.openxmlformats.org/officeDocument/2006/relationships/oleObject"/><Relationship TargetMode="External" Target="http://www.efdeoportes.com/" Id="docRId53" Type="http://schemas.openxmlformats.org/officeDocument/2006/relationships/hyperlink"/><Relationship Target="embeddings/oleObject16.bin" Id="docRId60" Type="http://schemas.openxmlformats.org/officeDocument/2006/relationships/oleObject"/><Relationship Target="media/image6.wmf" Id="docRId13" Type="http://schemas.openxmlformats.org/officeDocument/2006/relationships/image"/><Relationship TargetMode="External" Target="http://www.senado.gov.br/senado/novocpc/pdf/Anteprojeto.pdf" Id="docRId131" Type="http://schemas.openxmlformats.org/officeDocument/2006/relationships/hyperlink"/><Relationship TargetMode="External" Target="http://www.ibge.gov.br/" Id="docRId244" Type="http://schemas.openxmlformats.org/officeDocument/2006/relationships/hyperlink"/><Relationship TargetMode="External" Target="http://pt.wikipedia.org/wiki/Marilena_Chau%C3%AD" Id="docRId78" Type="http://schemas.openxmlformats.org/officeDocument/2006/relationships/hyperlink"/><Relationship TargetMode="External" Target="http://www.geneva.quno.info/pdf/Women_in_Prison_preliminary.pdf" Id="docRId169" Type="http://schemas.openxmlformats.org/officeDocument/2006/relationships/hyperlink"/><Relationship Target="embeddings/oleObject1.bin" Id="docRId2" Type="http://schemas.openxmlformats.org/officeDocument/2006/relationships/oleObject"/><Relationship TargetMode="External" Target="http://www.miljardines.es/pdf/texto/13.pdf" Id="docRId117" Type="http://schemas.openxmlformats.org/officeDocument/2006/relationships/hyperlink"/><Relationship TargetMode="External" Target="http://www.revistas.ufg.br/index.php/fef/article/view/106/2275" Id="docRId142" Type="http://schemas.openxmlformats.org/officeDocument/2006/relationships/hyperlink"/><Relationship Target="media/image11.wmf" Id="docRId31" Type="http://schemas.openxmlformats.org/officeDocument/2006/relationships/image"/><Relationship TargetMode="External" Target="http://www.patriciagalvao.org.br/" Id="docRId42" Type="http://schemas.openxmlformats.org/officeDocument/2006/relationships/hyperlink"/><Relationship Target="embeddings/oleObject14.bin" Id="docRId56" Type="http://schemas.openxmlformats.org/officeDocument/2006/relationships/oleObject"/><Relationship Target="media/image18.wmf" Id="docRId65" Type="http://schemas.openxmlformats.org/officeDocument/2006/relationships/image"/><Relationship Target="media/image21.wmf" Id="docRId86" Type="http://schemas.openxmlformats.org/officeDocument/2006/relationships/image"/><Relationship TargetMode="External" Target="http://www.pucminas.br/imagedb/DOC_DSC_NOME_ARQUI20041214154032.pdf" Id="docRId189" Type="http://schemas.openxmlformats.org/officeDocument/2006/relationships/hyperlink"/><Relationship TargetMode="External" Target="http://pt.wikipedia.org/wiki/Bissexualidade" Id="docRId197" Type="http://schemas.openxmlformats.org/officeDocument/2006/relationships/hyperlink"/><Relationship TargetMode="External" Target="http://www.cfemea.org.br/violencia/artigosetextos/detalhes.asp?IDTemasDados=39" Id="docRId209" Type="http://schemas.openxmlformats.org/officeDocument/2006/relationships/hyperlink"/><Relationship TargetMode="External" Target="http://www.landless-voices.org/vieira/archive-05.phtml?rd=CONSTRUC567&amp;ng=p&amp;sc=3&amp;th=42&amp;se=0" Id="docRId216" Type="http://schemas.openxmlformats.org/officeDocument/2006/relationships/hyperlink"/><Relationship TargetMode="External" Target="http://biblioteca.universia.net/irARecurso.do?page=http%3A%2F%2Fhdl.handle.net%2F10183%2F6961&amp;id=38068040" Id="docRId226" Type="http://schemas.openxmlformats.org/officeDocument/2006/relationships/hyperlink"/><Relationship TargetMode="External" Target="http://www.planalto.gov.br/ccivil/LEIS/LEIS_2001/L10224.htm" Id="docRId24" Type="http://schemas.openxmlformats.org/officeDocument/2006/relationships/hyperlink"/><Relationship TargetMode="External" Target="http://www.aids.gov.br/data/Pages/LUMISD3352823PTBRIE.htm" Id="docRId98" Type="http://schemas.openxmlformats.org/officeDocument/2006/relationships/hyperlink"/><Relationship TargetMode="External" Target="http://www.mesquitaonline.com.br/artigos.phd" Id="docRId145" Type="http://schemas.openxmlformats.org/officeDocument/2006/relationships/hyperlink"/><Relationship Target="embeddings/oleObject30.bin" Id="docRId124" Type="http://schemas.openxmlformats.org/officeDocument/2006/relationships/oleObject"/><Relationship TargetMode="External" Target="http://www.editorazouk.com.br/trecho.asp?tipo=10&amp;cod=76&amp;rt=0" Id="docRId238" Type="http://schemas.openxmlformats.org/officeDocument/2006/relationships/hyperlink"/><Relationship Target="media/image27.wmf" Id="docRId106" Type="http://schemas.openxmlformats.org/officeDocument/2006/relationships/image"/><Relationship TargetMode="External" Target="http://www.scielo.br/scielo" Id="docRId150" Type="http://schemas.openxmlformats.org/officeDocument/2006/relationships/hyperlink"/><Relationship TargetMode="External" Target="http://www.justitia.com.br/revistas/%20w3137c.pdf" Id="docRId163" Type="http://schemas.openxmlformats.org/officeDocument/2006/relationships/hyperlink"/><Relationship Target="media/image10.wmf" Id="docRId21" Type="http://schemas.openxmlformats.org/officeDocument/2006/relationships/image"/><Relationship TargetMode="External" Target="http://www.ead.fea.usp.br/cad-pesq/arquivos/c03-art06.pdf%3e%20acesso%20dia%2030/08/2010" Id="docRId211" Type="http://schemas.openxmlformats.org/officeDocument/2006/relationships/hyperlink"/><Relationship Target="embeddings/oleObject4.bin" Id="docRId8" Type="http://schemas.openxmlformats.org/officeDocument/2006/relationships/oleObject"/><Relationship Target="media/image24.wmf" Id="docRId97" Type="http://schemas.openxmlformats.org/officeDocument/2006/relationships/image"/><Relationship TargetMode="External" Target="http://www.espacoacademico.com.br/" Id="docRId148" Type="http://schemas.openxmlformats.org/officeDocument/2006/relationships/hyperlink"/><Relationship TargetMode="External" Target="http://www.cartamaior.com.br/templates/postMostrar.cfm?blog_id=1&amp;amp;post_id=192" Id="docRId48" Type="http://schemas.openxmlformats.org/officeDocument/2006/relationships/hyperlink"/><Relationship TargetMode="External" Target="http://www.scielo.br/pdf/ref/v10n1/11639.pdf" Id="docRId70" Type="http://schemas.openxmlformats.org/officeDocument/2006/relationships/hyperlink"/><Relationship Target="media/image29.wmf" Id="docRId123" Type="http://schemas.openxmlformats.org/officeDocument/2006/relationships/image"/><Relationship TargetMode="External" Target="http://www.jornal.uem.br/cms/index.php?option=com_content&amp;task=view&amp;id=223&amp;Itemid=2" Id="docRId186" Type="http://schemas.openxmlformats.org/officeDocument/2006/relationships/hyperlink"/><Relationship TargetMode="External" Target="http://www.clam.org.br/pdf/travestis_clam.pdf" Id="docRId204" Type="http://schemas.openxmlformats.org/officeDocument/2006/relationships/hyperlink"/><Relationship TargetMode="External" Target="http://www.fazendogenero8.ufsc.br/sts/ST1/Souza-Leao_01.pdf" Id="docRId237" Type="http://schemas.openxmlformats.org/officeDocument/2006/relationships/hyperlink"/><Relationship Target="embeddings/oleObject25.bin" Id="docRId101" Type="http://schemas.openxmlformats.org/officeDocument/2006/relationships/oleObject"/><Relationship TargetMode="External" Target="http://www.funap.sp.gov.br/" Id="docRId155" Type="http://schemas.openxmlformats.org/officeDocument/2006/relationships/hyperlink"/><Relationship TargetMode="External" Target="http://www.funap.sp.gov.br/" Id="docRId166" Type="http://schemas.openxmlformats.org/officeDocument/2006/relationships/hyperlink"/><Relationship TargetMode="External" Target="http://www.clicrbs.com.br/especial/rs/portal-social/19%2C0%2C2728460%2CPobreza-atinge-mais-as-mulheres-e-criancas-na-America-Latina.html" Id="docRId172" Type="http://schemas.openxmlformats.org/officeDocument/2006/relationships/hyperlink"/><Relationship TargetMode="External" Target="http://www.ciudadaniasexual.org/boletin/b11/Breves_reflexoes_sobre_travestis_e_prostituicao.pdf" Id="docRId199" Type="http://schemas.openxmlformats.org/officeDocument/2006/relationships/hyperlink"/><Relationship TargetMode="External" Target="http://epoca.globo.com/edic/20010226/soci6a.htm" Id="docRId39" Type="http://schemas.openxmlformats.org/officeDocument/2006/relationships/hyperlink"/><Relationship TargetMode="External" Target="http://www.sof.org.br/arquivos/pdf/cidadania_ativa.pdf" Id="docRId92" Type="http://schemas.openxmlformats.org/officeDocument/2006/relationships/hyperlink"/><Relationship TargetMode="External" Target="http://www.senado.gov.br/senado/novocpc/pdf/Anteprojeto.pdf" Id="docRId132" Type="http://schemas.openxmlformats.org/officeDocument/2006/relationships/hyperlink"/><Relationship Target="embeddings/oleObject8.bin" Id="docRId16" Type="http://schemas.openxmlformats.org/officeDocument/2006/relationships/oleObject"/><Relationship TargetMode="External" Target="http://www.fsba.edu.br/dialogospossiveis/artigos/10/09.pdf" Id="docRId241" Type="http://schemas.openxmlformats.org/officeDocument/2006/relationships/hyperlink"/><Relationship TargetMode="External" Target="http://www.unifesp.br/dpsicobio/cebrid/lev_domiciliar2005/index.htm" Id="docRId181" Type="http://schemas.openxmlformats.org/officeDocument/2006/relationships/hyperlink"/><Relationship TargetMode="External" Target="http://www.utp.br/psico.utp.online/site3/index.htm" Id="docRId201" Type="http://schemas.openxmlformats.org/officeDocument/2006/relationships/hyperlink"/><Relationship TargetMode="External" Target="http://www.anped.org.br/reunioes/28/textos/gt07/gt07945int.rtf" Id="docRId232" Type="http://schemas.openxmlformats.org/officeDocument/2006/relationships/hyperlink"/><Relationship Target="media/image3.wmf" Id="docRId7" Type="http://schemas.openxmlformats.org/officeDocument/2006/relationships/image"/><Relationship TargetMode="External" Target="http://www.scielo.br/pdf/ciedu/v14n3/a04v14n3.pdf" Id="docRId114" Type="http://schemas.openxmlformats.org/officeDocument/2006/relationships/hyperlink"/><Relationship Target="embeddings/oleObject12.bin" Id="docRId34" Type="http://schemas.openxmlformats.org/officeDocument/2006/relationships/oleObject"/><Relationship TargetMode="External" Target="http://www.mariaritakehl.psc.br/resultado.php?id=43" Id="docRId47" Type="http://schemas.openxmlformats.org/officeDocument/2006/relationships/hyperlink"/><Relationship TargetMode="External" Target="http://www.fazendogenero7.ufsc.br/artigos/C/Carla_Silva_58.pdf" Id="docRId55" Type="http://schemas.openxmlformats.org/officeDocument/2006/relationships/hyperlink"/><Relationship Target="embeddings/oleObject17.bin" Id="docRId62" Type="http://schemas.openxmlformats.org/officeDocument/2006/relationships/oleObject"/><Relationship Target="embeddings/oleObject20.bin" Id="docRId83" Type="http://schemas.openxmlformats.org/officeDocument/2006/relationships/oleObject"/><Relationship TargetMode="External" Target="http://pt.wikipedia.org/wiki/Estado_de_Santa_Catarina" Id="docRId137" Type="http://schemas.openxmlformats.org/officeDocument/2006/relationships/hyperlink"/><Relationship TargetMode="External" Target="http://www.anped.org.br/reunioes/28/textos/gt07/gt07945int.rtf" Id="docRId246" Type="http://schemas.openxmlformats.org/officeDocument/2006/relationships/hyperlink"/><Relationship Target="embeddings/oleObject0.bin" Id="docRId0" Type="http://schemas.openxmlformats.org/officeDocument/2006/relationships/oleObject"/><Relationship Target="embeddings/oleObject34.bin" Id="docRId194" Type="http://schemas.openxmlformats.org/officeDocument/2006/relationships/oleObject"/><Relationship TargetMode="External" Target="http://www.scielo.br/pdf/cp/v34n121/a05n121.pdf" Id="docRId223" Type="http://schemas.openxmlformats.org/officeDocument/2006/relationships/hyperlink"/><Relationship TargetMode="External" Target="http://www.efdeportes.com/" Id="docRId29" Type="http://schemas.openxmlformats.org/officeDocument/2006/relationships/hyperlink"/><Relationship TargetMode="External" Target="http://www1.folha.uol.com.br/mercado/802639-mesmo-pos-graduadas-mulheres-ganham-ate-51-menos-que-homens.shtml" Id="docRId111" Type="http://schemas.openxmlformats.org/officeDocument/2006/relationships/hyperlink"/><Relationship TargetMode="External" Target="http://www.ibge.gov.br/home/presidencia/noticias/noticia" Id="docRId140" Type="http://schemas.openxmlformats.org/officeDocument/2006/relationships/hyperlink"/><Relationship TargetMode="External" Target="http://www.abep.nepo.unicamp.br/docs/anais/pdf/1982/T82V1A002.pdf" Id="docRId178" Type="http://schemas.openxmlformats.org/officeDocument/2006/relationships/hyperlink"/><Relationship TargetMode="External" Target="http://www.cartamaior.com.br/templates/postMostrar.cfm?blog_id=1&amp;amp;post_id=192" Id="docRId40" Type="http://schemas.openxmlformats.org/officeDocument/2006/relationships/hyperlink"/><Relationship Target="media/image19.wmf" Id="docRId67" Type="http://schemas.openxmlformats.org/officeDocument/2006/relationships/image"/><Relationship Target="media/image20.wmf" Id="docRId84" Type="http://schemas.openxmlformats.org/officeDocument/2006/relationships/image"/><Relationship TargetMode="External" Target="http://200.130.7.5/spmu/docs/integra_publ_lourdes_bandeira.pdf" Id="docRId138" Type="http://schemas.openxmlformats.org/officeDocument/2006/relationships/hyperlink"/><Relationship Target="embeddings/oleObject9.bin" Id="docRId18" Type="http://schemas.openxmlformats.org/officeDocument/2006/relationships/oleObject"/><Relationship TargetMode="External" Target="http://www.afrol.com/es/Categorias/Mujeres/especial_muj_internet.htm" Id="docRId109" Type="http://schemas.openxmlformats.org/officeDocument/2006/relationships/hyperlink"/><Relationship Target="media/image32.wmf" Id="docRId191" Type="http://schemas.openxmlformats.org/officeDocument/2006/relationships/image"/><Relationship TargetMode="External" Target="http://meuartigo.brasilescola.com/brasil/agricultoras-familiares-reforma-agraria.htm" Id="docRId214" Type="http://schemas.openxmlformats.org/officeDocument/2006/relationships/hyperlink"/><Relationship TargetMode="External" Target="http://www.arq.ufsc.br/arq5625/modulo2modernidade/manifestos/manifestoregionalista.htm.%20Acessado%20em%2028.05.2010" Id="docRId224" Type="http://schemas.openxmlformats.org/officeDocument/2006/relationships/hyperlink"/><Relationship TargetMode="External" Target="http://www.cofef.gov.br/" Id="docRId26" Type="http://schemas.openxmlformats.org/officeDocument/2006/relationships/hyperlink"/><Relationship Target="styles.xml" Id="docRId249" Type="http://schemas.openxmlformats.org/officeDocument/2006/relationships/styles"/><Relationship TargetMode="External" Target="http://www.posgrap.ufs.br/periodicos/revista_forum_identidades/revistas/ARQ_FORUM_IN" Id="docRId73" Type="http://schemas.openxmlformats.org/officeDocument/2006/relationships/hyperlink"/><Relationship Target="embeddings/oleObject31.bin" Id="docRId126" Type="http://schemas.openxmlformats.org/officeDocument/2006/relationships/oleObject"/><Relationship Target="media/image26.wmf" Id="docRId104" Type="http://schemas.openxmlformats.org/officeDocument/2006/relationships/image"/><Relationship TargetMode="External" Target="http://www.tede.ufsc.br/teses/PDPC0627.pdf" Id="docRId152" Type="http://schemas.openxmlformats.org/officeDocument/2006/relationships/hyperlink"/><Relationship TargetMode="External" Target="http://www.mj.gov.br/depen" Id="docRId165" Type="http://schemas.openxmlformats.org/officeDocument/2006/relationships/hyperlink"/><Relationship TargetMode="External" Target="http://pfdc.pgr.mpf.gov.br/clipping/novembro-2008/maus-tratos-em-presidio-feminino-e-discutido-na-al/" Id="docRId177" Type="http://schemas.openxmlformats.org/officeDocument/2006/relationships/hyperlink"/><Relationship TargetMode="External" Target="http://legislacao.planalto.gov.br/legisla/legislacao.nsf/Viw_Identificacao/lei%2010.224-2001?OpenDocument" Id="docRId23" Type="http://schemas.openxmlformats.org/officeDocument/2006/relationships/hyperlink"/><Relationship TargetMode="External" Target="http://www.fundaj.gov.br/tpd/130.html.%20%FAltimo%20acesso%20em%2028/01/2007" Id="docRId91" Type="http://schemas.openxmlformats.org/officeDocument/2006/relationships/hyperlink"/><Relationship Target="media/image7.wmf" Id="docRId15" Type="http://schemas.openxmlformats.org/officeDocument/2006/relationships/image"/><Relationship TargetMode="External" Target="http://www.ipea.gov.br/sites/000/2/pdf/081216_retrato_3_edicao.pdfHYPERLINK%20%22http://www.ipea.gov.br/sites/000/2/pdf/081216_retrato_3_edicao.pdf%22%3E" Id="docRId76" Type="http://schemas.openxmlformats.org/officeDocument/2006/relationships/hyperlink"/><Relationship TargetMode="External" Target="http://turandot.dieese.org.br/icv/TabelaPed?tabela=14" Id="docRId184" Type="http://schemas.openxmlformats.org/officeDocument/2006/relationships/hyperlink"/><Relationship TargetMode="External" Target="http://www.rea.pt/transgenderismo.html" Id="docRId206" Type="http://schemas.openxmlformats.org/officeDocument/2006/relationships/hyperlink"/><Relationship TargetMode="External" Target="http://www.fazendogenero8.ufsc.br/sts/ST10/Daniela_Finco10.pdf" Id="docRId231" Type="http://schemas.openxmlformats.org/officeDocument/2006/relationships/hyperlink"/><Relationship TargetMode="External" Target="mailto:erikaoamorim@hotmail.com" Id="docRId119" Type="http://schemas.openxmlformats.org/officeDocument/2006/relationships/hyperlink"/><Relationship TargetMode="External" Target="http://www.clicrbs.com.br/especial/rs/portal-social/19%2C0%2C2728460%2CPobreza-atinge-mais-as-mulheres-e-criancas-na-America-Latina.html" Id="docRId157" Type="http://schemas.openxmlformats.org/officeDocument/2006/relationships/hyperlink"/><Relationship TargetMode="External" Target="http://www.observatoriodeseguranca.org/files/Conclusoes_III_Encontro.pdf" Id="docRId170" Type="http://schemas.openxmlformats.org/officeDocument/2006/relationships/hyperlink"/><Relationship Target="media/image13.wmf" Id="docRId37" Type="http://schemas.openxmlformats.org/officeDocument/2006/relationships/image"/><Relationship TargetMode="External" Target="http://cappf.org.br/" Id="docRId50" Type="http://schemas.openxmlformats.org/officeDocument/2006/relationships/hyperlink"/><Relationship Target="embeddings/oleObject5.bin" Id="docRId10" Type="http://schemas.openxmlformats.org/officeDocument/2006/relationships/oleObject"/><Relationship TargetMode="External" Target="http://odia.terra.com.br/home/pagina_geral.asp" Id="docRId130" Type="http://schemas.openxmlformats.org/officeDocument/2006/relationships/hyperlink"/><Relationship TargetMode="External" Target="http://www.scielo.br/scielo.php?script=sci_arttext&amp;pid=S0080-62342004000200011" Id="docRId243" Type="http://schemas.openxmlformats.org/officeDocument/2006/relationships/hyperlink"/><Relationship TargetMode="External" Target="http://pt.wikipedia.org/wiki/O_Que_%C3%A9_Ideologia" Id="docRId79" Type="http://schemas.openxmlformats.org/officeDocument/2006/relationships/hyperlink"/><Relationship TargetMode="External" Target="http://www.scielo.br/pdf/cp/n117/15555.pdf" Id="docRId128" Type="http://schemas.openxmlformats.org/officeDocument/2006/relationships/hyperlink"/><Relationship TargetMode="External" Target="http://www.scielo.br/pdf/ref/v14n2/a12v14n2.pdf" Id="docRId203" Type="http://schemas.openxmlformats.org/officeDocument/2006/relationships/hyperlink"/><Relationship Target="media/image2.wmf" Id="docRId5" Type="http://schemas.openxmlformats.org/officeDocument/2006/relationships/image"/><Relationship TargetMode="External" Target="http://www.unb.br/noticias/unbagencia/artigo.php?id=299" Id="docRId116" Type="http://schemas.openxmlformats.org/officeDocument/2006/relationships/hyperlink"/><Relationship TargetMode="External" Target="http://www4.pucsp.br/rever/rv1_2002/p_lacell.pdf" Id="docRId121" Type="http://schemas.openxmlformats.org/officeDocument/2006/relationships/hyperlink"/><Relationship TargetMode="External" Target="http://ged.feevale.br/bibvirtual/Monografia/MonografiaAngelaMasotti.pdf" Id="docRId143" Type="http://schemas.openxmlformats.org/officeDocument/2006/relationships/hyperlink"/><Relationship TargetMode="External" Target="http://www.fazendogenero8.ufsc.br/sts/ST10/Silveira-Souza_10.pdf" Id="docRId235" Type="http://schemas.openxmlformats.org/officeDocument/2006/relationships/hyperlink"/><Relationship TargetMode="External" Target="http://www.sepm.gov.br/sobre" Id="docRId32" Type="http://schemas.openxmlformats.org/officeDocument/2006/relationships/hyperlink"/><Relationship TargetMode="External" Target="http://contardocalligaris.blogspot.com/2000/06/o" Id="docRId45" Type="http://schemas.openxmlformats.org/officeDocument/2006/relationships/hyperlink"/><Relationship Target="media/image14.wmf" Id="docRId57" Type="http://schemas.openxmlformats.org/officeDocument/2006/relationships/image"/><Relationship Target="embeddings/oleObject18.bin" Id="docRId64" Type="http://schemas.openxmlformats.org/officeDocument/2006/relationships/oleObject"/><Relationship TargetMode="External" Target="http://www.prt12.mpt.gov.br/enfoque04/art_bomfim.htm" Id="docRId81" Type="http://schemas.openxmlformats.org/officeDocument/2006/relationships/hyperlink"/><Relationship TargetMode="External" Target="http://www.fae.ufmg.br/portalmineiro/porta" Id="docRId135" Type="http://schemas.openxmlformats.org/officeDocument/2006/relationships/hyperlink"/><Relationship TargetMode="External" Target="http://www.tre-sc.sc.gov.br/" Id="docRId196" Type="http://schemas.openxmlformats.org/officeDocument/2006/relationships/hyperlink"/><Relationship TargetMode="External" Target="http://www.clubjus.com.br/?artigos&amp;ver=2.11583" Id="docRId208" Type="http://schemas.openxmlformats.org/officeDocument/2006/relationships/hyperlink"/><Relationship TargetMode="External" Target="http://www.ipea.gov.br/pub/bcmt/mt_25e.pdf" Id="docRId217" Type="http://schemas.openxmlformats.org/officeDocument/2006/relationships/hyperlink"/><Relationship TargetMode="External" Target="http://agencia.ipea.gov.br/images/stories/PDFs/100308_comu40mulheres.pdf" Id="docRId221" Type="http://schemas.openxmlformats.org/officeDocument/2006/relationships/hyperlink"/><Relationship TargetMode="External" Target="http://www.ilo.org/wcmsp5/groups/public/---ed_protect/---protrav/" Id="docRId99" Type="http://schemas.openxmlformats.org/officeDocument/2006/relationships/hyperlink"/><Relationship TargetMode="External" Target="http://www.planalto.gov.br/ccivil/leis/L9100.htm" Id="docRId113" Type="http://schemas.openxmlformats.org/officeDocument/2006/relationships/hyperlink"/><Relationship TargetMode="External" Target="http://www.pfizer.com.br/arquivoPdf/DepoProvera50.pdf" Id="docRId146" Type="http://schemas.openxmlformats.org/officeDocument/2006/relationships/hyperlink"/><Relationship TargetMode="External" Target="http://sitemason.vanderbilt.edu/files/gm2ypk/torres%20maximiliano.pdf" Id="docRId69" Type="http://schemas.openxmlformats.org/officeDocument/2006/relationships/hyperlink"/><Relationship Target="media/image30.wmf" Id="docRId125" Type="http://schemas.openxmlformats.org/officeDocument/2006/relationships/image"/><Relationship TargetMode="External" Target="http://www.anped.org.br/reunioes/28/textos/ge23/ge231085int.doc" Id="docRId239" Type="http://schemas.openxmlformats.org/officeDocument/2006/relationships/hyperlink"/><Relationship Target="embeddings/oleObject28.bin" Id="docRId107" Type="http://schemas.openxmlformats.org/officeDocument/2006/relationships/oleObject"/><Relationship TargetMode="External" Target="http://www.observatoriodeseguranca.org/files/Conclusoes_III_Encontro.pdf" Id="docRId160" Type="http://schemas.openxmlformats.org/officeDocument/2006/relationships/hyperlink"/><Relationship Target="media/image33.wmf" Id="docRId193" Type="http://schemas.openxmlformats.org/officeDocument/2006/relationships/image"/><Relationship Target="embeddings/oleObject10.bin" Id="docRId20" Type="http://schemas.openxmlformats.org/officeDocument/2006/relationships/oleObject"/><Relationship TargetMode="External" Target="http://www.direitonet.com.br/artigos/exibir/2965" Id="docRId212" Type="http://schemas.openxmlformats.org/officeDocument/2006/relationships/hyperlink"/><Relationship Target="embeddings/oleObject15.bin" Id="docRId58" Type="http://schemas.openxmlformats.org/officeDocument/2006/relationships/oleObject"/><Relationship TargetMode="External" Target="http://www.scielosp.org/scielo.php?pid=S1415-790X1998000200006&amp;script=sci_arttext" Id="docRId94" Type="http://schemas.openxmlformats.org/officeDocument/2006/relationships/hyperlink"/><Relationship TargetMode="External" Target="http://www.scielo.br/" Id="docRId149" Type="http://schemas.openxmlformats.org/officeDocument/2006/relationships/hyperlink"/><Relationship TargetMode="External" Target="http://www.unifem.org.br/sites/700/710/00000690.pdf" Id="docRId71" Type="http://schemas.openxmlformats.org/officeDocument/2006/relationships/hyperlink"/><Relationship TargetMode="External" Target="mailto:louisefiuza@ufv.br" Id="docRId120" Type="http://schemas.openxmlformats.org/officeDocument/2006/relationships/hyperlink"/><Relationship TargetMode="External" Target="http://www2.pucpr.br/reol/index.php/PA?dd1=447&amp;dd99=view" Id="docRId187" Type="http://schemas.openxmlformats.org/officeDocument/2006/relationships/hyperlink"/><Relationship TargetMode="External" Target="http://www.scielo.br/pdf/ref/v9n2/8638.pdf" Id="docRId234" Type="http://schemas.openxmlformats.org/officeDocument/2006/relationships/hyperlink"/><Relationship Target="media/image25.wmf" Id="docRId102" Type="http://schemas.openxmlformats.org/officeDocument/2006/relationships/image"/><Relationship TargetMode="External" Target="http://conexaoto.com.br/noticia/mulheres-sao-presas-junto-com-homens-ha-%20anos-diz-pastoral/957" Id="docRId154" Type="http://schemas.openxmlformats.org/officeDocument/2006/relationships/hyperlink"/><Relationship TargetMode="External" Target="http://www.eunanet.net/beth/revistazap/topicos/%20umentocrime1.htm" Id="docRId167" Type="http://schemas.openxmlformats.org/officeDocument/2006/relationships/hyperlink"/><Relationship TargetMode="External" Target="http://g1.globo.com/Noticias/Brasil/0%2C%2CMUL751484-5598%2C0-BRASIL%2BTEM%2BMAIS%2BDE%2B%20MIL%2BMULHERES%2BPRESAS.html" Id="docRId175" Type="http://schemas.openxmlformats.org/officeDocument/2006/relationships/hyperlink"/><Relationship TargetMode="External" Target="http://www.todaformadeamor.com.br/v2/artigo.php?id=120" Id="docRId198" Type="http://schemas.openxmlformats.org/officeDocument/2006/relationships/hyperlink"/><Relationship Target="embeddings/oleObject23.bin" Id="docRId89" Type="http://schemas.openxmlformats.org/officeDocument/2006/relationships/oleObject"/><Relationship TargetMode="External" Target="http://www.abep.nepo.unicamp.br/docs/anais/outros/FamPolPublicas/AnitaKon.pdf" Id="docRId93" Type="http://schemas.openxmlformats.org/officeDocument/2006/relationships/hyperlink"/><Relationship Target="media/image8.wmf" Id="docRId17" Type="http://schemas.openxmlformats.org/officeDocument/2006/relationships/image"/><Relationship TargetMode="External" Target="http://www.ichs.ufop.br/conifes/anais/EDU/edu0204.htm" Id="docRId240" Type="http://schemas.openxmlformats.org/officeDocument/2006/relationships/hyperlink"/><Relationship TargetMode="External" Target="http://vsistes.unb.br/ics/dan/serie284emppdf.pdf" Id="docRId74" Type="http://schemas.openxmlformats.org/officeDocument/2006/relationships/hyperlink"/><Relationship TargetMode="External" Target="http://www.obid.senad.gov.br/portais/OBID/index.php" Id="docRId182" Type="http://schemas.openxmlformats.org/officeDocument/2006/relationships/hyperlink"/><Relationship TargetMode="External" Target="http://www.ambito-juridico.com.br/site/index.php?n_link=revista_artigos_leitura&amp;artigo_id=4412" Id="docRId200" Type="http://schemas.openxmlformats.org/officeDocument/2006/relationships/hyperlink"/><Relationship TargetMode="External" Target="http://www.ssrevista.uel.br/cv3n2genero.htm" Id="docRId229" Type="http://schemas.openxmlformats.org/officeDocument/2006/relationships/hyperlink"/><Relationship TargetMode="External" Target="http://www.scielo.br/scielo.php?script=sci_arttext&amp;pid" Id="docRId233" Type="http://schemas.openxmlformats.org/officeDocument/2006/relationships/hyperlink"/><Relationship Target="embeddings/oleObject3.bin" Id="docRId6" Type="http://schemas.openxmlformats.org/officeDocument/2006/relationships/oleObject"/><Relationship TargetMode="External" Target="http://g1.globo.com/Noticias/Brasil/0%2C%2CMUL751484-5598%2C00-BRASIL%2BTEM%2BMAIS%2B%20DE%2BMIL%2BMULHERES%2BPRESAS.html" Id="docRId159" Type="http://schemas.openxmlformats.org/officeDocument/2006/relationships/hyperlink"/><Relationship TargetMode="External" Target="http://www.ibge.gov.br/home/estatistica/indicadores/trabalhoerendimento/pme_nova/Mulher_Mercado_Trabalho_Perg_Resp.pdf" Id="docRId218" Type="http://schemas.openxmlformats.org/officeDocument/2006/relationships/hyperlink"/><Relationship Target="media/image12.wmf" Id="docRId35" Type="http://schemas.openxmlformats.org/officeDocument/2006/relationships/image"/><Relationship TargetMode="External" Target="http://www.intervozes.org.br/destaque-2" Id="docRId46" Type="http://schemas.openxmlformats.org/officeDocument/2006/relationships/hyperlink"/><Relationship TargetMode="External" Target="http://www.scielosp.org/" Id="docRId52" Type="http://schemas.openxmlformats.org/officeDocument/2006/relationships/hyperlink"/><Relationship Target="media/image16.wmf" Id="docRId61" Type="http://schemas.openxmlformats.org/officeDocument/2006/relationships/image"/><Relationship TargetMode="External" Target="http://www.espacoacademico.com.br/065/65rattner.htm" Id="docRId82" Type="http://schemas.openxmlformats.org/officeDocument/2006/relationships/hyperlink"/><Relationship Target="embeddings/oleObject6.bin" Id="docRId12" Type="http://schemas.openxmlformats.org/officeDocument/2006/relationships/oleObject"/><Relationship TargetMode="External" Target="http://translate.google.com.br/" Id="docRId136" Type="http://schemas.openxmlformats.org/officeDocument/2006/relationships/hyperlink"/><Relationship TargetMode="External" Target="http://grupo4te.com.sapo.pt/estudo_caso.pdf" Id="docRId245" Type="http://schemas.openxmlformats.org/officeDocument/2006/relationships/hyperlink"/><Relationship TargetMode="External" Target="http://www.eunanet.net/beth/revistazap/topicos/%20umentocrime1.htm" Id="docRId168" Type="http://schemas.openxmlformats.org/officeDocument/2006/relationships/hyperlink"/><Relationship TargetMode="External" Target="http://bdjur.stj.gov.br/xmlui/bitstream/handle/2011/18204/H%c3%a1_Igualdade_na_Desigualdade.pdf?sequence=4" Id="docRId222" Type="http://schemas.openxmlformats.org/officeDocument/2006/relationships/hyperlink"/><Relationship TargetMode="External" Target="http://www.mte.gov.br/" Id="docRId28" Type="http://schemas.openxmlformats.org/officeDocument/2006/relationships/hyperlink"/><Relationship Target="media/image1.wmf" Id="docRId3" Type="http://schemas.openxmlformats.org/officeDocument/2006/relationships/image"/><Relationship TargetMode="External" Target="http://www.cgee.org.br/atividades/redirect.php?idProduto=6401" Id="docRId110" Type="http://schemas.openxmlformats.org/officeDocument/2006/relationships/hyperlink"/><Relationship TargetMode="External" Target="http://www.usp.br/eef/rbefe/v19n22005/v19n2p143.pdf" Id="docRId141" Type="http://schemas.openxmlformats.org/officeDocument/2006/relationships/hyperlink"/><Relationship Target="embeddings/oleObject11.bin" Id="docRId30" Type="http://schemas.openxmlformats.org/officeDocument/2006/relationships/oleObject"/><Relationship TargetMode="External" Target="http://www.mariaritakehl.psc.br/resultado.php?id=43" Id="docRId43" Type="http://schemas.openxmlformats.org/officeDocument/2006/relationships/hyperlink"/><Relationship Target="embeddings/oleObject19.bin" Id="docRId66" Type="http://schemas.openxmlformats.org/officeDocument/2006/relationships/oleObject"/><Relationship Target="embeddings/oleObject22.bin" Id="docRId87" Type="http://schemas.openxmlformats.org/officeDocument/2006/relationships/oleObject"/><Relationship Target="media/image9.wmf" Id="docRId19" Type="http://schemas.openxmlformats.org/officeDocument/2006/relationships/image"/><Relationship TargetMode="External" Target="http://scholar.google.com.br/scholar?start=0&amp;q=author:" Id="docRId188" Type="http://schemas.openxmlformats.org/officeDocument/2006/relationships/hyperlink"/><Relationship Target="embeddings/oleObject32.bin" Id="docRId190" Type="http://schemas.openxmlformats.org/officeDocument/2006/relationships/oleObject"/><Relationship TargetMode="External" Target="http://www2.fpa.org.br/portal/modules/news/article.php?storyid=846" Id="docRId215" Type="http://schemas.openxmlformats.org/officeDocument/2006/relationships/hyperlink"/><Relationship TargetMode="External" Target="http://biblioteca.universia.net/irARecurso.do?page=000537801&amp;id=38068040" Id="docRId227" Type="http://schemas.openxmlformats.org/officeDocument/2006/relationships/hyperlink"/><Relationship TargetMode="External" Target="http://conselho.saude.gov.br/" Id="docRId25" Type="http://schemas.openxmlformats.org/officeDocument/2006/relationships/hyperlink"/><Relationship TargetMode="External" Target="http://www.efdeportes.com/efd103/genero.htm" Id="docRId144" Type="http://schemas.openxmlformats.org/officeDocument/2006/relationships/hyperlink"/><Relationship Target="numbering.xml" Id="docRId248" Type="http://schemas.openxmlformats.org/officeDocument/2006/relationships/numbering"/><Relationship Target="media/image31.wmf" Id="docRId127" Type="http://schemas.openxmlformats.org/officeDocument/2006/relationships/image"/><Relationship Target="embeddings/oleObject27.bin" Id="docRId105" Type="http://schemas.openxmlformats.org/officeDocument/2006/relationships/oleObject"/><Relationship TargetMode="External" Target="http://obviousmag.org/archives/2008/10/publicidade_higiene.html" Id="docRId151" Type="http://schemas.openxmlformats.org/officeDocument/2006/relationships/hyperlink"/><Relationship TargetMode="External" Target="http://pfdc.pgr.mpf.gov.br/clipping/novembro-2008/maus-tratos-em-presidio-feminino-e-discutido-na-al/" Id="docRId162" Type="http://schemas.openxmlformats.org/officeDocument/2006/relationships/hyperlink"/><Relationship TargetMode="External" Target="http://pfdc.pgr.mpf.gov.br/clipping/novembro-2008/maus-tratos-em-presidio-feminino-e-discutido-na-al/" Id="docRId176" Type="http://schemas.openxmlformats.org/officeDocument/2006/relationships/hyperlink"/><Relationship TargetMode="External" Target="http://www.scielo.br/scielo.php?script=sci_arttext&amp;pid=S0103-73312009000100003" Id="docRId210" Type="http://schemas.openxmlformats.org/officeDocument/2006/relationships/hyperlink"/><Relationship TargetMode="External" Target="http://www.efdeportes.com/" Id="docRId22" Type="http://schemas.openxmlformats.org/officeDocument/2006/relationships/hyperlink"/><Relationship Target="media/image4.wmf" Id="docRId9" Type="http://schemas.openxmlformats.org/officeDocument/2006/relationships/image"/><Relationship Target="embeddings/oleObject24.bin" Id="docRId96" Type="http://schemas.openxmlformats.org/officeDocument/2006/relationships/oleObject"/><Relationship TargetMode="External" Target="http://epoca.globo.com/edic/20010226/soci6a.htm" Id="docRId49" Type="http://schemas.openxmlformats.org/officeDocument/2006/relationships/hyperlink"/><Relationship TargetMode="External" Target="http://www.dhnet.org.br/direitos/textos/generodh/gen_categoria.html" Id="docRId77" Type="http://schemas.openxmlformats.org/officeDocument/2006/relationships/hyperlink"/><Relationship Target="embeddings/oleObject29.bin" Id="docRId122" Type="http://schemas.openxmlformats.org/officeDocument/2006/relationships/oleObject"/><Relationship TargetMode="External" Target="http://www.scielo.br/pdf/cp/v37n132/a0537132.pdf" Id="docRId185" Type="http://schemas.openxmlformats.org/officeDocument/2006/relationships/hyperlink"/><Relationship TargetMode="External" Target="http://nucleounisex.org/colunas/a-travesti-fala-de-si-identidade-reinvencao-corporal-e-silicone.html" Id="docRId205" Type="http://schemas.openxmlformats.org/officeDocument/2006/relationships/hyperlink"/><Relationship TargetMode="External" Target="http://www.ced.ufsc.br/~nee0a6/SOUZA.pdf" Id="docRId236" Type="http://schemas.openxmlformats.org/officeDocument/2006/relationships/hyperlink"/><Relationship TargetMode="External" Target="http://www.fen.ufg.br/revista/v11/n2/v11n2a26.htm" Id="docRId100" Type="http://schemas.openxmlformats.org/officeDocument/2006/relationships/hyperlink"/><Relationship TargetMode="External" Target="http://200.130.7.5/spmu/docs/PNPM.pdf" Id="docRId118" Type="http://schemas.openxmlformats.org/officeDocument/2006/relationships/hyperlink"/><Relationship TargetMode="External" Target="http://www.clicrbs.com.br/especial/rs/portal-social/19%2C0%2C2728460%2CPobreza-atinge-mais-as-mulheres-e-criancas-na-America-Latina.html" Id="docRId156" Type="http://schemas.openxmlformats.org/officeDocument/2006/relationships/hyperlink"/><Relationship TargetMode="External" Target="http://conexaoto.com.br/noticia/mulheres-sao-presas-junto-com-homens-ha-anos-diz-pasto%20ral/957" Id="docRId173" Type="http://schemas.openxmlformats.org/officeDocument/2006/relationships/hyperlink"/><Relationship TargetMode="External" Target="http://www.clicrbs.com.br/especial/sc/donnadc/19%2C381%2C2894652%2CPor-que-mulher-nao-vota-em-mulher-" Id="docRId38" Type="http://schemas.openxmlformats.org/officeDocument/2006/relationships/hyperlink"/><Relationship TargetMode="External" Target="http://%20hyperlink%20%22http://www.fazendogenero7.ufsc.br/%22www.fazendogenero7.ufsc.br" Id="docRId51" Type="http://schemas.openxmlformats.org/officeDocument/2006/relationships/hyperlink"/><Relationship Target="media/image5.wmf" Id="docRId11" Type="http://schemas.openxmlformats.org/officeDocument/2006/relationships/image"/><Relationship TargetMode="External" Target="http://www.scielo.br/scielo.php?script=sci_arttext&amp;amp;pid=S1413-" Id="docRId133" Type="http://schemas.openxmlformats.org/officeDocument/2006/relationships/hyperlink"/><Relationship TargetMode="External" Target="http://www.hcnet.usp.br/ipq/revista/vol34/n6/270.html" Id="docRId242" Type="http://schemas.openxmlformats.org/officeDocument/2006/relationships/hyperlink"/><Relationship TargetMode="External" Target="http://pan2007.globo.com/PAN/Noticias/0%2C%2CMUL22636-3853%2C00.html" Id="docRId129" Type="http://schemas.openxmlformats.org/officeDocument/2006/relationships/hyperlink"/><Relationship TargetMode="External" Target="http://www.scielo.br/pdf/his/v24n1/a04v24n1.pdf" Id="docRId180" Type="http://schemas.openxmlformats.org/officeDocument/2006/relationships/hyperlink"/><Relationship TargetMode="External" Target="http://www.ufpe.br/revistaanthropologicas/internas/volume15(1)/Artigo%205.pdf" Id="docRId202" Type="http://schemas.openxmlformats.org/officeDocument/2006/relationships/hyperlink"/><Relationship Target="embeddings/oleObject2.bin" Id="docRId4" Type="http://schemas.openxmlformats.org/officeDocument/2006/relationships/oleObject"/><Relationship TargetMode="External" Target="http://www.museudocomputador.com.br/" Id="docRId115" Type="http://schemas.openxmlformats.org/officeDocument/2006/relationships/hyperlink"/><Relationship TargetMode="External" Target="http://www.eclac.cl/publicaciones/xml/9/40129/Que_Estado_Que_igualdade.pdf" Id="docRId33" Type="http://schemas.openxmlformats.org/officeDocument/2006/relationships/hyperlink"/><Relationship TargetMode="External" Target="http://www.mariaritakehl.psc.br/resultado.php?id=43" Id="docRId44" Type="http://schemas.openxmlformats.org/officeDocument/2006/relationships/hyperlink"/><Relationship TargetMode="External" Target="http://www.scielo.br/" Id="docRId54" Type="http://schemas.openxmlformats.org/officeDocument/2006/relationships/hyperlink"/><Relationship Target="media/image17.wmf" Id="docRId63" Type="http://schemas.openxmlformats.org/officeDocument/2006/relationships/image"/><Relationship TargetMode="External" Target="http://www.igassu.com.br/" Id="docRId80" Type="http://schemas.openxmlformats.org/officeDocument/2006/relationships/hyperlink"/><Relationship TargetMode="External" Target="http://www.scielo.br/scielo.php?script=sci_arttext&amp;amp;pid=S1413-" Id="docRId134" Type="http://schemas.openxmlformats.org/officeDocument/2006/relationships/hyperlink"/><Relationship TargetMode="External" Target="http://www.chiquinhagonzaga.com.br/" Id="docRId247" Type="http://schemas.openxmlformats.org/officeDocument/2006/relationships/hyperlink"/><Relationship Target="media/image0.wmf" Id="docRId1" Type="http://schemas.openxmlformats.org/officeDocument/2006/relationships/image"/><Relationship Target="media/image34.wmf" Id="docRId195" Type="http://schemas.openxmlformats.org/officeDocument/2006/relationships/image"/><Relationship TargetMode="External" Target="http://ww2.prefeitura.sp.gov.br//cidadania/conselhos_e_coordenadorias/coordenadoria_da_mulher/Politicas_Genero_2.pdf" Id="docRId220" Type="http://schemas.openxmlformats.org/officeDocument/2006/relationships/hyperlink"/><Relationship TargetMode="External" Target="http://revista.ibict.br/pbcib/index.php/pbcib/article/view/679" Id="docRId112" Type="http://schemas.openxmlformats.org/officeDocument/2006/relationships/hyperlink"/><Relationship TargetMode="External" Target="http://eduep.uepb.edu.br/alpharrabios/v2-%20n1/pdf/IDENTIDADE_E_GENERO_EM_ESPERANCA.pdf" Id="docRId147" Type="http://schemas.openxmlformats.org/officeDocument/2006/relationships/hyperlink"/><Relationship TargetMode="External" Target="http://www.foncaij.org/dwnld/ac_apoio/artigos_doutrinarios/outros%20/novos_arranjos_familiares.pdf" Id="docRId179" Type="http://schemas.openxmlformats.org/officeDocument/2006/relationships/hyperlink"/><Relationship TargetMode="External" Target="http://contardocalligaris.blogspot.com/2000/06/o-insustentvel-peso" Id="docRId41" Type="http://schemas.openxmlformats.org/officeDocument/2006/relationships/hyperlink"/><Relationship TargetMode="External" Target="http://www.scielo.br/scielo.php?script=sci_arttext&amp;pid=S0103-4014199100001000010&amp;ing=pt&amp;nrm=iso" Id="docRId68" Type="http://schemas.openxmlformats.org/officeDocument/2006/relationships/hyperlink"/><Relationship Target="embeddings/oleObject21.bin" Id="docRId85" Type="http://schemas.openxmlformats.org/officeDocument/2006/relationships/oleObject"/><Relationship TargetMode="External" Target="http://www.mulheresnobrasil.org.br/pdf/PMB_Cap3.pdfHYPERLINK%20%22http://www.mulheresnobrasil.org.br/pdf/PMB_Cap3.pdf%22." Id="docRId139" Type="http://schemas.openxmlformats.org/officeDocument/2006/relationships/hyperlink"/><Relationship Target="media/image28.wmf" Id="docRId108" Type="http://schemas.openxmlformats.org/officeDocument/2006/relationships/image"/><Relationship TargetMode="External" Target="http://pfdc.pgr.mpf.gov.br/clipping/novembro-2008/maus-tratos-em-presidio-feminino-e-discutido-na-al/" Id="docRId161" Type="http://schemas.openxmlformats.org/officeDocument/2006/relationships/hyperlink"/><Relationship Target="embeddings/oleObject33.bin" Id="docRId192" Type="http://schemas.openxmlformats.org/officeDocument/2006/relationships/oleObject"/><Relationship TargetMode="External" Target="http://www.proec.ufg.br/revista_ufg/agro/L15_genero.html" Id="docRId213" Type="http://schemas.openxmlformats.org/officeDocument/2006/relationships/hyperlink"/><Relationship TargetMode="External" Target="http://www.heloisabuarquedehollanda.com.br/?p=680&amp;cat=8" Id="docRId225" Type="http://schemas.openxmlformats.org/officeDocument/2006/relationships/hyperlink"/><Relationship TargetMode="External" Target="http://www.ibge.gov.br/home/presidencia/noticias/noticia_impressao.php?id_noticia=1099" Id="docRId27" Type="http://schemas.openxmlformats.org/officeDocument/2006/relationships/hyperlink"/><Relationship Target="media/image15.wmf" Id="docRId59" Type="http://schemas.openxmlformats.org/officeDocument/2006/relationships/image"/><Relationship TargetMode="External" Target="http://sistema.clam.org.br/biblioteca/files/Genero%20-%20Joan%20Scott%5b1%5d.pdf" Id="docRId95" Type="http://schemas.openxmlformats.org/officeDocument/2006/relationships/hyperlink"/><Relationship TargetMode="External" Target="http://www.geledes.org.br/" Id="docRId72" Type="http://schemas.openxmlformats.org/officeDocument/2006/relationships/hyperlink"/></Relationships>
</file>