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71796" w:rsidRPr="001E2C63" w:rsidTr="00505E82">
        <w:tc>
          <w:tcPr>
            <w:tcW w:w="6771" w:type="dxa"/>
            <w:shd w:val="clear" w:color="auto" w:fill="auto"/>
          </w:tcPr>
          <w:p w:rsidR="00771796" w:rsidRPr="0088415B" w:rsidRDefault="00771796" w:rsidP="00505E82">
            <w:pPr>
              <w:spacing w:line="240" w:lineRule="auto"/>
              <w:rPr>
                <w:rFonts w:ascii="Times New Roman" w:eastAsia="Arial" w:hAnsi="Times New Roman"/>
                <w:sz w:val="24"/>
                <w:szCs w:val="24"/>
              </w:rPr>
            </w:pPr>
            <w:r w:rsidRPr="001E2C63">
              <w:rPr>
                <w:rFonts w:ascii="Times New Roman" w:hAnsi="Times New Roman"/>
                <w:sz w:val="24"/>
                <w:szCs w:val="24"/>
              </w:rPr>
              <w:t>Nome</w:t>
            </w:r>
            <w:r w:rsidRPr="0088415B">
              <w:rPr>
                <w:rFonts w:ascii="Times New Roman" w:eastAsia="Arial" w:hAnsi="Times New Roman"/>
                <w:sz w:val="24"/>
                <w:szCs w:val="24"/>
              </w:rPr>
              <w:t xml:space="preserve"> Penetras no “Clube do</w:t>
            </w:r>
            <w:r w:rsidRPr="0088415B">
              <w:rPr>
                <w:rFonts w:ascii="Times New Roman" w:eastAsia="Arial" w:hAnsi="Times New Roman"/>
                <w:spacing w:val="-19"/>
                <w:sz w:val="24"/>
                <w:szCs w:val="24"/>
              </w:rPr>
              <w:t xml:space="preserve"> </w:t>
            </w:r>
            <w:r w:rsidRPr="0088415B">
              <w:rPr>
                <w:rFonts w:ascii="Times New Roman" w:eastAsia="Arial" w:hAnsi="Times New Roman"/>
                <w:sz w:val="24"/>
                <w:szCs w:val="24"/>
              </w:rPr>
              <w:t>Bolinha”:</w:t>
            </w:r>
          </w:p>
          <w:p w:rsidR="00771796" w:rsidRPr="0088415B" w:rsidRDefault="00771796" w:rsidP="00505E82">
            <w:pPr>
              <w:spacing w:line="240" w:lineRule="auto"/>
              <w:rPr>
                <w:rFonts w:ascii="Times New Roman" w:hAnsi="Times New Roman"/>
                <w:sz w:val="24"/>
                <w:szCs w:val="24"/>
                <w:u w:val="single"/>
              </w:rPr>
            </w:pPr>
            <w:r w:rsidRPr="0088415B">
              <w:rPr>
                <w:rFonts w:ascii="Times New Roman" w:hAnsi="Times New Roman"/>
                <w:sz w:val="24"/>
                <w:szCs w:val="24"/>
              </w:rPr>
              <w:t>a carreira política das mulheres na Câmara dos</w:t>
            </w:r>
            <w:r w:rsidRPr="0088415B">
              <w:rPr>
                <w:rFonts w:ascii="Times New Roman" w:hAnsi="Times New Roman"/>
                <w:spacing w:val="-33"/>
                <w:sz w:val="24"/>
                <w:szCs w:val="24"/>
              </w:rPr>
              <w:t xml:space="preserve"> </w:t>
            </w:r>
            <w:r w:rsidRPr="0088415B">
              <w:rPr>
                <w:rFonts w:ascii="Times New Roman" w:hAnsi="Times New Roman"/>
                <w:sz w:val="24"/>
                <w:szCs w:val="24"/>
              </w:rPr>
              <w:t>Deputados</w:t>
            </w:r>
          </w:p>
        </w:tc>
        <w:tc>
          <w:tcPr>
            <w:tcW w:w="1873" w:type="dxa"/>
            <w:vMerge w:val="restart"/>
            <w:shd w:val="clear" w:color="auto" w:fill="auto"/>
          </w:tcPr>
          <w:p w:rsidR="00771796" w:rsidRPr="001E2C63" w:rsidRDefault="00771796" w:rsidP="00505E82">
            <w:pPr>
              <w:spacing w:line="240" w:lineRule="auto"/>
              <w:rPr>
                <w:rFonts w:ascii="Times New Roman" w:hAnsi="Times New Roman"/>
                <w:b/>
                <w:sz w:val="36"/>
                <w:szCs w:val="36"/>
              </w:rPr>
            </w:pPr>
            <w:r w:rsidRPr="001E2C63">
              <w:rPr>
                <w:rFonts w:ascii="Times New Roman" w:hAnsi="Times New Roman"/>
                <w:b/>
                <w:sz w:val="36"/>
                <w:szCs w:val="36"/>
              </w:rPr>
              <w:t>A 001</w:t>
            </w:r>
          </w:p>
          <w:p w:rsidR="00771796" w:rsidRPr="001E2C63" w:rsidRDefault="00771796" w:rsidP="00505E82">
            <w:pPr>
              <w:spacing w:line="240" w:lineRule="auto"/>
              <w:rPr>
                <w:rFonts w:ascii="Times New Roman" w:hAnsi="Times New Roman"/>
                <w:sz w:val="24"/>
                <w:szCs w:val="24"/>
              </w:rPr>
            </w:pPr>
            <w:r w:rsidRPr="001E2C63">
              <w:rPr>
                <w:rFonts w:ascii="Times New Roman" w:hAnsi="Times New Roman"/>
                <w:b/>
                <w:sz w:val="36"/>
                <w:szCs w:val="36"/>
              </w:rPr>
              <w:t>Premiada</w:t>
            </w:r>
          </w:p>
        </w:tc>
      </w:tr>
      <w:tr w:rsidR="00771796" w:rsidRPr="001E2C63" w:rsidTr="00505E82">
        <w:tc>
          <w:tcPr>
            <w:tcW w:w="6771" w:type="dxa"/>
            <w:shd w:val="clear" w:color="auto" w:fill="auto"/>
          </w:tcPr>
          <w:p w:rsidR="00771796" w:rsidRPr="001E2C63" w:rsidRDefault="00771796" w:rsidP="00505E82">
            <w:pPr>
              <w:spacing w:line="240" w:lineRule="auto"/>
              <w:ind w:left="118"/>
              <w:rPr>
                <w:rFonts w:ascii="Times New Roman" w:hAnsi="Times New Roman"/>
                <w:sz w:val="24"/>
                <w:szCs w:val="24"/>
              </w:rPr>
            </w:pPr>
            <w:r w:rsidRPr="001E2C63">
              <w:rPr>
                <w:rFonts w:ascii="Times New Roman" w:hAnsi="Times New Roman"/>
                <w:sz w:val="24"/>
                <w:szCs w:val="24"/>
              </w:rPr>
              <w:t>Autora/o</w:t>
            </w:r>
            <w:r w:rsidRPr="0088415B">
              <w:rPr>
                <w:rFonts w:ascii="Times New Roman" w:hAnsi="Times New Roman"/>
                <w:b/>
                <w:sz w:val="24"/>
                <w:szCs w:val="24"/>
              </w:rPr>
              <w:t xml:space="preserve"> </w:t>
            </w:r>
            <w:r w:rsidRPr="0088415B">
              <w:rPr>
                <w:rFonts w:ascii="Times New Roman" w:hAnsi="Times New Roman"/>
                <w:sz w:val="24"/>
                <w:szCs w:val="24"/>
              </w:rPr>
              <w:t>Fernanda</w:t>
            </w:r>
            <w:r w:rsidRPr="0088415B">
              <w:rPr>
                <w:rFonts w:ascii="Times New Roman" w:hAnsi="Times New Roman"/>
                <w:spacing w:val="-13"/>
                <w:sz w:val="24"/>
                <w:szCs w:val="24"/>
              </w:rPr>
              <w:t xml:space="preserve"> </w:t>
            </w:r>
            <w:r w:rsidR="00F153D4">
              <w:rPr>
                <w:rFonts w:ascii="Times New Roman" w:hAnsi="Times New Roman"/>
                <w:spacing w:val="-13"/>
                <w:sz w:val="24"/>
                <w:szCs w:val="24"/>
              </w:rPr>
              <w:t xml:space="preserve">Nunes </w:t>
            </w:r>
            <w:r w:rsidRPr="0088415B">
              <w:rPr>
                <w:rFonts w:ascii="Times New Roman" w:hAnsi="Times New Roman"/>
                <w:sz w:val="24"/>
                <w:szCs w:val="24"/>
              </w:rPr>
              <w:t>Feitosa</w:t>
            </w:r>
            <w:r w:rsidR="00F153D4">
              <w:rPr>
                <w:rFonts w:ascii="Times New Roman" w:hAnsi="Times New Roman"/>
                <w:sz w:val="24"/>
                <w:szCs w:val="24"/>
              </w:rPr>
              <w:t xml:space="preserve"> Barros</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505E82">
            <w:pPr>
              <w:spacing w:line="240" w:lineRule="auto"/>
              <w:rPr>
                <w:rFonts w:ascii="Times New Roman" w:hAnsi="Times New Roman"/>
                <w:sz w:val="24"/>
                <w:szCs w:val="24"/>
              </w:rPr>
            </w:pPr>
            <w:r w:rsidRPr="001E2C63">
              <w:rPr>
                <w:rFonts w:ascii="Times New Roman" w:hAnsi="Times New Roman"/>
                <w:sz w:val="24"/>
                <w:szCs w:val="24"/>
              </w:rPr>
              <w:t>Orientadora/o</w:t>
            </w:r>
            <w:r w:rsidRPr="0088415B">
              <w:rPr>
                <w:rFonts w:ascii="Times New Roman" w:hAnsi="Times New Roman"/>
                <w:sz w:val="24"/>
                <w:szCs w:val="24"/>
              </w:rPr>
              <w:t xml:space="preserve"> Professor Luis Felipe</w:t>
            </w:r>
            <w:r w:rsidRPr="0088415B">
              <w:rPr>
                <w:rFonts w:ascii="Times New Roman" w:hAnsi="Times New Roman"/>
                <w:spacing w:val="-33"/>
                <w:sz w:val="24"/>
                <w:szCs w:val="24"/>
              </w:rPr>
              <w:t xml:space="preserve"> </w:t>
            </w:r>
            <w:r w:rsidRPr="0088415B">
              <w:rPr>
                <w:rFonts w:ascii="Times New Roman" w:hAnsi="Times New Roman"/>
                <w:sz w:val="24"/>
                <w:szCs w:val="24"/>
              </w:rPr>
              <w:t>Miguel</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505E82">
            <w:pPr>
              <w:spacing w:line="240" w:lineRule="auto"/>
              <w:rPr>
                <w:rFonts w:ascii="Times New Roman" w:hAnsi="Times New Roman"/>
                <w:sz w:val="24"/>
                <w:szCs w:val="24"/>
              </w:rPr>
            </w:pPr>
            <w:r w:rsidRPr="001E2C63">
              <w:rPr>
                <w:rFonts w:ascii="Times New Roman" w:hAnsi="Times New Roman"/>
                <w:sz w:val="24"/>
                <w:szCs w:val="24"/>
              </w:rPr>
              <w:t>IES:</w:t>
            </w:r>
            <w:r w:rsidRPr="0088415B">
              <w:rPr>
                <w:rFonts w:ascii="Times New Roman" w:hAnsi="Times New Roman"/>
                <w:sz w:val="24"/>
                <w:szCs w:val="24"/>
              </w:rPr>
              <w:t xml:space="preserve"> Instituto de Ciência Política da Universidade de Brasília (UnB)</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505E82">
            <w:pPr>
              <w:spacing w:line="240" w:lineRule="auto"/>
              <w:rPr>
                <w:rFonts w:ascii="Times New Roman" w:hAnsi="Times New Roman"/>
                <w:sz w:val="24"/>
                <w:szCs w:val="24"/>
              </w:rPr>
            </w:pPr>
            <w:r w:rsidRPr="001E2C63">
              <w:rPr>
                <w:rFonts w:ascii="Times New Roman" w:hAnsi="Times New Roman"/>
                <w:sz w:val="24"/>
                <w:szCs w:val="24"/>
              </w:rPr>
              <w:t>Cidade/Estado:</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505E82">
            <w:pPr>
              <w:spacing w:line="240" w:lineRule="auto"/>
              <w:rPr>
                <w:rFonts w:ascii="Times New Roman" w:hAnsi="Times New Roman"/>
                <w:sz w:val="24"/>
                <w:szCs w:val="24"/>
              </w:rPr>
            </w:pPr>
            <w:r w:rsidRPr="001E2C63">
              <w:rPr>
                <w:rFonts w:ascii="Times New Roman" w:hAnsi="Times New Roman"/>
                <w:sz w:val="24"/>
                <w:szCs w:val="24"/>
              </w:rPr>
              <w:t>Outras Informações: Estudante de graduação (Ex)</w:t>
            </w:r>
          </w:p>
          <w:p w:rsidR="00771796" w:rsidRPr="001E2C63" w:rsidRDefault="00771796" w:rsidP="00505E82">
            <w:pPr>
              <w:spacing w:line="240" w:lineRule="auto"/>
              <w:rPr>
                <w:rFonts w:ascii="Times New Roman" w:hAnsi="Times New Roman"/>
                <w:sz w:val="24"/>
                <w:szCs w:val="24"/>
              </w:rPr>
            </w:pP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bl>
    <w:p w:rsidR="00771796" w:rsidRDefault="00771796" w:rsidP="009741F1"/>
    <w:p w:rsidR="00771796" w:rsidRDefault="00771796" w:rsidP="009741F1"/>
    <w:p w:rsidR="0088415B" w:rsidRDefault="0088415B" w:rsidP="0088415B">
      <w:pPr>
        <w:pStyle w:val="Ttulo1"/>
        <w:rPr>
          <w:b w:val="0"/>
          <w:bCs w:val="0"/>
        </w:rPr>
      </w:pPr>
      <w:r>
        <w:t>Introdução</w:t>
      </w:r>
    </w:p>
    <w:p w:rsidR="0088415B" w:rsidRDefault="0088415B" w:rsidP="0088415B">
      <w:pPr>
        <w:pStyle w:val="Corpodetexto"/>
        <w:spacing w:before="158" w:line="360" w:lineRule="auto"/>
        <w:ind w:right="113"/>
        <w:jc w:val="both"/>
      </w:pPr>
      <w:r>
        <w:t>Se a política se constituiu, historicamente, como um espaço masculino, como as mulheres agem ao romperem barreiras e ingressarem nela? Se, como parece, elas se concentram em nichos temáticos específicos, isto representa um aporte feminino diferenciado à atividade política ou, ao contrário, é apenas o efeito de constrangimentos que as afastam das questões mais prestigiosas? Para ajudar a responder a essas questões, foi realizada uma pesquisa envolvendo uma amostra de quase 12 mil discursos pronunciados por deputadas e deputados na 51ª e 52ª legislaturas da Câmara Federal (1999-2006), bem como a participação nas comissões permanentes da</w:t>
      </w:r>
      <w:r>
        <w:rPr>
          <w:spacing w:val="-5"/>
        </w:rPr>
        <w:t xml:space="preserve"> </w:t>
      </w:r>
      <w:r>
        <w:t>casa.</w:t>
      </w:r>
    </w:p>
    <w:p w:rsidR="0088415B" w:rsidRDefault="0088415B" w:rsidP="0088415B">
      <w:pPr>
        <w:pStyle w:val="Corpodetexto"/>
        <w:spacing w:line="360" w:lineRule="auto"/>
        <w:ind w:right="112" w:firstLine="708"/>
        <w:jc w:val="both"/>
      </w:pPr>
      <w:r>
        <w:t>A preocupação com a presença política das mulheres se liga a preocupações mais gerais ligadas ao funcionamento dos sistemas representativos. Já há algum tempo, a ciência política constata uma crise de credibilidade dos regimes democráticos. A exigência de representação política, própria de sociedades tão extensas e tão complexas, acarreta a concentração de capital político – o que leva, por sua vez, ao distanciamento entre os cidadãos e os detentores de mandato. Com isso, um número crescente de pessoas manifesta pouca confiança nas instituições democrático-representativas, como eleições, partidos e parlamentos, ainda que mantenha adesão ao ideal de democracia em si, conforme assinalam inúmeros estudos empíricos (Pharr e Putnam, 1998; Norris,</w:t>
      </w:r>
      <w:r>
        <w:rPr>
          <w:spacing w:val="-10"/>
        </w:rPr>
        <w:t xml:space="preserve"> </w:t>
      </w:r>
      <w:r>
        <w:t>2000).</w:t>
      </w:r>
    </w:p>
    <w:p w:rsidR="00771796" w:rsidRDefault="00771796" w:rsidP="0088415B">
      <w:pPr>
        <w:pStyle w:val="Corpodetexto"/>
        <w:spacing w:before="4" w:line="360" w:lineRule="auto"/>
        <w:ind w:right="113"/>
        <w:jc w:val="both"/>
      </w:pPr>
    </w:p>
    <w:p w:rsidR="00771796" w:rsidRDefault="00771796" w:rsidP="0088415B">
      <w:pPr>
        <w:pStyle w:val="Corpodetexto"/>
        <w:spacing w:before="4" w:line="360" w:lineRule="auto"/>
        <w:ind w:right="113"/>
        <w:jc w:val="both"/>
      </w:pPr>
    </w:p>
    <w:p w:rsidR="00771796" w:rsidRDefault="00771796" w:rsidP="0088415B">
      <w:pPr>
        <w:pStyle w:val="Corpodetexto"/>
        <w:spacing w:before="4" w:line="360" w:lineRule="auto"/>
        <w:ind w:right="113"/>
        <w:jc w:val="both"/>
      </w:pPr>
    </w:p>
    <w:p w:rsidR="00771796" w:rsidRDefault="00771796" w:rsidP="0088415B">
      <w:pPr>
        <w:pStyle w:val="Corpodetexto"/>
        <w:spacing w:before="4" w:line="360" w:lineRule="auto"/>
        <w:ind w:right="113"/>
        <w:jc w:val="both"/>
      </w:pPr>
    </w:p>
    <w:p w:rsidR="00771796" w:rsidRDefault="00771796" w:rsidP="0088415B">
      <w:pPr>
        <w:pStyle w:val="Corpodetexto"/>
        <w:spacing w:before="4" w:line="360" w:lineRule="auto"/>
        <w:ind w:right="113"/>
        <w:jc w:val="both"/>
      </w:pPr>
    </w:p>
    <w:p w:rsidR="0088415B" w:rsidRDefault="0088415B" w:rsidP="0088415B">
      <w:pPr>
        <w:pStyle w:val="Corpodetexto"/>
        <w:spacing w:before="4" w:line="360" w:lineRule="auto"/>
        <w:ind w:right="113"/>
        <w:jc w:val="both"/>
      </w:pPr>
      <w:r>
        <w:t>O distanciamento entre o povo e seus representantes toma a forma, também, da sub- representação política de grupos sociais menos privilegiados. As elites políticas tendem a ser mais homogêneas que o conjunto da população, com a exclusão (ou quase) de minorias  étnicas e sexuais, de trabalhadores e não-proprietários em geral, dos menos escolarizados e também das</w:t>
      </w:r>
      <w:r>
        <w:rPr>
          <w:spacing w:val="-5"/>
        </w:rPr>
        <w:t xml:space="preserve"> </w:t>
      </w:r>
      <w:r>
        <w:t>mulheres.</w:t>
      </w:r>
    </w:p>
    <w:p w:rsidR="0088415B" w:rsidRDefault="0088415B" w:rsidP="0088415B">
      <w:pPr>
        <w:pStyle w:val="Corpodetexto"/>
        <w:spacing w:line="360" w:lineRule="auto"/>
        <w:ind w:right="112"/>
        <w:jc w:val="both"/>
      </w:pPr>
      <w:r>
        <w:t xml:space="preserve">Essa questão suscita um debate até mesmo sobre o próprio conceito de representatividade, na busca de fundamentar uma forma de representação eficaz que promova legitimidade democrática e inclusão política. Entende-se, de forma cada vez mais clara, que o problema  do  acesso  à  representação  passa,  necessariamente,  por  uma  crítica  ao  </w:t>
      </w:r>
      <w:r>
        <w:rPr>
          <w:spacing w:val="48"/>
        </w:rPr>
        <w:t xml:space="preserve"> </w:t>
      </w:r>
      <w:r>
        <w:t>caráter</w:t>
      </w:r>
    </w:p>
    <w:p w:rsidR="0088415B" w:rsidRDefault="0088415B" w:rsidP="0088415B">
      <w:pPr>
        <w:sectPr w:rsidR="0088415B" w:rsidSect="0088415B">
          <w:headerReference w:type="default" r:id="rId7"/>
          <w:pgSz w:w="11910" w:h="16840"/>
          <w:pgMar w:top="1380" w:right="1300" w:bottom="280" w:left="1300" w:header="720" w:footer="72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firstLine="0"/>
      </w:pPr>
      <w:r>
        <w:t>excludente do modelo vigente de democracia representativa, não se resumindo, portanto, a um problema de estratégia, recurso ou comportamento social (Young, 2006; Araújo,</w:t>
      </w:r>
      <w:r>
        <w:rPr>
          <w:spacing w:val="-5"/>
        </w:rPr>
        <w:t xml:space="preserve"> </w:t>
      </w:r>
      <w:r>
        <w:t>2001).</w:t>
      </w:r>
    </w:p>
    <w:p w:rsidR="0088415B" w:rsidRDefault="0088415B" w:rsidP="0088415B">
      <w:pPr>
        <w:pStyle w:val="Corpodetexto"/>
        <w:spacing w:line="360" w:lineRule="auto"/>
        <w:ind w:right="112"/>
        <w:jc w:val="both"/>
      </w:pPr>
      <w:r>
        <w:t xml:space="preserve">O esforço concentrado para a promoção de uma maior inclusão de membros dos grupos excluídos politicamente, inclusive por meio da adoção de dispositivos políticos específicos, destinados a aumentar sua representação, como as cotas eleitorais hoje adotadas em inúmeros países do mundo, pode ser entendido como um reconhecimento dos limites de uma “política de idéias” ou “política de interesses”, na qual os sujeitos que corporificam a representação perdem relevância perante as demandas consideradas pertinentes, não importando </w:t>
      </w:r>
      <w:r>
        <w:rPr>
          <w:i/>
        </w:rPr>
        <w:t xml:space="preserve">quem </w:t>
      </w:r>
      <w:r>
        <w:t xml:space="preserve">representa, mas o </w:t>
      </w:r>
      <w:r>
        <w:rPr>
          <w:i/>
        </w:rPr>
        <w:t xml:space="preserve">que </w:t>
      </w:r>
      <w:r>
        <w:t>é de fato representado. Indicando a valorização daquilo que a cientista política inglesa Anne Phillips chamou de “política de presença”, a  idéia de que os grupos minoritários precisam estar representados fisicamente para que suas perspectivas identitárias sejam levadas em conta no processo de deliberação – discussão e decisão – sobre as questões de interesse público (Phillips,</w:t>
      </w:r>
      <w:r>
        <w:rPr>
          <w:spacing w:val="-4"/>
        </w:rPr>
        <w:t xml:space="preserve"> </w:t>
      </w:r>
      <w:r>
        <w:t>2001).</w:t>
      </w:r>
    </w:p>
    <w:p w:rsidR="0088415B" w:rsidRDefault="0088415B" w:rsidP="0088415B">
      <w:pPr>
        <w:pStyle w:val="Corpodetexto"/>
        <w:spacing w:line="360" w:lineRule="auto"/>
        <w:ind w:right="113"/>
        <w:jc w:val="both"/>
      </w:pPr>
      <w:r>
        <w:t>Durante o período moderno, a construção das concepções que vieram orientar as normas de conduta e ação política na vida pública fixou a participação segundo determinadas características tidas como masculinas, consideradas mais importantes no exercício de um mandato em detrimento de características socialmente consideradas como femininas. Assim, as “qualidades” femininas seriam vistas como apolíticas, ao passo que categorias políticas seriam sinônimo de uma conduta</w:t>
      </w:r>
      <w:r>
        <w:rPr>
          <w:spacing w:val="-8"/>
        </w:rPr>
        <w:t xml:space="preserve"> </w:t>
      </w:r>
      <w:r>
        <w:t>masculina.</w:t>
      </w:r>
    </w:p>
    <w:p w:rsidR="0088415B" w:rsidRDefault="0088415B" w:rsidP="0088415B">
      <w:pPr>
        <w:pStyle w:val="Corpodetexto"/>
        <w:spacing w:line="360" w:lineRule="auto"/>
        <w:ind w:right="113"/>
        <w:jc w:val="both"/>
      </w:pPr>
      <w:r>
        <w:t>O conceito e as bases da cidadania na moderna teoria democrática foram pautadas por essa perspectiva, que estava longe de ser neutra, tanto quanto ao gênero como quanto a outras clivagens sociais. Os papéis sociais dos gêneros fazem parte da estrutura patriarcal de desigualdade de poder e sua manutenção é incompatível com a democracia, que reclama uma distribuição mais equânime dos recursos políticos entre os cidadãos (Miguel,</w:t>
      </w:r>
      <w:r>
        <w:rPr>
          <w:spacing w:val="-18"/>
        </w:rPr>
        <w:t xml:space="preserve"> </w:t>
      </w:r>
      <w:r>
        <w:t>2000).</w:t>
      </w:r>
    </w:p>
    <w:p w:rsidR="0088415B" w:rsidRDefault="0088415B" w:rsidP="0088415B">
      <w:pPr>
        <w:pStyle w:val="Corpodetexto"/>
        <w:spacing w:line="360" w:lineRule="auto"/>
        <w:ind w:right="109"/>
        <w:jc w:val="both"/>
      </w:pPr>
      <w:r>
        <w:t xml:space="preserve">A teoria política feminista avançou na crítica ao liberalismo, bem como à idéia de </w:t>
      </w:r>
      <w:r>
        <w:lastRenderedPageBreak/>
        <w:t xml:space="preserve">contrato, no sentido de questionar a ficção política de igualdade e liberdade entre os cidadãos na esfera pública. Contrariamente ao que prega a visão liberal, os cidadãos não estão livres e iguais em uma esfera pública “esterilizada”, na qual as assimetrias existentes em ambientes como a economia ou o lar são de alguma maneira anuladas, mas contaminados pelos constrangimentos advindos das desigualdades sociais. A igualdade formal assegurada pelas instituições liberais se vê, então, frustrada ante o alto grau de exclusão presente nas discussões políticas, produzida pela desigualdade socioeconômica estrutural. A capacidade de influenciar na discussão pública e na tomada de decisões – o acesso ao </w:t>
      </w:r>
      <w:r>
        <w:rPr>
          <w:i/>
        </w:rPr>
        <w:t>capital político</w:t>
      </w:r>
      <w:r>
        <w:t>, portanto – é, em grande medida, determinada pela posição em outras esferas</w:t>
      </w:r>
      <w:r>
        <w:rPr>
          <w:spacing w:val="-12"/>
        </w:rPr>
        <w:t xml:space="preserve"> </w:t>
      </w:r>
      <w:r>
        <w:t>sociais.</w:t>
      </w:r>
    </w:p>
    <w:p w:rsidR="0088415B" w:rsidRDefault="0088415B" w:rsidP="0088415B">
      <w:pPr>
        <w:sectPr w:rsidR="0088415B">
          <w:headerReference w:type="default" r:id="rId8"/>
          <w:pgSz w:w="11910" w:h="16840"/>
          <w:pgMar w:top="920" w:right="1300" w:bottom="280" w:left="1300" w:header="733" w:footer="0" w:gutter="0"/>
          <w:pgNumType w:start="2"/>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6"/>
        <w:rPr>
          <w:rFonts w:ascii="Times New Roman" w:eastAsia="Times New Roman" w:hAnsi="Times New Roman"/>
          <w:sz w:val="16"/>
          <w:szCs w:val="16"/>
        </w:rPr>
      </w:pPr>
    </w:p>
    <w:p w:rsidR="0088415B" w:rsidRDefault="0088415B" w:rsidP="0088415B">
      <w:pPr>
        <w:pStyle w:val="Ttulo1"/>
        <w:spacing w:before="64"/>
        <w:rPr>
          <w:b w:val="0"/>
          <w:bCs w:val="0"/>
        </w:rPr>
      </w:pPr>
      <w:r>
        <w:t>Objetivos</w:t>
      </w:r>
    </w:p>
    <w:p w:rsidR="0088415B" w:rsidRDefault="0088415B" w:rsidP="0088415B">
      <w:pPr>
        <w:pStyle w:val="Corpodetexto"/>
        <w:spacing w:before="158" w:line="360" w:lineRule="auto"/>
        <w:ind w:right="113" w:firstLine="708"/>
        <w:jc w:val="both"/>
      </w:pPr>
      <w:r>
        <w:t>A defesa da paridade de gênero, ou pelo menos da ampliação das instâncias de acesso à esfera pública, surge inicialmente por uma questão de justiça intuitiva. A sub-representação é manifesta na fração de mulheres encontradas no parlamento brasileiro, menos de 10%, enquanto na sociedade figuram metade do eleitorado. Na maior parte dos sistemas políticos não só é reduzida a proporção de mulheres em cargos públicos eleitos, como também são poucas as que detêm posições de poder e influência na vida pública e na economia privada de modo</w:t>
      </w:r>
      <w:r>
        <w:rPr>
          <w:spacing w:val="-7"/>
        </w:rPr>
        <w:t xml:space="preserve"> </w:t>
      </w:r>
      <w:r>
        <w:t>geral.</w:t>
      </w:r>
    </w:p>
    <w:p w:rsidR="0088415B" w:rsidRDefault="0088415B" w:rsidP="0088415B">
      <w:pPr>
        <w:pStyle w:val="Corpodetexto"/>
        <w:spacing w:before="125" w:line="360" w:lineRule="auto"/>
        <w:ind w:right="112"/>
        <w:jc w:val="both"/>
      </w:pPr>
      <w:r>
        <w:t xml:space="preserve">Os argumentos que permitem justificar a necessidade de maior igualdade entre os sexos na representação política vão residir em três principais correntes que, conforme esquematizou Miguel (2001), se baseiam na existência de uma </w:t>
      </w:r>
      <w:r>
        <w:rPr>
          <w:i/>
        </w:rPr>
        <w:t xml:space="preserve">diferença de interesses </w:t>
      </w:r>
      <w:r>
        <w:t xml:space="preserve">entre homens e mulheres; de uma </w:t>
      </w:r>
      <w:r>
        <w:rPr>
          <w:i/>
        </w:rPr>
        <w:t>diferença estrutural</w:t>
      </w:r>
      <w:r>
        <w:t xml:space="preserve">; e de uma </w:t>
      </w:r>
      <w:r>
        <w:rPr>
          <w:i/>
        </w:rPr>
        <w:t>diferença moral</w:t>
      </w:r>
      <w:r>
        <w:t>. A pesquisa da qual resultou a este artigo esteve voltada para a discussão da última vertente, na qual ocorre uma íntima vinculação entre a figura feminina e suas características maternais de cuidado com o outro, fazendo transbordar essa sua singularidade para a arena</w:t>
      </w:r>
      <w:r>
        <w:rPr>
          <w:spacing w:val="-10"/>
        </w:rPr>
        <w:t xml:space="preserve"> </w:t>
      </w:r>
      <w:r>
        <w:t>política.</w:t>
      </w:r>
    </w:p>
    <w:p w:rsidR="0088415B" w:rsidRDefault="0088415B" w:rsidP="0088415B">
      <w:pPr>
        <w:pStyle w:val="Corpodetexto"/>
        <w:spacing w:line="360" w:lineRule="auto"/>
        <w:ind w:right="110"/>
        <w:jc w:val="both"/>
      </w:pPr>
      <w:r>
        <w:t>Com base na socialização diferenciada por que passam as mulheres, tal corrente se vale da definição dos papéis que as estruturas sociais engendram de modo a constituir os padrões de comportamento dos indivíduos para sustentar que, devido a maternidade e a sua posição no âmbito doméstico, a mulher possuiria uma maior sensibilidade e um julgamento mais apurado para a prática política. Sua figura estaria associada às concepções do bem, do justo, do honesto, da compaixão e da</w:t>
      </w:r>
      <w:r>
        <w:rPr>
          <w:spacing w:val="-2"/>
        </w:rPr>
        <w:t xml:space="preserve"> </w:t>
      </w:r>
      <w:r>
        <w:t>solidariedade.</w:t>
      </w:r>
    </w:p>
    <w:p w:rsidR="0088415B" w:rsidRDefault="0088415B" w:rsidP="0088415B">
      <w:pPr>
        <w:pStyle w:val="Corpodetexto"/>
        <w:spacing w:line="360" w:lineRule="auto"/>
        <w:ind w:right="113"/>
        <w:jc w:val="both"/>
      </w:pPr>
      <w:r>
        <w:t xml:space="preserve">A sustentação da singularidade do julgamento moral feminino tem como referência central os estudos conduzidos pela psicóloga Carol Gilligan, com destaque à obra </w:t>
      </w:r>
      <w:r>
        <w:rPr>
          <w:i/>
        </w:rPr>
        <w:t>In a Different Voice</w:t>
      </w:r>
      <w:r>
        <w:rPr>
          <w:b/>
        </w:rPr>
        <w:t xml:space="preserve">, </w:t>
      </w:r>
      <w:r>
        <w:t xml:space="preserve">de 1982, que aborda a perspectiva do cuidado no desenvolvimento moral das mulheres. Baseia-se na tradição de estudos sobre a psicologia do desenvolvimento e na </w:t>
      </w:r>
      <w:r>
        <w:lastRenderedPageBreak/>
        <w:t>convergência que a antropóloga Nancy Chodorow faz entre a psicanálise e a antropologia, explicando a subordinação feminina, nas mais diversas sociedades, pelo fenômeno da socialização feminina em proximidade com a</w:t>
      </w:r>
      <w:r>
        <w:rPr>
          <w:spacing w:val="-8"/>
        </w:rPr>
        <w:t xml:space="preserve"> </w:t>
      </w:r>
      <w:r>
        <w:t>mãe.</w:t>
      </w:r>
    </w:p>
    <w:p w:rsidR="0088415B" w:rsidRDefault="0088415B" w:rsidP="0088415B">
      <w:pPr>
        <w:pStyle w:val="Corpodetexto"/>
        <w:spacing w:line="360" w:lineRule="auto"/>
        <w:ind w:right="113"/>
        <w:jc w:val="both"/>
      </w:pPr>
      <w:r>
        <w:t>Para a psicóloga americana a concepção feminina de identidade pessoal é definida  num contexto de relacionamento e é julgada por padrões de responsabilidade e de cuidado (</w:t>
      </w:r>
      <w:r>
        <w:rPr>
          <w:i/>
        </w:rPr>
        <w:t>care</w:t>
      </w:r>
      <w:r>
        <w:t>). A forma como as mulheres raciocinam sobre questões morais, ao se defrontarem com conflitos entre as regras sociais e os princípios éticos, vai além da moralidade preocupada  com a justiça, os direitos e os deveres, privilegiando a manutenção das relações</w:t>
      </w:r>
      <w:r>
        <w:rPr>
          <w:spacing w:val="48"/>
        </w:rPr>
        <w:t xml:space="preserve"> </w:t>
      </w:r>
      <w:r>
        <w:t>interpessoais;</w:t>
      </w:r>
    </w:p>
    <w:p w:rsidR="0088415B" w:rsidRDefault="0088415B" w:rsidP="0088415B">
      <w:pPr>
        <w:sectPr w:rsidR="0088415B">
          <w:pgSz w:w="11910" w:h="16840"/>
          <w:pgMar w:top="920" w:right="1300" w:bottom="280" w:left="130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right="111" w:firstLine="0"/>
        <w:jc w:val="both"/>
      </w:pPr>
      <w:r>
        <w:t>enquanto os homens raciocinam a partir de aspectos legalistas. De maneira que, haverá uma moral (feminina) diferente porque a mulher interpreta e constrói a realidade social de uma forma que não é igual à masculina (Gilligan,</w:t>
      </w:r>
      <w:r>
        <w:rPr>
          <w:spacing w:val="-13"/>
        </w:rPr>
        <w:t xml:space="preserve"> </w:t>
      </w:r>
      <w:r>
        <w:t>1982).</w:t>
      </w:r>
    </w:p>
    <w:p w:rsidR="0088415B" w:rsidRDefault="0088415B" w:rsidP="0088415B">
      <w:pPr>
        <w:pStyle w:val="Corpodetexto"/>
        <w:spacing w:line="360" w:lineRule="auto"/>
        <w:ind w:right="112"/>
        <w:jc w:val="both"/>
      </w:pPr>
      <w:r>
        <w:t>Ao transpor essa visão para a política, entretanto, algumas teóricas feministas, com o intuito de provocar transformações político-sociais, acabaram por “biologizar” o processo de socialização diferenciada por que passam homens e mulheres, mesmo tendo em mente que a diferença feminina não é um dado natural. Uma vez que as mulheres já desempenham tradicionalmente no mundo privado as atividades voltadas para o cuidado da família, colocando, assim, o bem estar do outro acima do seu próprio, da mesma forma elas o fariam na política, levando “um aporte diferenciado, uma visão mais suave que abrandaria o perfil agressivo que caracteriza a política masculina” (Miguel,</w:t>
      </w:r>
      <w:r>
        <w:rPr>
          <w:spacing w:val="-7"/>
        </w:rPr>
        <w:t xml:space="preserve"> </w:t>
      </w:r>
      <w:r>
        <w:t>2001).</w:t>
      </w:r>
    </w:p>
    <w:p w:rsidR="0088415B" w:rsidRDefault="0088415B" w:rsidP="0088415B">
      <w:pPr>
        <w:pStyle w:val="Corpodetexto"/>
        <w:spacing w:line="360" w:lineRule="auto"/>
        <w:ind w:right="111" w:firstLine="708"/>
        <w:jc w:val="both"/>
      </w:pPr>
      <w:r>
        <w:t>Segundo os defensores da diferença moral entre homens e mulheres, a presença feminina possibilitaria a superação da “política de interesses”, característica do mundo masculino. Assim, se a ambição e o desejo pelo poder estão associados ao mundo masculino; ao feminino, restam atributos mais dóceis e altruístas. Com a associação entre a presença das mulheres na política com sua, pretensamente inata, superioridade moral e a expectativa de que elas contribuiriam decisivamente para a construção de uma política mais honesta, é gerado um ideário de ruptura, no qual as mulheres vão romper com as práticas tradicionais e espúrias do poder. Dando, inclusive, uma conotação positiva à inexperiência delas na vida política que,  por tradicionalmente estarem fora desse espaço, estariam distante da política tradicional exercida pelos homens e marcada pela desonestidade e pelo descaso com a sociedade (Pinheiro, 2007). Justamente por isso, tal discurso é, com freqüência, apropriado pelas mulheres que ingressam no campo político, que se sentem tentadas a fazer do seu sexo biológico uma espécie de “atestado” de integridade e preocupação</w:t>
      </w:r>
      <w:r>
        <w:rPr>
          <w:spacing w:val="-12"/>
        </w:rPr>
        <w:t xml:space="preserve"> </w:t>
      </w:r>
      <w:r>
        <w:t>social.</w:t>
      </w:r>
    </w:p>
    <w:p w:rsidR="0088415B" w:rsidRDefault="0088415B" w:rsidP="0088415B">
      <w:pPr>
        <w:pStyle w:val="Corpodetexto"/>
        <w:spacing w:line="360" w:lineRule="auto"/>
        <w:ind w:right="111" w:firstLine="708"/>
        <w:jc w:val="both"/>
      </w:pPr>
      <w:r>
        <w:t xml:space="preserve">Essa forma particular de fazer política conferida às mulheres tem recebido o nome de </w:t>
      </w:r>
      <w:r>
        <w:lastRenderedPageBreak/>
        <w:t>“política do desvelo” (</w:t>
      </w:r>
      <w:r>
        <w:rPr>
          <w:i/>
        </w:rPr>
        <w:t>care politics</w:t>
      </w:r>
      <w:r>
        <w:t>). A corrente acredita que, uma vez alcançada a paridade  de gênero nos foros decisórios, sua decorrência natural vai ser a alteração dos padrões dominantes no campo político, com o apaziguamento do comportamento competitivo “masculino”. Mas a história política recente, no Brasil e em outros países, mostra uma relação bem mais complexa entre gênero e política. As mulheres que obtiveram mais êxito em suas carreiras mostraram-se, em geral, vinculadas à forma “masculina” de fazer política – basta pensar em Margaret Thatcher, que foi primeira-ministra do Reino Unido de 1980 a 1991 (Miguel, Ohira, Feitosa e Campos,</w:t>
      </w:r>
      <w:r>
        <w:rPr>
          <w:spacing w:val="-6"/>
        </w:rPr>
        <w:t xml:space="preserve"> </w:t>
      </w:r>
      <w:r>
        <w:t>2006).</w:t>
      </w:r>
    </w:p>
    <w:p w:rsidR="0088415B" w:rsidRDefault="0088415B" w:rsidP="0088415B">
      <w:pPr>
        <w:sectPr w:rsidR="0088415B">
          <w:pgSz w:w="11910" w:h="16840"/>
          <w:pgMar w:top="920" w:right="1300" w:bottom="280" w:left="130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right="111"/>
        <w:jc w:val="both"/>
      </w:pPr>
      <w:r>
        <w:t>Com efeito, no âmbito parlamentar, alguns dados indicam que as mulheres se ocupam com mais freqüência de temas afetos à área social do que àquelas vinculadas diretamente ao controle do Estado e de seus recursos e à distribuição dos postos de exercício do poder. A questão que este trabalho coloca, entretanto, é que isto ocorre, muitas vezes, porque se trata  do único nicho disponível para elas no campo político (Dolan, 2004). Ao mesmo tempo em que são mais permeáveis à presença das mulheres, tais temas estão associados a posições menos prestigiadas do campo político. Do discurso da “política maternal” decorre, então, uma manutenção da divisão social do trabalho político que, confinando as mulheres ao âmbito das questões sociais, reserva aos homens as tarefas com maior reconhecimento social (Miguel, 2000, 2001).</w:t>
      </w:r>
    </w:p>
    <w:p w:rsidR="0088415B" w:rsidRDefault="0088415B" w:rsidP="0088415B">
      <w:pPr>
        <w:pStyle w:val="Corpodetexto"/>
        <w:spacing w:line="360" w:lineRule="auto"/>
        <w:ind w:right="112" w:firstLine="708"/>
        <w:jc w:val="both"/>
      </w:pPr>
      <w:r>
        <w:t>A análise comparativa busca apontar em que medida o comportamento parlamentar se diferencia entre os sexos e em que medida as diferença são efeitos de gênero ou de estruturas de oportunidade diferenciadas. A hipótese geral que orientou a pesquisa é que a diferença de ênfase na ação política das mulheres, que privilegiam temas sociais e assistenciais, se deve não a uma “sensibilidade” diferente, mas às oportunidades abertas a elas no campo</w:t>
      </w:r>
      <w:r>
        <w:rPr>
          <w:spacing w:val="-15"/>
        </w:rPr>
        <w:t xml:space="preserve"> </w:t>
      </w:r>
      <w:r>
        <w:t>político.</w:t>
      </w:r>
    </w:p>
    <w:p w:rsidR="0088415B" w:rsidRDefault="0088415B" w:rsidP="0088415B">
      <w:pPr>
        <w:spacing w:before="8"/>
        <w:rPr>
          <w:rFonts w:ascii="Times New Roman" w:eastAsia="Times New Roman" w:hAnsi="Times New Roman"/>
          <w:sz w:val="20"/>
          <w:szCs w:val="20"/>
        </w:rPr>
      </w:pPr>
    </w:p>
    <w:p w:rsidR="0088415B" w:rsidRDefault="0088415B" w:rsidP="0088415B">
      <w:pPr>
        <w:pStyle w:val="Ttulo1"/>
        <w:rPr>
          <w:b w:val="0"/>
          <w:bCs w:val="0"/>
        </w:rPr>
      </w:pPr>
      <w:r>
        <w:t>Metodologia</w:t>
      </w:r>
    </w:p>
    <w:p w:rsidR="0088415B" w:rsidRDefault="0088415B" w:rsidP="0088415B">
      <w:pPr>
        <w:pStyle w:val="Corpodetexto"/>
        <w:spacing w:before="24" w:line="410" w:lineRule="atLeast"/>
        <w:ind w:right="112" w:firstLine="720"/>
        <w:jc w:val="both"/>
      </w:pPr>
      <w:r>
        <w:t>Para mapear a atuação de parlamentares do sexo feminino na Câmara Federal, foi realizada uma amostra de 11830 discursos proferidos pelos parlamentares no plenário da Câmara dos Deputados, no pequeno e grande expedientes das sessões ordinárias, durante as duas últimas legislaturas, 51ª e 52ª, entre os anos de 1999 e 2006. Além da análise da participação em cargos de destaque no parlamento e nas comissões permanentes da Câmara Federal, no mesmo período, com relação à presença feminina e os temas</w:t>
      </w:r>
      <w:r>
        <w:rPr>
          <w:spacing w:val="10"/>
        </w:rPr>
        <w:t xml:space="preserve"> </w:t>
      </w:r>
      <w:r>
        <w:t>tratados</w:t>
      </w:r>
      <w:hyperlink w:anchor="_bookmark0" w:history="1">
        <w:r>
          <w:rPr>
            <w:position w:val="11"/>
            <w:sz w:val="16"/>
          </w:rPr>
          <w:t>1</w:t>
        </w:r>
      </w:hyperlink>
      <w:r>
        <w:t>.</w:t>
      </w:r>
    </w:p>
    <w:p w:rsidR="0088415B" w:rsidRDefault="0088415B" w:rsidP="0088415B">
      <w:pPr>
        <w:pStyle w:val="Corpodetexto"/>
        <w:spacing w:before="138" w:line="360" w:lineRule="auto"/>
        <w:ind w:right="110" w:firstLine="720"/>
        <w:jc w:val="both"/>
      </w:pPr>
      <w:r>
        <w:t xml:space="preserve">Boa parte da percepção sobre o trabalho parlamentar julga que seu principal, senão único, produto é a lei (ver, por exemplo, Arnold, 1990). Na contramão desta corrente, foi dada uma maior ênfase aos discursos, por entender que a produção de sentido sobre o mundo social </w:t>
      </w:r>
      <w:r>
        <w:lastRenderedPageBreak/>
        <w:t>é o elemento principal da atividade política (Miguel, Ohira, Feitosa e Carneiro de Campos, 2006). Os discursos foram classificados de acordo com as temáticas. As categorias de temas foram determinadas através da leitura dos discursos, tendo o cuidado de não criar categorias muito específicas e, ao mesmo tempo, evitando categorias excessivamente abrangentes, a ponto de dificultar a caracterização de cada</w:t>
      </w:r>
      <w:r>
        <w:rPr>
          <w:spacing w:val="-2"/>
        </w:rPr>
        <w:t xml:space="preserve"> </w:t>
      </w:r>
      <w:r>
        <w:t>discurso.</w:t>
      </w:r>
    </w:p>
    <w:p w:rsidR="0088415B" w:rsidRDefault="0088415B" w:rsidP="0088415B">
      <w:pPr>
        <w:rPr>
          <w:rFonts w:ascii="Times New Roman" w:eastAsia="Times New Roman" w:hAnsi="Times New Roman"/>
          <w:sz w:val="20"/>
          <w:szCs w:val="20"/>
        </w:rPr>
      </w:pPr>
    </w:p>
    <w:p w:rsidR="0088415B" w:rsidRDefault="0088415B" w:rsidP="00771796">
      <w:pPr>
        <w:spacing w:before="6"/>
        <w:rPr>
          <w:rFonts w:ascii="Times New Roman" w:eastAsia="Times New Roman" w:hAnsi="Times New Roman"/>
          <w:sz w:val="19"/>
          <w:szCs w:val="19"/>
        </w:rPr>
      </w:pPr>
      <w:r w:rsidRPr="0088415B">
        <w:rPr>
          <w:lang w:val="en-US"/>
        </w:rPr>
        <w:pict>
          <v:group id="_x0000_s1026" style="position:absolute;left:0;text-align:left;margin-left:70.9pt;margin-top:14.2pt;width:2in;height:.1pt;z-index:251616768;mso-wrap-distance-left:0;mso-wrap-distance-right:0;mso-position-horizontal-relative:page" coordorigin="1418,284" coordsize="2880,2">
            <v:shape id="_x0000_s1027" style="position:absolute;left:1418;top:284;width:2880;height:2" coordorigin="1418,284" coordsize="2880,0" path="m1418,284r2880,e" filled="f" strokeweight=".6pt">
              <v:path arrowok="t"/>
            </v:shape>
            <w10:wrap type="topAndBottom" anchorx="page"/>
          </v:group>
        </w:pict>
      </w:r>
      <w:bookmarkStart w:id="0" w:name="_bookmark0"/>
      <w:bookmarkEnd w:id="0"/>
      <w:r>
        <w:rPr>
          <w:rFonts w:ascii="Times New Roman" w:hAnsi="Times New Roman"/>
          <w:position w:val="9"/>
          <w:sz w:val="13"/>
        </w:rPr>
        <w:t xml:space="preserve">1 </w:t>
      </w:r>
      <w:r>
        <w:rPr>
          <w:rFonts w:ascii="Times New Roman" w:hAnsi="Times New Roman"/>
          <w:sz w:val="19"/>
        </w:rPr>
        <w:t>A coleta de dados foi realizada no âmbito do Programa Institucional de Bolsas de Iniciação Científica (PIBIC- UnB/CNPq), por mim e por Aline Marques Ohira, Luiz Augusto de Souza Carneiro de Campos e Luiz Antônio  Guerra, aos quais</w:t>
      </w:r>
      <w:r>
        <w:rPr>
          <w:rFonts w:ascii="Times New Roman" w:hAnsi="Times New Roman"/>
          <w:spacing w:val="-4"/>
          <w:sz w:val="19"/>
        </w:rPr>
        <w:t xml:space="preserve"> </w:t>
      </w:r>
      <w:r>
        <w:rPr>
          <w:rFonts w:ascii="Times New Roman" w:hAnsi="Times New Roman"/>
          <w:sz w:val="19"/>
        </w:rPr>
        <w:t>agradeço.</w:t>
      </w:r>
    </w:p>
    <w:p w:rsidR="0088415B" w:rsidRDefault="0088415B" w:rsidP="0088415B">
      <w:pPr>
        <w:spacing w:line="242" w:lineRule="auto"/>
        <w:rPr>
          <w:rFonts w:ascii="Times New Roman" w:eastAsia="Times New Roman" w:hAnsi="Times New Roman"/>
          <w:sz w:val="19"/>
          <w:szCs w:val="19"/>
        </w:rPr>
        <w:sectPr w:rsidR="0088415B">
          <w:pgSz w:w="11910" w:h="16840"/>
          <w:pgMar w:top="920" w:right="1300" w:bottom="280" w:left="130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right="112" w:firstLine="708"/>
        <w:jc w:val="both"/>
      </w:pPr>
      <w:r>
        <w:t>Uma das características do discurso do parlamentar em plenário – em contraste com as falas feitas nas comissões – é sua tendência a abranger uma multiplicidade de questões em curto espaço de tempo. A variedade ganha primazia sobre a profundidade, talvez porque o número de parlamentares que freqüenta a tribuna a cada sessão é restrito e cada um deseja “dar seu recado” para uma diversidade de públicos. Sendo assim, cada discurso pôde ser enquadrado dentro de até quatro dos temas relacionados,</w:t>
      </w:r>
      <w:r>
        <w:rPr>
          <w:spacing w:val="-10"/>
        </w:rPr>
        <w:t xml:space="preserve"> </w:t>
      </w:r>
      <w:r>
        <w:t>simultaneamente.</w:t>
      </w:r>
    </w:p>
    <w:p w:rsidR="0088415B" w:rsidRDefault="0088415B" w:rsidP="0088415B">
      <w:pPr>
        <w:pStyle w:val="Corpodetexto"/>
        <w:spacing w:before="4" w:line="360" w:lineRule="auto"/>
        <w:ind w:right="111"/>
        <w:jc w:val="both"/>
      </w:pPr>
      <w:r>
        <w:t xml:space="preserve">Para uma melhor análise dos resultados, foi realizada uma distinção importante sobre os principais temas políticos divididos por categorias segundo os termos correntes utilizados pela ciência política norte-americana, sendo elas </w:t>
      </w:r>
      <w:r>
        <w:rPr>
          <w:i/>
        </w:rPr>
        <w:t xml:space="preserve">hard politics, middle polítics, soft politics, </w:t>
      </w:r>
      <w:r>
        <w:t xml:space="preserve">questões irrelevantes e outros. Por </w:t>
      </w:r>
      <w:r>
        <w:rPr>
          <w:i/>
        </w:rPr>
        <w:t xml:space="preserve">hard politics </w:t>
      </w:r>
      <w:r>
        <w:t xml:space="preserve">considera-se o núcleo central do processo político, em especial o exercício do poder de Estado e a gestão da economia; </w:t>
      </w:r>
      <w:r>
        <w:rPr>
          <w:i/>
        </w:rPr>
        <w:t xml:space="preserve">soft politics, </w:t>
      </w:r>
      <w:r>
        <w:t xml:space="preserve">assuntos mais voltados para o social; </w:t>
      </w:r>
      <w:r>
        <w:rPr>
          <w:i/>
        </w:rPr>
        <w:t>middle politics</w:t>
      </w:r>
      <w:r>
        <w:t xml:space="preserve">, temas que permitiam abordagens mistas, como “previdência social”, que inclui tanto preocupações com os pensionistas quanto com as contas públicas; “questões irrelevantes,” itens que não interferem nos objetivos da pesquisa, categoria que incorpora sobretudo as homenagens prestadas em plenário (a municipalidades, a instituições públicas ou da sociedade civil, a personalidades), muito freqüentes nos pronunciamentos; e “outros”, temas dispersos, com baixa freqüência de observação, que não puderam ser enquadrados em nenhuma das categorias principais. Como hipótese, esperava-se que as mulheres se concentrassem em </w:t>
      </w:r>
      <w:r>
        <w:rPr>
          <w:i/>
        </w:rPr>
        <w:t xml:space="preserve">soft politics </w:t>
      </w:r>
      <w:r>
        <w:t xml:space="preserve">e os homens, em </w:t>
      </w:r>
      <w:r>
        <w:rPr>
          <w:i/>
        </w:rPr>
        <w:t>hard</w:t>
      </w:r>
      <w:r>
        <w:rPr>
          <w:i/>
          <w:spacing w:val="-16"/>
        </w:rPr>
        <w:t xml:space="preserve"> </w:t>
      </w:r>
      <w:r>
        <w:rPr>
          <w:i/>
        </w:rPr>
        <w:t>politics</w:t>
      </w:r>
      <w:r>
        <w:t>.</w:t>
      </w:r>
    </w:p>
    <w:p w:rsidR="0088415B" w:rsidRDefault="0088415B" w:rsidP="0088415B">
      <w:pPr>
        <w:spacing w:before="8"/>
        <w:rPr>
          <w:rFonts w:ascii="Times New Roman" w:eastAsia="Times New Roman" w:hAnsi="Times New Roman"/>
          <w:sz w:val="20"/>
          <w:szCs w:val="20"/>
        </w:rPr>
      </w:pPr>
    </w:p>
    <w:p w:rsidR="0088415B" w:rsidRDefault="0088415B" w:rsidP="0088415B">
      <w:pPr>
        <w:pStyle w:val="Ttulo1"/>
        <w:rPr>
          <w:b w:val="0"/>
          <w:bCs w:val="0"/>
        </w:rPr>
      </w:pPr>
      <w:r>
        <w:t>Resultados da pesquisa e</w:t>
      </w:r>
      <w:r>
        <w:rPr>
          <w:spacing w:val="-7"/>
        </w:rPr>
        <w:t xml:space="preserve"> </w:t>
      </w:r>
      <w:r>
        <w:t>discussão</w:t>
      </w:r>
    </w:p>
    <w:p w:rsidR="0088415B" w:rsidRDefault="0088415B" w:rsidP="0088415B">
      <w:pPr>
        <w:pStyle w:val="Corpodetexto"/>
        <w:spacing w:before="158" w:line="360" w:lineRule="auto"/>
        <w:ind w:right="113"/>
        <w:jc w:val="both"/>
      </w:pPr>
      <w:r>
        <w:t xml:space="preserve">Na tabela 1, abaixo, já é possível perceber a concentração das parlamentares nas questões de cunho social. As maiores discrepâncias relacionadas ao gênero ocorreram nos temas </w:t>
      </w:r>
      <w:r>
        <w:rPr>
          <w:i/>
        </w:rPr>
        <w:t xml:space="preserve">direitos humanos </w:t>
      </w:r>
      <w:r>
        <w:t xml:space="preserve">e </w:t>
      </w:r>
      <w:r>
        <w:rPr>
          <w:i/>
        </w:rPr>
        <w:t>família, direitos reprodutivos, infância e adolescência</w:t>
      </w:r>
      <w:r>
        <w:t xml:space="preserve">, com índices superiores para as mulheres, e inferiores em </w:t>
      </w:r>
      <w:r>
        <w:rPr>
          <w:i/>
        </w:rPr>
        <w:t>política econômica e tributária</w:t>
      </w:r>
      <w:r>
        <w:t xml:space="preserve">. Levando em </w:t>
      </w:r>
      <w:r>
        <w:lastRenderedPageBreak/>
        <w:t xml:space="preserve">conta a freqüência total dos dois primeiros tópicos, 5,7% e 3,1%, respectivamente, houve um desvio ascendente expressivo na proporção de discursos de deputadas que fazem alguma alusão a esses assuntos, 15,8% e 8,2%, ao passo que a porcentagem para os discursos dos deputados é somente 4,9% e 2,7%. Como aponta o teste qui-quadrado, o inverso acontece quando observado </w:t>
      </w:r>
      <w:r>
        <w:rPr>
          <w:i/>
        </w:rPr>
        <w:t>política econômica e tributária</w:t>
      </w:r>
      <w:r>
        <w:t xml:space="preserve">, matéria enquadrada em </w:t>
      </w:r>
      <w:r>
        <w:rPr>
          <w:i/>
        </w:rPr>
        <w:t>hard politics</w:t>
      </w:r>
      <w:r>
        <w:t xml:space="preserve">. Enquanto a freqüência total de menções nos discursos é de 15% - claramente superior aos outros dois temas agrupados em </w:t>
      </w:r>
      <w:r>
        <w:rPr>
          <w:i/>
        </w:rPr>
        <w:t xml:space="preserve">soft politics </w:t>
      </w:r>
      <w:r>
        <w:t>– e 15,4% dos discursos de parlamentares do  sexo masculino que o abordaram, o índice para os pronunciamentos das mulheres foi de apenas</w:t>
      </w:r>
      <w:r>
        <w:rPr>
          <w:spacing w:val="-1"/>
        </w:rPr>
        <w:t xml:space="preserve"> </w:t>
      </w:r>
      <w:r>
        <w:t>9,5%.</w:t>
      </w:r>
    </w:p>
    <w:p w:rsidR="0088415B" w:rsidRDefault="0088415B" w:rsidP="0088415B">
      <w:pPr>
        <w:sectPr w:rsidR="0088415B">
          <w:pgSz w:w="11910" w:h="16840"/>
          <w:pgMar w:top="920" w:right="1300" w:bottom="280" w:left="130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1"/>
        <w:rPr>
          <w:rFonts w:ascii="Times New Roman" w:eastAsia="Times New Roman" w:hAnsi="Times New Roman"/>
          <w:sz w:val="21"/>
          <w:szCs w:val="21"/>
        </w:rPr>
      </w:pPr>
    </w:p>
    <w:p w:rsidR="0088415B" w:rsidRDefault="0088415B" w:rsidP="0088415B">
      <w:pPr>
        <w:spacing w:after="3"/>
        <w:ind w:left="383"/>
        <w:rPr>
          <w:rFonts w:ascii="Arial" w:eastAsia="Arial" w:hAnsi="Arial" w:cs="Arial"/>
          <w:sz w:val="18"/>
          <w:szCs w:val="18"/>
        </w:rPr>
      </w:pPr>
      <w:r>
        <w:rPr>
          <w:rFonts w:ascii="Arial" w:hAnsi="Arial"/>
          <w:b/>
          <w:sz w:val="18"/>
        </w:rPr>
        <w:t>Tabela</w:t>
      </w:r>
      <w:r>
        <w:rPr>
          <w:rFonts w:ascii="Arial" w:hAnsi="Arial"/>
          <w:b/>
          <w:spacing w:val="-4"/>
          <w:sz w:val="18"/>
        </w:rPr>
        <w:t xml:space="preserve"> </w:t>
      </w:r>
      <w:r>
        <w:rPr>
          <w:rFonts w:ascii="Arial" w:hAnsi="Arial"/>
          <w:b/>
          <w:sz w:val="18"/>
        </w:rPr>
        <w:t>1</w:t>
      </w:r>
      <w:r>
        <w:rPr>
          <w:rFonts w:ascii="Arial" w:hAnsi="Arial"/>
          <w:sz w:val="18"/>
        </w:rPr>
        <w:t>:</w:t>
      </w:r>
      <w:r>
        <w:rPr>
          <w:rFonts w:ascii="Arial" w:hAnsi="Arial"/>
          <w:spacing w:val="-5"/>
          <w:sz w:val="18"/>
        </w:rPr>
        <w:t xml:space="preserve"> </w:t>
      </w:r>
      <w:r>
        <w:rPr>
          <w:rFonts w:ascii="Arial" w:hAnsi="Arial"/>
          <w:sz w:val="18"/>
        </w:rPr>
        <w:t>Temas</w:t>
      </w:r>
      <w:r>
        <w:rPr>
          <w:rFonts w:ascii="Arial" w:hAnsi="Arial"/>
          <w:spacing w:val="-3"/>
          <w:sz w:val="18"/>
        </w:rPr>
        <w:t xml:space="preserve"> </w:t>
      </w:r>
      <w:r>
        <w:rPr>
          <w:rFonts w:ascii="Arial" w:hAnsi="Arial"/>
          <w:sz w:val="18"/>
        </w:rPr>
        <w:t>dos</w:t>
      </w:r>
      <w:r>
        <w:rPr>
          <w:rFonts w:ascii="Arial" w:hAnsi="Arial"/>
          <w:spacing w:val="-3"/>
          <w:sz w:val="18"/>
        </w:rPr>
        <w:t xml:space="preserve"> </w:t>
      </w:r>
      <w:r>
        <w:rPr>
          <w:rFonts w:ascii="Arial" w:hAnsi="Arial"/>
          <w:sz w:val="18"/>
        </w:rPr>
        <w:t>discursos</w:t>
      </w:r>
      <w:r>
        <w:rPr>
          <w:rFonts w:ascii="Arial" w:hAnsi="Arial"/>
          <w:spacing w:val="-3"/>
          <w:sz w:val="18"/>
        </w:rPr>
        <w:t xml:space="preserve"> </w:t>
      </w:r>
      <w:r>
        <w:rPr>
          <w:rFonts w:ascii="Arial" w:hAnsi="Arial"/>
          <w:sz w:val="18"/>
        </w:rPr>
        <w:t>das</w:t>
      </w:r>
      <w:r>
        <w:rPr>
          <w:rFonts w:ascii="Arial" w:hAnsi="Arial"/>
          <w:spacing w:val="-3"/>
          <w:sz w:val="18"/>
        </w:rPr>
        <w:t xml:space="preserve"> </w:t>
      </w:r>
      <w:r>
        <w:rPr>
          <w:rFonts w:ascii="Arial" w:hAnsi="Arial"/>
          <w:sz w:val="18"/>
        </w:rPr>
        <w:t>51ª</w:t>
      </w:r>
      <w:r>
        <w:rPr>
          <w:rFonts w:ascii="Arial" w:hAnsi="Arial"/>
          <w:spacing w:val="-3"/>
          <w:sz w:val="18"/>
        </w:rPr>
        <w:t xml:space="preserve"> </w:t>
      </w:r>
      <w:r>
        <w:rPr>
          <w:rFonts w:ascii="Arial" w:hAnsi="Arial"/>
          <w:sz w:val="18"/>
        </w:rPr>
        <w:t>e</w:t>
      </w:r>
      <w:r>
        <w:rPr>
          <w:rFonts w:ascii="Arial" w:hAnsi="Arial"/>
          <w:spacing w:val="-3"/>
          <w:sz w:val="18"/>
        </w:rPr>
        <w:t xml:space="preserve"> </w:t>
      </w:r>
      <w:r>
        <w:rPr>
          <w:rFonts w:ascii="Arial" w:hAnsi="Arial"/>
          <w:sz w:val="18"/>
        </w:rPr>
        <w:t>52ª</w:t>
      </w:r>
      <w:r>
        <w:rPr>
          <w:rFonts w:ascii="Arial" w:hAnsi="Arial"/>
          <w:spacing w:val="-3"/>
          <w:sz w:val="18"/>
        </w:rPr>
        <w:t xml:space="preserve"> </w:t>
      </w:r>
      <w:r>
        <w:rPr>
          <w:rFonts w:ascii="Arial" w:hAnsi="Arial"/>
          <w:sz w:val="18"/>
        </w:rPr>
        <w:t>legislaturas</w:t>
      </w:r>
      <w:r>
        <w:rPr>
          <w:rFonts w:ascii="Arial" w:hAnsi="Arial"/>
          <w:spacing w:val="-2"/>
          <w:sz w:val="18"/>
        </w:rPr>
        <w:t xml:space="preserve"> </w:t>
      </w:r>
      <w:r>
        <w:rPr>
          <w:rFonts w:ascii="Arial" w:hAnsi="Arial"/>
          <w:sz w:val="18"/>
        </w:rPr>
        <w:t>da</w:t>
      </w:r>
      <w:r>
        <w:rPr>
          <w:rFonts w:ascii="Arial" w:hAnsi="Arial"/>
          <w:spacing w:val="-3"/>
          <w:sz w:val="18"/>
        </w:rPr>
        <w:t xml:space="preserve"> </w:t>
      </w:r>
      <w:r>
        <w:rPr>
          <w:rFonts w:ascii="Arial" w:hAnsi="Arial"/>
          <w:sz w:val="18"/>
        </w:rPr>
        <w:t>Câmara</w:t>
      </w:r>
      <w:r>
        <w:rPr>
          <w:rFonts w:ascii="Arial" w:hAnsi="Arial"/>
          <w:spacing w:val="-3"/>
          <w:sz w:val="18"/>
        </w:rPr>
        <w:t xml:space="preserve"> </w:t>
      </w:r>
      <w:r>
        <w:rPr>
          <w:rFonts w:ascii="Arial" w:hAnsi="Arial"/>
          <w:sz w:val="18"/>
        </w:rPr>
        <w:t>Federal,</w:t>
      </w:r>
      <w:r>
        <w:rPr>
          <w:rFonts w:ascii="Arial" w:hAnsi="Arial"/>
          <w:spacing w:val="-3"/>
          <w:sz w:val="18"/>
        </w:rPr>
        <w:t xml:space="preserve"> </w:t>
      </w:r>
      <w:r>
        <w:rPr>
          <w:rFonts w:ascii="Arial" w:hAnsi="Arial"/>
          <w:sz w:val="18"/>
        </w:rPr>
        <w:t>por</w:t>
      </w:r>
      <w:r>
        <w:rPr>
          <w:rFonts w:ascii="Arial" w:hAnsi="Arial"/>
          <w:spacing w:val="-3"/>
          <w:sz w:val="18"/>
        </w:rPr>
        <w:t xml:space="preserve"> </w:t>
      </w:r>
      <w:r>
        <w:rPr>
          <w:rFonts w:ascii="Arial" w:hAnsi="Arial"/>
          <w:sz w:val="18"/>
        </w:rPr>
        <w:t>sexo</w:t>
      </w:r>
      <w:r>
        <w:rPr>
          <w:rFonts w:ascii="Arial" w:hAnsi="Arial"/>
          <w:spacing w:val="-2"/>
          <w:sz w:val="18"/>
        </w:rPr>
        <w:t xml:space="preserve"> </w:t>
      </w:r>
      <w:r>
        <w:rPr>
          <w:rFonts w:ascii="Arial" w:hAnsi="Arial"/>
          <w:sz w:val="18"/>
        </w:rPr>
        <w:t>do</w:t>
      </w:r>
      <w:r>
        <w:rPr>
          <w:rFonts w:ascii="Arial" w:hAnsi="Arial"/>
          <w:spacing w:val="-3"/>
          <w:sz w:val="18"/>
        </w:rPr>
        <w:t xml:space="preserve"> </w:t>
      </w:r>
      <w:r>
        <w:rPr>
          <w:rFonts w:ascii="Arial" w:hAnsi="Arial"/>
          <w:sz w:val="18"/>
        </w:rPr>
        <w:t>orador</w:t>
      </w:r>
    </w:p>
    <w:tbl>
      <w:tblPr>
        <w:tblW w:w="0" w:type="auto"/>
        <w:tblInd w:w="312" w:type="dxa"/>
        <w:tblLayout w:type="fixed"/>
        <w:tblCellMar>
          <w:left w:w="0" w:type="dxa"/>
          <w:right w:w="0" w:type="dxa"/>
        </w:tblCellMar>
        <w:tblLook w:val="01E0"/>
      </w:tblPr>
      <w:tblGrid>
        <w:gridCol w:w="5291"/>
        <w:gridCol w:w="1260"/>
        <w:gridCol w:w="1260"/>
        <w:gridCol w:w="1343"/>
      </w:tblGrid>
      <w:tr w:rsidR="0088415B" w:rsidTr="00505E82">
        <w:trPr>
          <w:trHeight w:hRule="exact" w:val="238"/>
        </w:trPr>
        <w:tc>
          <w:tcPr>
            <w:tcW w:w="5291"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26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feminino</w:t>
            </w:r>
          </w:p>
        </w:tc>
        <w:tc>
          <w:tcPr>
            <w:tcW w:w="126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19"/>
              <w:rPr>
                <w:rFonts w:ascii="Arial" w:eastAsia="Arial" w:hAnsi="Arial" w:cs="Arial"/>
                <w:sz w:val="18"/>
                <w:szCs w:val="18"/>
              </w:rPr>
            </w:pPr>
            <w:r w:rsidRPr="00505E82">
              <w:rPr>
                <w:rFonts w:ascii="Arial"/>
                <w:sz w:val="18"/>
              </w:rPr>
              <w:t>masculino</w:t>
            </w:r>
          </w:p>
        </w:tc>
        <w:tc>
          <w:tcPr>
            <w:tcW w:w="1343"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138" w:right="139"/>
              <w:jc w:val="center"/>
              <w:rPr>
                <w:rFonts w:ascii="Arial" w:eastAsia="Arial" w:hAnsi="Arial" w:cs="Arial"/>
                <w:sz w:val="18"/>
                <w:szCs w:val="18"/>
              </w:rPr>
            </w:pPr>
            <w:r w:rsidRPr="00505E82">
              <w:rPr>
                <w:rFonts w:ascii="Arial"/>
                <w:sz w:val="18"/>
              </w:rPr>
              <w:t>total</w:t>
            </w:r>
          </w:p>
        </w:tc>
      </w:tr>
      <w:tr w:rsidR="0088415B" w:rsidTr="00505E82">
        <w:trPr>
          <w:trHeight w:hRule="exact" w:val="226"/>
        </w:trPr>
        <w:tc>
          <w:tcPr>
            <w:tcW w:w="5291"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política</w:t>
            </w:r>
            <w:r w:rsidRPr="00505E82">
              <w:rPr>
                <w:rFonts w:ascii="Arial" w:hAnsi="Arial"/>
                <w:spacing w:val="-14"/>
                <w:sz w:val="18"/>
              </w:rPr>
              <w:t xml:space="preserve"> </w:t>
            </w:r>
            <w:r w:rsidRPr="00505E82">
              <w:rPr>
                <w:rFonts w:ascii="Arial" w:hAnsi="Arial"/>
                <w:sz w:val="18"/>
              </w:rPr>
              <w:t>brasileira</w:t>
            </w:r>
          </w:p>
        </w:tc>
        <w:tc>
          <w:tcPr>
            <w:tcW w:w="126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4"/>
              <w:jc w:val="center"/>
              <w:rPr>
                <w:rFonts w:ascii="Arial" w:eastAsia="Arial" w:hAnsi="Arial" w:cs="Arial"/>
                <w:sz w:val="18"/>
                <w:szCs w:val="18"/>
              </w:rPr>
            </w:pPr>
            <w:r w:rsidRPr="00505E82">
              <w:rPr>
                <w:rFonts w:ascii="Arial"/>
                <w:sz w:val="18"/>
              </w:rPr>
              <w:t>22,3%</w:t>
            </w:r>
            <w:r w:rsidRPr="00505E82">
              <w:rPr>
                <w:rFonts w:ascii="Arial"/>
                <w:spacing w:val="-9"/>
                <w:sz w:val="18"/>
              </w:rPr>
              <w:t xml:space="preserve"> </w:t>
            </w:r>
            <w:r w:rsidRPr="00505E82">
              <w:rPr>
                <w:rFonts w:ascii="Arial"/>
                <w:sz w:val="18"/>
              </w:rPr>
              <w:t>(187)</w:t>
            </w:r>
          </w:p>
        </w:tc>
        <w:tc>
          <w:tcPr>
            <w:tcW w:w="126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83"/>
              <w:jc w:val="right"/>
              <w:rPr>
                <w:rFonts w:ascii="Arial" w:eastAsia="Arial" w:hAnsi="Arial" w:cs="Arial"/>
                <w:sz w:val="18"/>
                <w:szCs w:val="18"/>
              </w:rPr>
            </w:pPr>
            <w:r w:rsidRPr="00505E82">
              <w:rPr>
                <w:rFonts w:ascii="Arial"/>
                <w:sz w:val="18"/>
              </w:rPr>
              <w:t>24,0%</w:t>
            </w:r>
            <w:r w:rsidRPr="00505E82">
              <w:rPr>
                <w:rFonts w:ascii="Arial"/>
                <w:spacing w:val="-9"/>
                <w:sz w:val="18"/>
              </w:rPr>
              <w:t xml:space="preserve"> </w:t>
            </w:r>
            <w:r w:rsidRPr="00505E82">
              <w:rPr>
                <w:rFonts w:ascii="Arial"/>
                <w:sz w:val="18"/>
              </w:rPr>
              <w:t>(2639)</w:t>
            </w:r>
          </w:p>
        </w:tc>
        <w:tc>
          <w:tcPr>
            <w:tcW w:w="134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24"/>
              <w:jc w:val="right"/>
              <w:rPr>
                <w:rFonts w:ascii="Arial" w:eastAsia="Arial" w:hAnsi="Arial" w:cs="Arial"/>
                <w:sz w:val="18"/>
                <w:szCs w:val="18"/>
              </w:rPr>
            </w:pPr>
            <w:r w:rsidRPr="00505E82">
              <w:rPr>
                <w:rFonts w:ascii="Arial"/>
                <w:sz w:val="18"/>
              </w:rPr>
              <w:t>23,9%</w:t>
            </w:r>
            <w:r w:rsidRPr="00505E82">
              <w:rPr>
                <w:rFonts w:ascii="Arial"/>
                <w:spacing w:val="-9"/>
                <w:sz w:val="18"/>
              </w:rPr>
              <w:t xml:space="preserve"> </w:t>
            </w:r>
            <w:r w:rsidRPr="00505E82">
              <w:rPr>
                <w:rFonts w:ascii="Arial"/>
                <w:sz w:val="18"/>
              </w:rPr>
              <w:t>(2826)</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homenagens e comemorações em</w:t>
            </w:r>
            <w:r w:rsidRPr="00505E82">
              <w:rPr>
                <w:rFonts w:ascii="Arial" w:hAnsi="Arial"/>
                <w:spacing w:val="-21"/>
                <w:sz w:val="18"/>
              </w:rPr>
              <w:t xml:space="preserve"> </w:t>
            </w:r>
            <w:r w:rsidRPr="00505E82">
              <w:rPr>
                <w:rFonts w:ascii="Arial" w:hAnsi="Arial"/>
                <w:sz w:val="18"/>
              </w:rPr>
              <w:t>geral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11,2%</w:t>
            </w:r>
            <w:r w:rsidRPr="00505E82">
              <w:rPr>
                <w:rFonts w:ascii="Arial"/>
                <w:spacing w:val="-8"/>
                <w:sz w:val="18"/>
              </w:rPr>
              <w:t xml:space="preserve"> </w:t>
            </w:r>
            <w:r w:rsidRPr="00505E82">
              <w:rPr>
                <w:rFonts w:ascii="Arial"/>
                <w:sz w:val="18"/>
              </w:rPr>
              <w:t>(94)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83"/>
              <w:jc w:val="right"/>
              <w:rPr>
                <w:rFonts w:ascii="Arial" w:eastAsia="Arial" w:hAnsi="Arial" w:cs="Arial"/>
                <w:sz w:val="18"/>
                <w:szCs w:val="18"/>
              </w:rPr>
            </w:pPr>
            <w:r w:rsidRPr="00505E82">
              <w:rPr>
                <w:rFonts w:ascii="Arial"/>
                <w:sz w:val="18"/>
              </w:rPr>
              <w:t>17,2%</w:t>
            </w:r>
            <w:r w:rsidRPr="00505E82">
              <w:rPr>
                <w:rFonts w:ascii="Arial"/>
                <w:spacing w:val="-9"/>
                <w:sz w:val="18"/>
              </w:rPr>
              <w:t xml:space="preserve"> </w:t>
            </w:r>
            <w:r w:rsidRPr="00505E82">
              <w:rPr>
                <w:rFonts w:ascii="Arial"/>
                <w:sz w:val="18"/>
              </w:rPr>
              <w:t>(1885)</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26"/>
              <w:jc w:val="right"/>
              <w:rPr>
                <w:rFonts w:ascii="Arial" w:eastAsia="Arial" w:hAnsi="Arial" w:cs="Arial"/>
                <w:sz w:val="18"/>
                <w:szCs w:val="18"/>
              </w:rPr>
            </w:pPr>
            <w:r w:rsidRPr="00505E82">
              <w:rPr>
                <w:rFonts w:ascii="Arial"/>
                <w:sz w:val="18"/>
              </w:rPr>
              <w:t>16,7%</w:t>
            </w:r>
            <w:r w:rsidRPr="00505E82">
              <w:rPr>
                <w:rFonts w:ascii="Arial"/>
                <w:spacing w:val="-9"/>
                <w:sz w:val="18"/>
              </w:rPr>
              <w:t xml:space="preserve"> </w:t>
            </w:r>
            <w:r w:rsidRPr="00505E82">
              <w:rPr>
                <w:rFonts w:ascii="Arial"/>
                <w:sz w:val="18"/>
              </w:rPr>
              <w:t>(1979)</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política econômica e</w:t>
            </w:r>
            <w:r w:rsidRPr="00505E82">
              <w:rPr>
                <w:rFonts w:ascii="Arial" w:hAnsi="Arial"/>
                <w:spacing w:val="-17"/>
                <w:sz w:val="18"/>
              </w:rPr>
              <w:t xml:space="preserve"> </w:t>
            </w:r>
            <w:r w:rsidRPr="00505E82">
              <w:rPr>
                <w:rFonts w:ascii="Arial" w:hAnsi="Arial"/>
                <w:sz w:val="18"/>
              </w:rPr>
              <w:t>tributária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4"/>
              <w:jc w:val="center"/>
              <w:rPr>
                <w:rFonts w:ascii="Arial" w:eastAsia="Arial" w:hAnsi="Arial" w:cs="Arial"/>
                <w:sz w:val="18"/>
                <w:szCs w:val="18"/>
              </w:rPr>
            </w:pPr>
            <w:r w:rsidRPr="00505E82">
              <w:rPr>
                <w:rFonts w:ascii="Arial"/>
                <w:sz w:val="18"/>
              </w:rPr>
              <w:t>9,5%</w:t>
            </w:r>
            <w:r w:rsidRPr="00505E82">
              <w:rPr>
                <w:rFonts w:ascii="Arial"/>
                <w:spacing w:val="-8"/>
                <w:sz w:val="18"/>
              </w:rPr>
              <w:t xml:space="preserve"> </w:t>
            </w:r>
            <w:r w:rsidRPr="00505E82">
              <w:rPr>
                <w:rFonts w:ascii="Arial"/>
                <w:sz w:val="18"/>
              </w:rPr>
              <w:t>(80)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83"/>
              <w:jc w:val="right"/>
              <w:rPr>
                <w:rFonts w:ascii="Arial" w:eastAsia="Arial" w:hAnsi="Arial" w:cs="Arial"/>
                <w:sz w:val="18"/>
                <w:szCs w:val="18"/>
              </w:rPr>
            </w:pPr>
            <w:r w:rsidRPr="00505E82">
              <w:rPr>
                <w:rFonts w:ascii="Arial"/>
                <w:sz w:val="18"/>
              </w:rPr>
              <w:t>15,4%</w:t>
            </w:r>
            <w:r w:rsidRPr="00505E82">
              <w:rPr>
                <w:rFonts w:ascii="Arial"/>
                <w:spacing w:val="-9"/>
                <w:sz w:val="18"/>
              </w:rPr>
              <w:t xml:space="preserve"> </w:t>
            </w:r>
            <w:r w:rsidRPr="00505E82">
              <w:rPr>
                <w:rFonts w:ascii="Arial"/>
                <w:sz w:val="18"/>
              </w:rPr>
              <w:t>(1690)</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25"/>
              <w:jc w:val="right"/>
              <w:rPr>
                <w:rFonts w:ascii="Arial" w:eastAsia="Arial" w:hAnsi="Arial" w:cs="Arial"/>
                <w:sz w:val="18"/>
                <w:szCs w:val="18"/>
              </w:rPr>
            </w:pPr>
            <w:r w:rsidRPr="00505E82">
              <w:rPr>
                <w:rFonts w:ascii="Arial"/>
                <w:sz w:val="18"/>
              </w:rPr>
              <w:t>15,0%</w:t>
            </w:r>
            <w:r w:rsidRPr="00505E82">
              <w:rPr>
                <w:rFonts w:ascii="Arial"/>
                <w:spacing w:val="-9"/>
                <w:sz w:val="18"/>
              </w:rPr>
              <w:t xml:space="preserve"> </w:t>
            </w:r>
            <w:r w:rsidRPr="00505E82">
              <w:rPr>
                <w:rFonts w:ascii="Arial"/>
                <w:sz w:val="18"/>
              </w:rPr>
              <w:t>(1770)</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administração pública e reforma do</w:t>
            </w:r>
            <w:r w:rsidRPr="00505E82">
              <w:rPr>
                <w:rFonts w:ascii="Arial" w:hAnsi="Arial"/>
                <w:spacing w:val="-26"/>
                <w:sz w:val="18"/>
              </w:rPr>
              <w:t xml:space="preserve"> </w:t>
            </w:r>
            <w:r w:rsidRPr="00505E82">
              <w:rPr>
                <w:rFonts w:ascii="Arial" w:hAnsi="Arial"/>
                <w:sz w:val="18"/>
              </w:rPr>
              <w:t>Estado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9,8%</w:t>
            </w:r>
            <w:r w:rsidRPr="00505E82">
              <w:rPr>
                <w:rFonts w:ascii="Arial"/>
                <w:spacing w:val="-8"/>
                <w:sz w:val="18"/>
              </w:rPr>
              <w:t xml:space="preserve"> </w:t>
            </w:r>
            <w:r w:rsidRPr="00505E82">
              <w:rPr>
                <w:rFonts w:ascii="Arial"/>
                <w:sz w:val="18"/>
              </w:rPr>
              <w:t>(82)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83"/>
              <w:jc w:val="right"/>
              <w:rPr>
                <w:rFonts w:ascii="Arial" w:eastAsia="Arial" w:hAnsi="Arial" w:cs="Arial"/>
                <w:sz w:val="18"/>
                <w:szCs w:val="18"/>
              </w:rPr>
            </w:pPr>
            <w:r w:rsidRPr="00505E82">
              <w:rPr>
                <w:rFonts w:ascii="Arial"/>
                <w:sz w:val="18"/>
              </w:rPr>
              <w:t>10,6%</w:t>
            </w:r>
            <w:r w:rsidRPr="00505E82">
              <w:rPr>
                <w:rFonts w:ascii="Arial"/>
                <w:spacing w:val="-9"/>
                <w:sz w:val="18"/>
              </w:rPr>
              <w:t xml:space="preserve"> </w:t>
            </w:r>
            <w:r w:rsidRPr="00505E82">
              <w:rPr>
                <w:rFonts w:ascii="Arial"/>
                <w:sz w:val="18"/>
              </w:rPr>
              <w:t>(1169)</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24"/>
              <w:jc w:val="right"/>
              <w:rPr>
                <w:rFonts w:ascii="Arial" w:eastAsia="Arial" w:hAnsi="Arial" w:cs="Arial"/>
                <w:sz w:val="18"/>
                <w:szCs w:val="18"/>
              </w:rPr>
            </w:pPr>
            <w:r w:rsidRPr="00505E82">
              <w:rPr>
                <w:rFonts w:ascii="Arial"/>
                <w:sz w:val="18"/>
              </w:rPr>
              <w:t>10,6%</w:t>
            </w:r>
            <w:r w:rsidRPr="00505E82">
              <w:rPr>
                <w:rFonts w:ascii="Arial"/>
                <w:spacing w:val="-9"/>
                <w:sz w:val="18"/>
              </w:rPr>
              <w:t xml:space="preserve"> </w:t>
            </w:r>
            <w:r w:rsidRPr="00505E82">
              <w:rPr>
                <w:rFonts w:ascii="Arial"/>
                <w:sz w:val="18"/>
              </w:rPr>
              <w:t>(1251)</w:t>
            </w:r>
          </w:p>
        </w:tc>
      </w:tr>
      <w:tr w:rsidR="0088415B" w:rsidTr="00505E82">
        <w:trPr>
          <w:trHeight w:hRule="exact" w:val="216"/>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emprego, trabalho e formação</w:t>
            </w:r>
            <w:r w:rsidRPr="00505E82">
              <w:rPr>
                <w:rFonts w:ascii="Arial" w:hAnsi="Arial"/>
                <w:spacing w:val="-28"/>
                <w:sz w:val="18"/>
              </w:rPr>
              <w:t xml:space="preserve"> </w:t>
            </w:r>
            <w:r w:rsidRPr="00505E82">
              <w:rPr>
                <w:rFonts w:ascii="Arial" w:hAnsi="Arial"/>
                <w:sz w:val="18"/>
              </w:rPr>
              <w:t>profissional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11,8%</w:t>
            </w:r>
            <w:r w:rsidRPr="00505E82">
              <w:rPr>
                <w:rFonts w:ascii="Arial"/>
                <w:spacing w:val="-8"/>
                <w:sz w:val="18"/>
              </w:rPr>
              <w:t xml:space="preserve"> </w:t>
            </w:r>
            <w:r w:rsidRPr="00505E82">
              <w:rPr>
                <w:rFonts w:ascii="Arial"/>
                <w:sz w:val="18"/>
              </w:rPr>
              <w:t>(99)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133"/>
              <w:jc w:val="right"/>
              <w:rPr>
                <w:rFonts w:ascii="Arial" w:eastAsia="Arial" w:hAnsi="Arial" w:cs="Arial"/>
                <w:sz w:val="18"/>
                <w:szCs w:val="18"/>
              </w:rPr>
            </w:pPr>
            <w:r w:rsidRPr="00505E82">
              <w:rPr>
                <w:rFonts w:ascii="Arial"/>
                <w:sz w:val="18"/>
              </w:rPr>
              <w:t>9,7%</w:t>
            </w:r>
            <w:r w:rsidRPr="00505E82">
              <w:rPr>
                <w:rFonts w:ascii="Arial"/>
                <w:spacing w:val="-9"/>
                <w:sz w:val="18"/>
              </w:rPr>
              <w:t xml:space="preserve"> </w:t>
            </w:r>
            <w:r w:rsidRPr="00505E82">
              <w:rPr>
                <w:rFonts w:ascii="Arial"/>
                <w:sz w:val="18"/>
              </w:rPr>
              <w:t>(1069)</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74"/>
              <w:jc w:val="right"/>
              <w:rPr>
                <w:rFonts w:ascii="Arial" w:eastAsia="Arial" w:hAnsi="Arial" w:cs="Arial"/>
                <w:sz w:val="18"/>
                <w:szCs w:val="18"/>
              </w:rPr>
            </w:pPr>
            <w:r w:rsidRPr="00505E82">
              <w:rPr>
                <w:rFonts w:ascii="Arial"/>
                <w:sz w:val="18"/>
              </w:rPr>
              <w:t>9,9%</w:t>
            </w:r>
            <w:r w:rsidRPr="00505E82">
              <w:rPr>
                <w:rFonts w:ascii="Arial"/>
                <w:spacing w:val="-9"/>
                <w:sz w:val="18"/>
              </w:rPr>
              <w:t xml:space="preserve"> </w:t>
            </w:r>
            <w:r w:rsidRPr="00505E82">
              <w:rPr>
                <w:rFonts w:ascii="Arial"/>
                <w:sz w:val="18"/>
              </w:rPr>
              <w:t>(1168)</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outras questões de</w:t>
            </w:r>
            <w:r w:rsidRPr="00505E82">
              <w:rPr>
                <w:rFonts w:ascii="Arial" w:hAnsi="Arial"/>
                <w:spacing w:val="-24"/>
                <w:sz w:val="18"/>
              </w:rPr>
              <w:t xml:space="preserve"> </w:t>
            </w:r>
            <w:r w:rsidRPr="00505E82">
              <w:rPr>
                <w:rFonts w:ascii="Arial" w:hAnsi="Arial"/>
                <w:sz w:val="18"/>
              </w:rPr>
              <w:t>infraestrutura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4"/>
              <w:jc w:val="center"/>
              <w:rPr>
                <w:rFonts w:ascii="Arial" w:eastAsia="Arial" w:hAnsi="Arial" w:cs="Arial"/>
                <w:sz w:val="18"/>
                <w:szCs w:val="18"/>
              </w:rPr>
            </w:pPr>
            <w:r w:rsidRPr="00505E82">
              <w:rPr>
                <w:rFonts w:ascii="Arial"/>
                <w:sz w:val="18"/>
              </w:rPr>
              <w:t>7,9%</w:t>
            </w:r>
            <w:r w:rsidRPr="00505E82">
              <w:rPr>
                <w:rFonts w:ascii="Arial"/>
                <w:spacing w:val="-8"/>
                <w:sz w:val="18"/>
              </w:rPr>
              <w:t xml:space="preserve"> </w:t>
            </w:r>
            <w:r w:rsidRPr="00505E82">
              <w:rPr>
                <w:rFonts w:ascii="Arial"/>
                <w:sz w:val="18"/>
              </w:rPr>
              <w:t>(66)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133"/>
              <w:jc w:val="right"/>
              <w:rPr>
                <w:rFonts w:ascii="Arial" w:eastAsia="Arial" w:hAnsi="Arial" w:cs="Arial"/>
                <w:sz w:val="18"/>
                <w:szCs w:val="18"/>
              </w:rPr>
            </w:pPr>
            <w:r w:rsidRPr="00505E82">
              <w:rPr>
                <w:rFonts w:ascii="Arial"/>
                <w:sz w:val="18"/>
              </w:rPr>
              <w:t>9,2%</w:t>
            </w:r>
            <w:r w:rsidRPr="00505E82">
              <w:rPr>
                <w:rFonts w:ascii="Arial"/>
                <w:spacing w:val="-9"/>
                <w:sz w:val="18"/>
              </w:rPr>
              <w:t xml:space="preserve"> </w:t>
            </w:r>
            <w:r w:rsidRPr="00505E82">
              <w:rPr>
                <w:rFonts w:ascii="Arial"/>
                <w:sz w:val="18"/>
              </w:rPr>
              <w:t>(1016)</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75"/>
              <w:jc w:val="right"/>
              <w:rPr>
                <w:rFonts w:ascii="Arial" w:eastAsia="Arial" w:hAnsi="Arial" w:cs="Arial"/>
                <w:sz w:val="18"/>
                <w:szCs w:val="18"/>
              </w:rPr>
            </w:pPr>
            <w:r w:rsidRPr="00505E82">
              <w:rPr>
                <w:rFonts w:ascii="Arial"/>
                <w:sz w:val="18"/>
              </w:rPr>
              <w:t>9,1%</w:t>
            </w:r>
            <w:r w:rsidRPr="00505E82">
              <w:rPr>
                <w:rFonts w:ascii="Arial"/>
                <w:spacing w:val="-9"/>
                <w:sz w:val="18"/>
              </w:rPr>
              <w:t xml:space="preserve"> </w:t>
            </w:r>
            <w:r w:rsidRPr="00505E82">
              <w:rPr>
                <w:rFonts w:ascii="Arial"/>
                <w:sz w:val="18"/>
              </w:rPr>
              <w:t>(1082)</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questões internas do</w:t>
            </w:r>
            <w:r w:rsidRPr="00505E82">
              <w:rPr>
                <w:rFonts w:ascii="Arial" w:hAnsi="Arial"/>
                <w:spacing w:val="-19"/>
                <w:sz w:val="18"/>
              </w:rPr>
              <w:t xml:space="preserve"> </w:t>
            </w:r>
            <w:r w:rsidRPr="00505E82">
              <w:rPr>
                <w:rFonts w:ascii="Arial" w:hAnsi="Arial"/>
                <w:sz w:val="18"/>
              </w:rPr>
              <w:t>Congresso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8,3%</w:t>
            </w:r>
            <w:r w:rsidRPr="00505E82">
              <w:rPr>
                <w:rFonts w:ascii="Arial"/>
                <w:spacing w:val="-8"/>
                <w:sz w:val="18"/>
              </w:rPr>
              <w:t xml:space="preserve"> </w:t>
            </w:r>
            <w:r w:rsidRPr="00505E82">
              <w:rPr>
                <w:rFonts w:ascii="Arial"/>
                <w:sz w:val="18"/>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132"/>
              <w:jc w:val="right"/>
              <w:rPr>
                <w:rFonts w:ascii="Arial" w:eastAsia="Arial" w:hAnsi="Arial" w:cs="Arial"/>
                <w:sz w:val="18"/>
                <w:szCs w:val="18"/>
              </w:rPr>
            </w:pPr>
            <w:r w:rsidRPr="00505E82">
              <w:rPr>
                <w:rFonts w:ascii="Arial"/>
                <w:sz w:val="18"/>
              </w:rPr>
              <w:t>9,2%</w:t>
            </w:r>
            <w:r w:rsidRPr="00505E82">
              <w:rPr>
                <w:rFonts w:ascii="Arial"/>
                <w:spacing w:val="-9"/>
                <w:sz w:val="18"/>
              </w:rPr>
              <w:t xml:space="preserve"> </w:t>
            </w:r>
            <w:r w:rsidRPr="00505E82">
              <w:rPr>
                <w:rFonts w:ascii="Arial"/>
                <w:sz w:val="18"/>
              </w:rPr>
              <w:t>(1010)</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73"/>
              <w:jc w:val="right"/>
              <w:rPr>
                <w:rFonts w:ascii="Arial" w:eastAsia="Arial" w:hAnsi="Arial" w:cs="Arial"/>
                <w:sz w:val="18"/>
                <w:szCs w:val="18"/>
              </w:rPr>
            </w:pPr>
            <w:r w:rsidRPr="00505E82">
              <w:rPr>
                <w:rFonts w:ascii="Arial"/>
                <w:sz w:val="18"/>
              </w:rPr>
              <w:t>9,1%</w:t>
            </w:r>
            <w:r w:rsidRPr="00505E82">
              <w:rPr>
                <w:rFonts w:ascii="Arial"/>
                <w:spacing w:val="-9"/>
                <w:sz w:val="18"/>
              </w:rPr>
              <w:t xml:space="preserve"> </w:t>
            </w:r>
            <w:r w:rsidRPr="00505E82">
              <w:rPr>
                <w:rFonts w:ascii="Arial"/>
                <w:sz w:val="18"/>
              </w:rPr>
              <w:t>(1080)</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violência e segurança</w:t>
            </w:r>
            <w:r w:rsidRPr="00505E82">
              <w:rPr>
                <w:rFonts w:ascii="Arial" w:hAnsi="Arial"/>
                <w:spacing w:val="-15"/>
                <w:sz w:val="18"/>
              </w:rPr>
              <w:t xml:space="preserve"> </w:t>
            </w:r>
            <w:r w:rsidRPr="00505E82">
              <w:rPr>
                <w:rFonts w:ascii="Arial" w:hAnsi="Arial"/>
                <w:sz w:val="18"/>
              </w:rPr>
              <w:t>pública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10,7%</w:t>
            </w:r>
            <w:r w:rsidRPr="00505E82">
              <w:rPr>
                <w:rFonts w:ascii="Arial"/>
                <w:spacing w:val="-8"/>
                <w:sz w:val="18"/>
              </w:rPr>
              <w:t xml:space="preserve"> </w:t>
            </w:r>
            <w:r w:rsidRPr="00505E82">
              <w:rPr>
                <w:rFonts w:ascii="Arial"/>
                <w:sz w:val="18"/>
              </w:rPr>
              <w:t>(90)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8,5%</w:t>
            </w:r>
            <w:r w:rsidRPr="00505E82">
              <w:rPr>
                <w:rFonts w:ascii="Arial"/>
                <w:spacing w:val="-7"/>
                <w:sz w:val="18"/>
              </w:rPr>
              <w:t xml:space="preserve"> </w:t>
            </w:r>
            <w:r w:rsidRPr="00505E82">
              <w:rPr>
                <w:rFonts w:ascii="Arial"/>
                <w:sz w:val="18"/>
              </w:rPr>
              <w:t>(939)</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75"/>
              <w:jc w:val="right"/>
              <w:rPr>
                <w:rFonts w:ascii="Arial" w:eastAsia="Arial" w:hAnsi="Arial" w:cs="Arial"/>
                <w:sz w:val="18"/>
                <w:szCs w:val="18"/>
              </w:rPr>
            </w:pPr>
            <w:r w:rsidRPr="00505E82">
              <w:rPr>
                <w:rFonts w:ascii="Arial"/>
                <w:sz w:val="18"/>
              </w:rPr>
              <w:t>8,7%</w:t>
            </w:r>
            <w:r w:rsidRPr="00505E82">
              <w:rPr>
                <w:rFonts w:ascii="Arial"/>
                <w:spacing w:val="-9"/>
                <w:sz w:val="18"/>
              </w:rPr>
              <w:t xml:space="preserve"> </w:t>
            </w:r>
            <w:r w:rsidRPr="00505E82">
              <w:rPr>
                <w:rFonts w:ascii="Arial"/>
                <w:sz w:val="18"/>
              </w:rPr>
              <w:t>(1029)</w:t>
            </w:r>
          </w:p>
        </w:tc>
      </w:tr>
      <w:tr w:rsidR="0088415B" w:rsidTr="00505E82">
        <w:trPr>
          <w:trHeight w:hRule="exact" w:val="424"/>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before="2" w:line="206" w:lineRule="exact"/>
              <w:ind w:left="70" w:right="408"/>
              <w:rPr>
                <w:rFonts w:ascii="Arial" w:eastAsia="Arial" w:hAnsi="Arial" w:cs="Arial"/>
                <w:sz w:val="18"/>
                <w:szCs w:val="18"/>
              </w:rPr>
            </w:pPr>
            <w:r w:rsidRPr="00505E82">
              <w:rPr>
                <w:rFonts w:ascii="Arial" w:hAnsi="Arial"/>
                <w:sz w:val="18"/>
              </w:rPr>
              <w:t>corrupção, sonegação de impostos e crimes contra a ordem econômica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(84)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8,5%</w:t>
            </w:r>
            <w:r w:rsidRPr="00505E82">
              <w:rPr>
                <w:rFonts w:ascii="Arial"/>
                <w:spacing w:val="-7"/>
                <w:sz w:val="18"/>
              </w:rPr>
              <w:t xml:space="preserve"> </w:t>
            </w:r>
            <w:r w:rsidRPr="00505E82">
              <w:rPr>
                <w:rFonts w:ascii="Arial"/>
                <w:sz w:val="18"/>
              </w:rPr>
              <w:t>(934)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75"/>
              <w:jc w:val="right"/>
              <w:rPr>
                <w:rFonts w:ascii="Arial" w:eastAsia="Arial" w:hAnsi="Arial" w:cs="Arial"/>
                <w:sz w:val="18"/>
                <w:szCs w:val="18"/>
              </w:rPr>
            </w:pPr>
            <w:r w:rsidRPr="00505E82">
              <w:rPr>
                <w:rFonts w:ascii="Arial"/>
                <w:sz w:val="18"/>
              </w:rPr>
              <w:t>8,6%</w:t>
            </w:r>
            <w:r w:rsidRPr="00505E82">
              <w:rPr>
                <w:rFonts w:ascii="Arial"/>
                <w:spacing w:val="-9"/>
                <w:sz w:val="18"/>
              </w:rPr>
              <w:t xml:space="preserve"> </w:t>
            </w:r>
            <w:r w:rsidRPr="00505E82">
              <w:rPr>
                <w:rFonts w:ascii="Arial"/>
                <w:sz w:val="18"/>
              </w:rPr>
              <w:t>(1018)</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política</w:t>
            </w:r>
            <w:r w:rsidRPr="00505E82">
              <w:rPr>
                <w:rFonts w:ascii="Arial" w:hAnsi="Arial"/>
                <w:spacing w:val="-13"/>
                <w:sz w:val="18"/>
              </w:rPr>
              <w:t xml:space="preserve"> </w:t>
            </w:r>
            <w:r w:rsidRPr="00505E82">
              <w:rPr>
                <w:rFonts w:ascii="Arial" w:hAnsi="Arial"/>
                <w:sz w:val="18"/>
              </w:rPr>
              <w:t>agrícola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6,0%</w:t>
            </w:r>
            <w:r w:rsidRPr="00505E82">
              <w:rPr>
                <w:rFonts w:ascii="Arial"/>
                <w:spacing w:val="-8"/>
                <w:sz w:val="18"/>
              </w:rPr>
              <w:t xml:space="preserve"> </w:t>
            </w:r>
            <w:r w:rsidRPr="00505E82">
              <w:rPr>
                <w:rFonts w:ascii="Arial"/>
                <w:sz w:val="18"/>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8,7%</w:t>
            </w:r>
            <w:r w:rsidRPr="00505E82">
              <w:rPr>
                <w:rFonts w:ascii="Arial"/>
                <w:spacing w:val="-7"/>
                <w:sz w:val="18"/>
              </w:rPr>
              <w:t xml:space="preserve"> </w:t>
            </w:r>
            <w:r w:rsidRPr="00505E82">
              <w:rPr>
                <w:rFonts w:ascii="Arial"/>
                <w:sz w:val="18"/>
              </w:rPr>
              <w:t>(952)</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74"/>
              <w:jc w:val="right"/>
              <w:rPr>
                <w:rFonts w:ascii="Arial" w:eastAsia="Arial" w:hAnsi="Arial" w:cs="Arial"/>
                <w:sz w:val="18"/>
                <w:szCs w:val="18"/>
              </w:rPr>
            </w:pPr>
            <w:r w:rsidRPr="00505E82">
              <w:rPr>
                <w:rFonts w:ascii="Arial"/>
                <w:sz w:val="18"/>
              </w:rPr>
              <w:t>8,5%</w:t>
            </w:r>
            <w:r w:rsidRPr="00505E82">
              <w:rPr>
                <w:rFonts w:ascii="Arial"/>
                <w:spacing w:val="-9"/>
                <w:sz w:val="18"/>
              </w:rPr>
              <w:t xml:space="preserve"> </w:t>
            </w:r>
            <w:r w:rsidRPr="00505E82">
              <w:rPr>
                <w:rFonts w:ascii="Arial"/>
                <w:sz w:val="18"/>
              </w:rPr>
              <w:t>(1002)</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saúde pública e</w:t>
            </w:r>
            <w:r w:rsidRPr="00505E82">
              <w:rPr>
                <w:rFonts w:ascii="Arial" w:hAnsi="Arial"/>
                <w:spacing w:val="-15"/>
                <w:sz w:val="18"/>
              </w:rPr>
              <w:t xml:space="preserve"> </w:t>
            </w:r>
            <w:r w:rsidRPr="00505E82">
              <w:rPr>
                <w:rFonts w:ascii="Arial" w:hAnsi="Arial"/>
                <w:sz w:val="18"/>
              </w:rPr>
              <w:t>saneamento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10,6%</w:t>
            </w:r>
            <w:r w:rsidRPr="00505E82">
              <w:rPr>
                <w:rFonts w:ascii="Arial"/>
                <w:spacing w:val="-8"/>
                <w:sz w:val="18"/>
              </w:rPr>
              <w:t xml:space="preserve"> </w:t>
            </w:r>
            <w:r w:rsidRPr="00505E82">
              <w:rPr>
                <w:rFonts w:ascii="Arial"/>
                <w:sz w:val="18"/>
              </w:rPr>
              <w:t>(89)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7,5%</w:t>
            </w:r>
            <w:r w:rsidRPr="00505E82">
              <w:rPr>
                <w:rFonts w:ascii="Arial"/>
                <w:spacing w:val="-7"/>
                <w:sz w:val="18"/>
              </w:rPr>
              <w:t xml:space="preserve"> </w:t>
            </w:r>
            <w:r w:rsidRPr="00505E82">
              <w:rPr>
                <w:rFonts w:ascii="Arial"/>
                <w:sz w:val="18"/>
              </w:rPr>
              <w:t>(826)</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6"/>
              <w:jc w:val="right"/>
              <w:rPr>
                <w:rFonts w:ascii="Arial" w:eastAsia="Arial" w:hAnsi="Arial" w:cs="Arial"/>
                <w:sz w:val="18"/>
                <w:szCs w:val="18"/>
              </w:rPr>
            </w:pPr>
            <w:r w:rsidRPr="00505E82">
              <w:rPr>
                <w:rFonts w:ascii="Arial"/>
                <w:sz w:val="18"/>
              </w:rPr>
              <w:t>7,7%</w:t>
            </w:r>
            <w:r w:rsidRPr="00505E82">
              <w:rPr>
                <w:rFonts w:ascii="Arial"/>
                <w:spacing w:val="-7"/>
                <w:sz w:val="18"/>
              </w:rPr>
              <w:t xml:space="preserve"> </w:t>
            </w:r>
            <w:r w:rsidRPr="00505E82">
              <w:rPr>
                <w:rFonts w:ascii="Arial"/>
                <w:sz w:val="18"/>
              </w:rPr>
              <w:t>(915)</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questões sociais (pobreza, desigualdade,</w:t>
            </w:r>
            <w:r w:rsidRPr="00505E82">
              <w:rPr>
                <w:rFonts w:ascii="Arial" w:hAnsi="Arial"/>
                <w:spacing w:val="-30"/>
                <w:sz w:val="18"/>
              </w:rPr>
              <w:t xml:space="preserve"> </w:t>
            </w:r>
            <w:r w:rsidRPr="00505E82">
              <w:rPr>
                <w:rFonts w:ascii="Arial" w:hAnsi="Arial"/>
                <w:sz w:val="18"/>
              </w:rPr>
              <w:t>fome)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0"/>
              <w:jc w:val="center"/>
              <w:rPr>
                <w:rFonts w:ascii="Arial" w:eastAsia="Arial" w:hAnsi="Arial" w:cs="Arial"/>
                <w:sz w:val="18"/>
                <w:szCs w:val="18"/>
              </w:rPr>
            </w:pPr>
            <w:r w:rsidRPr="00505E82">
              <w:rPr>
                <w:rFonts w:ascii="Arial"/>
                <w:sz w:val="18"/>
              </w:rPr>
              <w:t>8,1%</w:t>
            </w:r>
            <w:r w:rsidRPr="00505E82">
              <w:rPr>
                <w:rFonts w:ascii="Arial"/>
                <w:spacing w:val="-8"/>
                <w:sz w:val="18"/>
              </w:rPr>
              <w:t xml:space="preserve"> </w:t>
            </w:r>
            <w:r w:rsidRPr="00505E82">
              <w:rPr>
                <w:rFonts w:ascii="Arial"/>
                <w:sz w:val="18"/>
              </w:rPr>
              <w:t>(68)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7"/>
              <w:rPr>
                <w:rFonts w:ascii="Arial" w:eastAsia="Arial" w:hAnsi="Arial" w:cs="Arial"/>
                <w:sz w:val="18"/>
                <w:szCs w:val="18"/>
              </w:rPr>
            </w:pPr>
            <w:r w:rsidRPr="00505E82">
              <w:rPr>
                <w:rFonts w:ascii="Arial"/>
                <w:sz w:val="18"/>
              </w:rPr>
              <w:t>7,0%</w:t>
            </w:r>
            <w:r w:rsidRPr="00505E82">
              <w:rPr>
                <w:rFonts w:ascii="Arial"/>
                <w:spacing w:val="-7"/>
                <w:sz w:val="18"/>
              </w:rPr>
              <w:t xml:space="preserve"> </w:t>
            </w:r>
            <w:r w:rsidRPr="00505E82">
              <w:rPr>
                <w:rFonts w:ascii="Arial"/>
                <w:sz w:val="18"/>
              </w:rPr>
              <w:t>(764)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3"/>
              <w:jc w:val="right"/>
              <w:rPr>
                <w:rFonts w:ascii="Arial" w:eastAsia="Arial" w:hAnsi="Arial" w:cs="Arial"/>
                <w:sz w:val="18"/>
                <w:szCs w:val="18"/>
              </w:rPr>
            </w:pPr>
            <w:r w:rsidRPr="00505E82">
              <w:rPr>
                <w:rFonts w:ascii="Arial"/>
                <w:sz w:val="18"/>
              </w:rPr>
              <w:t>7,0%</w:t>
            </w:r>
            <w:r w:rsidRPr="00505E82">
              <w:rPr>
                <w:rFonts w:ascii="Arial"/>
                <w:spacing w:val="-7"/>
                <w:sz w:val="18"/>
              </w:rPr>
              <w:t xml:space="preserve"> </w:t>
            </w:r>
            <w:r w:rsidRPr="00505E82">
              <w:rPr>
                <w:rFonts w:ascii="Arial"/>
                <w:sz w:val="18"/>
              </w:rPr>
              <w:t>(832)</w:t>
            </w:r>
          </w:p>
        </w:tc>
      </w:tr>
      <w:tr w:rsidR="0088415B" w:rsidTr="00505E82">
        <w:trPr>
          <w:trHeight w:hRule="exact" w:val="216"/>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direitos</w:t>
            </w:r>
            <w:r w:rsidRPr="00505E82">
              <w:rPr>
                <w:rFonts w:ascii="Arial"/>
                <w:spacing w:val="-10"/>
                <w:sz w:val="18"/>
              </w:rPr>
              <w:t xml:space="preserve"> </w:t>
            </w:r>
            <w:r w:rsidRPr="00505E82">
              <w:rPr>
                <w:rFonts w:ascii="Arial"/>
                <w:sz w:val="18"/>
              </w:rPr>
              <w:t>humanos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15,8%</w:t>
            </w:r>
            <w:r w:rsidRPr="00505E82">
              <w:rPr>
                <w:rFonts w:ascii="Arial"/>
                <w:spacing w:val="-9"/>
                <w:sz w:val="18"/>
              </w:rPr>
              <w:t xml:space="preserve"> </w:t>
            </w:r>
            <w:r w:rsidRPr="00505E82">
              <w:rPr>
                <w:rFonts w:ascii="Arial"/>
                <w:sz w:val="18"/>
              </w:rPr>
              <w:t>(133)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4,9%</w:t>
            </w:r>
            <w:r w:rsidRPr="00505E82">
              <w:rPr>
                <w:rFonts w:ascii="Arial"/>
                <w:spacing w:val="-7"/>
                <w:sz w:val="18"/>
              </w:rPr>
              <w:t xml:space="preserve"> </w:t>
            </w:r>
            <w:r w:rsidRPr="00505E82">
              <w:rPr>
                <w:rFonts w:ascii="Arial"/>
                <w:sz w:val="18"/>
              </w:rPr>
              <w:t>(540)</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4"/>
              <w:jc w:val="right"/>
              <w:rPr>
                <w:rFonts w:ascii="Arial" w:eastAsia="Arial" w:hAnsi="Arial" w:cs="Arial"/>
                <w:sz w:val="18"/>
                <w:szCs w:val="18"/>
              </w:rPr>
            </w:pPr>
            <w:r w:rsidRPr="00505E82">
              <w:rPr>
                <w:rFonts w:ascii="Arial"/>
                <w:sz w:val="18"/>
              </w:rPr>
              <w:t>5,7%</w:t>
            </w:r>
            <w:r w:rsidRPr="00505E82">
              <w:rPr>
                <w:rFonts w:ascii="Arial"/>
                <w:spacing w:val="-7"/>
                <w:sz w:val="18"/>
              </w:rPr>
              <w:t xml:space="preserve"> </w:t>
            </w:r>
            <w:r w:rsidRPr="00505E82">
              <w:rPr>
                <w:rFonts w:ascii="Arial"/>
                <w:sz w:val="18"/>
              </w:rPr>
              <w:t>(673)</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política</w:t>
            </w:r>
            <w:r w:rsidRPr="00505E82">
              <w:rPr>
                <w:rFonts w:ascii="Arial" w:hAnsi="Arial"/>
                <w:spacing w:val="-16"/>
                <w:sz w:val="18"/>
              </w:rPr>
              <w:t xml:space="preserve"> </w:t>
            </w:r>
            <w:r w:rsidRPr="00505E82">
              <w:rPr>
                <w:rFonts w:ascii="Arial" w:hAnsi="Arial"/>
                <w:sz w:val="18"/>
              </w:rPr>
              <w:t>industrial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4,5%</w:t>
            </w:r>
            <w:r w:rsidRPr="00505E82">
              <w:rPr>
                <w:rFonts w:ascii="Arial"/>
                <w:spacing w:val="-8"/>
                <w:sz w:val="18"/>
              </w:rPr>
              <w:t xml:space="preserve"> </w:t>
            </w:r>
            <w:r w:rsidRPr="00505E82">
              <w:rPr>
                <w:rFonts w:ascii="Arial"/>
                <w:sz w:val="18"/>
              </w:rPr>
              <w:t>(38)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5,7%</w:t>
            </w:r>
            <w:r w:rsidRPr="00505E82">
              <w:rPr>
                <w:rFonts w:ascii="Arial"/>
                <w:spacing w:val="-7"/>
                <w:sz w:val="18"/>
              </w:rPr>
              <w:t xml:space="preserve"> </w:t>
            </w:r>
            <w:r w:rsidRPr="00505E82">
              <w:rPr>
                <w:rFonts w:ascii="Arial"/>
                <w:sz w:val="18"/>
              </w:rPr>
              <w:t>(626)</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4"/>
              <w:jc w:val="right"/>
              <w:rPr>
                <w:rFonts w:ascii="Arial" w:eastAsia="Arial" w:hAnsi="Arial" w:cs="Arial"/>
                <w:sz w:val="18"/>
                <w:szCs w:val="18"/>
              </w:rPr>
            </w:pPr>
            <w:r w:rsidRPr="00505E82">
              <w:rPr>
                <w:rFonts w:ascii="Arial"/>
                <w:sz w:val="18"/>
              </w:rPr>
              <w:t>5,6%</w:t>
            </w:r>
            <w:r w:rsidRPr="00505E82">
              <w:rPr>
                <w:rFonts w:ascii="Arial"/>
                <w:spacing w:val="-7"/>
                <w:sz w:val="18"/>
              </w:rPr>
              <w:t xml:space="preserve"> </w:t>
            </w:r>
            <w:r w:rsidRPr="00505E82">
              <w:rPr>
                <w:rFonts w:ascii="Arial"/>
                <w:sz w:val="18"/>
              </w:rPr>
              <w:t>(664)</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educação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7,6%</w:t>
            </w:r>
            <w:r w:rsidRPr="00505E82">
              <w:rPr>
                <w:rFonts w:ascii="Arial"/>
                <w:spacing w:val="-8"/>
                <w:sz w:val="18"/>
              </w:rPr>
              <w:t xml:space="preserve"> </w:t>
            </w:r>
            <w:r w:rsidRPr="00505E82">
              <w:rPr>
                <w:rFonts w:ascii="Arial"/>
                <w:sz w:val="18"/>
              </w:rPr>
              <w:t>(64)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5,4%</w:t>
            </w:r>
            <w:r w:rsidRPr="00505E82">
              <w:rPr>
                <w:rFonts w:ascii="Arial"/>
                <w:spacing w:val="-7"/>
                <w:sz w:val="18"/>
              </w:rPr>
              <w:t xml:space="preserve"> </w:t>
            </w:r>
            <w:r w:rsidRPr="00505E82">
              <w:rPr>
                <w:rFonts w:ascii="Arial"/>
                <w:sz w:val="18"/>
              </w:rPr>
              <w:t>(590)</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5,5%</w:t>
            </w:r>
            <w:r w:rsidRPr="00505E82">
              <w:rPr>
                <w:rFonts w:ascii="Arial"/>
                <w:spacing w:val="-7"/>
                <w:sz w:val="18"/>
              </w:rPr>
              <w:t xml:space="preserve"> </w:t>
            </w:r>
            <w:r w:rsidRPr="00505E82">
              <w:rPr>
                <w:rFonts w:ascii="Arial"/>
                <w:sz w:val="18"/>
              </w:rPr>
              <w:t>(654)</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funcionalismo</w:t>
            </w:r>
            <w:r w:rsidRPr="00505E82">
              <w:rPr>
                <w:rFonts w:ascii="Arial" w:hAnsi="Arial"/>
                <w:spacing w:val="-16"/>
                <w:sz w:val="18"/>
              </w:rPr>
              <w:t xml:space="preserve"> </w:t>
            </w:r>
            <w:r w:rsidRPr="00505E82">
              <w:rPr>
                <w:rFonts w:ascii="Arial" w:hAnsi="Arial"/>
                <w:sz w:val="18"/>
              </w:rPr>
              <w:t>público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6,9%</w:t>
            </w:r>
            <w:r w:rsidRPr="00505E82">
              <w:rPr>
                <w:rFonts w:ascii="Arial"/>
                <w:spacing w:val="-7"/>
                <w:sz w:val="18"/>
              </w:rPr>
              <w:t xml:space="preserve"> </w:t>
            </w:r>
            <w:r w:rsidRPr="00505E82">
              <w:rPr>
                <w:rFonts w:ascii="Arial"/>
                <w:sz w:val="18"/>
              </w:rPr>
              <w:t>(58)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4,9%</w:t>
            </w:r>
            <w:r w:rsidRPr="00505E82">
              <w:rPr>
                <w:rFonts w:ascii="Arial"/>
                <w:spacing w:val="-7"/>
                <w:sz w:val="18"/>
              </w:rPr>
              <w:t xml:space="preserve"> </w:t>
            </w:r>
            <w:r w:rsidRPr="00505E82">
              <w:rPr>
                <w:rFonts w:ascii="Arial"/>
                <w:sz w:val="18"/>
              </w:rPr>
              <w:t>(544)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5,1%</w:t>
            </w:r>
            <w:r w:rsidRPr="00505E82">
              <w:rPr>
                <w:rFonts w:ascii="Arial"/>
                <w:spacing w:val="-7"/>
                <w:sz w:val="18"/>
              </w:rPr>
              <w:t xml:space="preserve"> </w:t>
            </w:r>
            <w:r w:rsidRPr="00505E82">
              <w:rPr>
                <w:rFonts w:ascii="Arial"/>
                <w:sz w:val="18"/>
              </w:rPr>
              <w:t>(602)</w:t>
            </w:r>
          </w:p>
        </w:tc>
      </w:tr>
      <w:tr w:rsidR="0088415B" w:rsidTr="00505E82">
        <w:trPr>
          <w:trHeight w:hRule="exact" w:val="424"/>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before="2" w:line="206" w:lineRule="exact"/>
              <w:ind w:left="70" w:right="318"/>
              <w:rPr>
                <w:rFonts w:ascii="Arial" w:eastAsia="Arial" w:hAnsi="Arial" w:cs="Arial"/>
                <w:sz w:val="18"/>
                <w:szCs w:val="18"/>
              </w:rPr>
            </w:pPr>
            <w:r w:rsidRPr="00505E82">
              <w:rPr>
                <w:rFonts w:ascii="Arial" w:hAnsi="Arial"/>
                <w:sz w:val="18"/>
              </w:rPr>
              <w:t>relações exteriores do Brasil, política internacional ou política interna de outros</w:t>
            </w:r>
            <w:r w:rsidRPr="00505E82">
              <w:rPr>
                <w:rFonts w:ascii="Arial" w:hAnsi="Arial"/>
                <w:spacing w:val="-17"/>
                <w:sz w:val="18"/>
              </w:rPr>
              <w:t xml:space="preserve"> </w:t>
            </w:r>
            <w:r w:rsidRPr="00505E82">
              <w:rPr>
                <w:rFonts w:ascii="Arial" w:hAnsi="Arial"/>
                <w:sz w:val="18"/>
              </w:rPr>
              <w:t>países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5,6%</w:t>
            </w:r>
            <w:r w:rsidRPr="00505E82">
              <w:rPr>
                <w:rFonts w:ascii="Arial"/>
                <w:spacing w:val="-8"/>
                <w:sz w:val="18"/>
              </w:rPr>
              <w:t xml:space="preserve"> </w:t>
            </w:r>
            <w:r w:rsidRPr="00505E82">
              <w:rPr>
                <w:rFonts w:ascii="Arial"/>
                <w:sz w:val="18"/>
              </w:rPr>
              <w:t>(47)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4,9%</w:t>
            </w:r>
            <w:r w:rsidRPr="00505E82">
              <w:rPr>
                <w:rFonts w:ascii="Arial"/>
                <w:spacing w:val="-7"/>
                <w:sz w:val="18"/>
              </w:rPr>
              <w:t xml:space="preserve"> </w:t>
            </w:r>
            <w:r w:rsidRPr="00505E82">
              <w:rPr>
                <w:rFonts w:ascii="Arial"/>
                <w:sz w:val="18"/>
              </w:rPr>
              <w:t>(537)</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4,9%</w:t>
            </w:r>
            <w:r w:rsidRPr="00505E82">
              <w:rPr>
                <w:rFonts w:ascii="Arial"/>
                <w:spacing w:val="-7"/>
                <w:sz w:val="18"/>
              </w:rPr>
              <w:t xml:space="preserve"> </w:t>
            </w:r>
            <w:r w:rsidRPr="00505E82">
              <w:rPr>
                <w:rFonts w:ascii="Arial"/>
                <w:sz w:val="18"/>
              </w:rPr>
              <w:t>(584)</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meio-ambiente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3,8%</w:t>
            </w:r>
            <w:r w:rsidRPr="00505E82">
              <w:rPr>
                <w:rFonts w:ascii="Arial"/>
                <w:spacing w:val="-8"/>
                <w:sz w:val="18"/>
              </w:rPr>
              <w:t xml:space="preserve"> </w:t>
            </w:r>
            <w:r w:rsidRPr="00505E82">
              <w:rPr>
                <w:rFonts w:ascii="Arial"/>
                <w:sz w:val="18"/>
              </w:rPr>
              <w:t>(32)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4,2%</w:t>
            </w:r>
            <w:r w:rsidRPr="00505E82">
              <w:rPr>
                <w:rFonts w:ascii="Arial"/>
                <w:spacing w:val="-7"/>
                <w:sz w:val="18"/>
              </w:rPr>
              <w:t xml:space="preserve"> </w:t>
            </w:r>
            <w:r w:rsidRPr="00505E82">
              <w:rPr>
                <w:rFonts w:ascii="Arial"/>
                <w:sz w:val="18"/>
              </w:rPr>
              <w:t>(464)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4,2%</w:t>
            </w:r>
            <w:r w:rsidRPr="00505E82">
              <w:rPr>
                <w:rFonts w:ascii="Arial"/>
                <w:spacing w:val="-7"/>
                <w:sz w:val="18"/>
              </w:rPr>
              <w:t xml:space="preserve"> </w:t>
            </w:r>
            <w:r w:rsidRPr="00505E82">
              <w:rPr>
                <w:rFonts w:ascii="Arial"/>
                <w:sz w:val="18"/>
              </w:rPr>
              <w:t>(496)</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comunicação</w:t>
            </w:r>
            <w:r w:rsidRPr="00505E82">
              <w:rPr>
                <w:rFonts w:ascii="Arial" w:hAnsi="Arial"/>
                <w:spacing w:val="-15"/>
                <w:sz w:val="18"/>
              </w:rPr>
              <w:t xml:space="preserve"> </w:t>
            </w:r>
            <w:r w:rsidRPr="00505E82">
              <w:rPr>
                <w:rFonts w:ascii="Arial" w:hAnsi="Arial"/>
                <w:sz w:val="18"/>
              </w:rPr>
              <w:t>social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2,4%</w:t>
            </w:r>
            <w:r w:rsidRPr="00505E82">
              <w:rPr>
                <w:rFonts w:ascii="Arial"/>
                <w:spacing w:val="-8"/>
                <w:sz w:val="18"/>
              </w:rPr>
              <w:t xml:space="preserve"> </w:t>
            </w:r>
            <w:r w:rsidRPr="00505E82">
              <w:rPr>
                <w:rFonts w:ascii="Arial"/>
                <w:sz w:val="18"/>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4,2%</w:t>
            </w:r>
            <w:r w:rsidRPr="00505E82">
              <w:rPr>
                <w:rFonts w:ascii="Arial"/>
                <w:spacing w:val="-7"/>
                <w:sz w:val="18"/>
              </w:rPr>
              <w:t xml:space="preserve"> </w:t>
            </w:r>
            <w:r w:rsidRPr="00505E82">
              <w:rPr>
                <w:rFonts w:ascii="Arial"/>
                <w:sz w:val="18"/>
              </w:rPr>
              <w:t>(462)</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4,1%</w:t>
            </w:r>
            <w:r w:rsidRPr="00505E82">
              <w:rPr>
                <w:rFonts w:ascii="Arial"/>
                <w:spacing w:val="-7"/>
                <w:sz w:val="18"/>
              </w:rPr>
              <w:t xml:space="preserve"> </w:t>
            </w:r>
            <w:r w:rsidRPr="00505E82">
              <w:rPr>
                <w:rFonts w:ascii="Arial"/>
                <w:sz w:val="18"/>
              </w:rPr>
              <w:t>(482)</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direitos do</w:t>
            </w:r>
            <w:r w:rsidRPr="00505E82">
              <w:rPr>
                <w:rFonts w:ascii="Arial"/>
                <w:spacing w:val="-13"/>
                <w:sz w:val="18"/>
              </w:rPr>
              <w:t xml:space="preserve"> </w:t>
            </w:r>
            <w:r w:rsidRPr="00505E82">
              <w:rPr>
                <w:rFonts w:ascii="Arial"/>
                <w:sz w:val="18"/>
              </w:rPr>
              <w:t>consumidor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1"/>
              <w:jc w:val="center"/>
              <w:rPr>
                <w:rFonts w:ascii="Arial" w:eastAsia="Arial" w:hAnsi="Arial" w:cs="Arial"/>
                <w:sz w:val="18"/>
                <w:szCs w:val="18"/>
              </w:rPr>
            </w:pPr>
            <w:r w:rsidRPr="00505E82">
              <w:rPr>
                <w:rFonts w:ascii="Arial"/>
                <w:sz w:val="18"/>
              </w:rPr>
              <w:t>4,3%</w:t>
            </w:r>
            <w:r w:rsidRPr="00505E82">
              <w:rPr>
                <w:rFonts w:ascii="Arial"/>
                <w:spacing w:val="-8"/>
                <w:sz w:val="18"/>
              </w:rPr>
              <w:t xml:space="preserve"> </w:t>
            </w:r>
            <w:r w:rsidRPr="00505E82">
              <w:rPr>
                <w:rFonts w:ascii="Arial"/>
                <w:sz w:val="18"/>
              </w:rPr>
              <w:t>(36)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3,6%</w:t>
            </w:r>
            <w:r w:rsidRPr="00505E82">
              <w:rPr>
                <w:rFonts w:ascii="Arial"/>
                <w:spacing w:val="-7"/>
                <w:sz w:val="18"/>
              </w:rPr>
              <w:t xml:space="preserve"> </w:t>
            </w:r>
            <w:r w:rsidRPr="00505E82">
              <w:rPr>
                <w:rFonts w:ascii="Arial"/>
                <w:sz w:val="18"/>
              </w:rPr>
              <w:t>(396)</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4"/>
              <w:jc w:val="right"/>
              <w:rPr>
                <w:rFonts w:ascii="Arial" w:eastAsia="Arial" w:hAnsi="Arial" w:cs="Arial"/>
                <w:sz w:val="18"/>
                <w:szCs w:val="18"/>
              </w:rPr>
            </w:pPr>
            <w:r w:rsidRPr="00505E82">
              <w:rPr>
                <w:rFonts w:ascii="Arial"/>
                <w:sz w:val="18"/>
              </w:rPr>
              <w:t>3,7%</w:t>
            </w:r>
            <w:r w:rsidRPr="00505E82">
              <w:rPr>
                <w:rFonts w:ascii="Arial"/>
                <w:spacing w:val="-7"/>
                <w:sz w:val="18"/>
              </w:rPr>
              <w:t xml:space="preserve"> </w:t>
            </w:r>
            <w:r w:rsidRPr="00505E82">
              <w:rPr>
                <w:rFonts w:ascii="Arial"/>
                <w:sz w:val="18"/>
              </w:rPr>
              <w:t>(432)</w:t>
            </w:r>
          </w:p>
        </w:tc>
      </w:tr>
      <w:tr w:rsidR="0088415B" w:rsidTr="00505E82">
        <w:trPr>
          <w:trHeight w:hRule="exact" w:val="216"/>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previdência</w:t>
            </w:r>
            <w:r w:rsidRPr="00505E82">
              <w:rPr>
                <w:rFonts w:ascii="Arial" w:hAnsi="Arial"/>
                <w:spacing w:val="-13"/>
                <w:sz w:val="18"/>
              </w:rPr>
              <w:t xml:space="preserve"> </w:t>
            </w:r>
            <w:r w:rsidRPr="00505E82">
              <w:rPr>
                <w:rFonts w:ascii="Arial" w:hAnsi="Arial"/>
                <w:sz w:val="18"/>
              </w:rPr>
              <w:t>social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0"/>
              <w:jc w:val="center"/>
              <w:rPr>
                <w:rFonts w:ascii="Arial" w:eastAsia="Arial" w:hAnsi="Arial" w:cs="Arial"/>
                <w:sz w:val="18"/>
                <w:szCs w:val="18"/>
              </w:rPr>
            </w:pPr>
            <w:r w:rsidRPr="00505E82">
              <w:rPr>
                <w:rFonts w:ascii="Arial"/>
                <w:sz w:val="18"/>
              </w:rPr>
              <w:t>5,7%</w:t>
            </w:r>
            <w:r w:rsidRPr="00505E82">
              <w:rPr>
                <w:rFonts w:ascii="Arial"/>
                <w:spacing w:val="-8"/>
                <w:sz w:val="18"/>
              </w:rPr>
              <w:t xml:space="preserve"> </w:t>
            </w:r>
            <w:r w:rsidRPr="00505E82">
              <w:rPr>
                <w:rFonts w:ascii="Arial"/>
                <w:sz w:val="18"/>
              </w:rPr>
              <w:t>(48)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7"/>
              <w:rPr>
                <w:rFonts w:ascii="Arial" w:eastAsia="Arial" w:hAnsi="Arial" w:cs="Arial"/>
                <w:sz w:val="18"/>
                <w:szCs w:val="18"/>
              </w:rPr>
            </w:pPr>
            <w:r w:rsidRPr="00505E82">
              <w:rPr>
                <w:rFonts w:ascii="Arial"/>
                <w:sz w:val="18"/>
              </w:rPr>
              <w:t>3,1%</w:t>
            </w:r>
            <w:r w:rsidRPr="00505E82">
              <w:rPr>
                <w:rFonts w:ascii="Arial"/>
                <w:spacing w:val="-7"/>
                <w:sz w:val="18"/>
              </w:rPr>
              <w:t xml:space="preserve"> </w:t>
            </w:r>
            <w:r w:rsidRPr="00505E82">
              <w:rPr>
                <w:rFonts w:ascii="Arial"/>
                <w:sz w:val="18"/>
              </w:rPr>
              <w:t>(344)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4"/>
              <w:jc w:val="right"/>
              <w:rPr>
                <w:rFonts w:ascii="Arial" w:eastAsia="Arial" w:hAnsi="Arial" w:cs="Arial"/>
                <w:sz w:val="18"/>
                <w:szCs w:val="18"/>
              </w:rPr>
            </w:pPr>
            <w:r w:rsidRPr="00505E82">
              <w:rPr>
                <w:rFonts w:ascii="Arial"/>
                <w:sz w:val="18"/>
              </w:rPr>
              <w:t>3,3%</w:t>
            </w:r>
            <w:r w:rsidRPr="00505E82">
              <w:rPr>
                <w:rFonts w:ascii="Arial"/>
                <w:spacing w:val="-7"/>
                <w:sz w:val="18"/>
              </w:rPr>
              <w:t xml:space="preserve"> </w:t>
            </w:r>
            <w:r w:rsidRPr="00505E82">
              <w:rPr>
                <w:rFonts w:ascii="Arial"/>
                <w:sz w:val="18"/>
              </w:rPr>
              <w:t>(392)</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família,</w:t>
            </w:r>
            <w:r w:rsidRPr="00505E82">
              <w:rPr>
                <w:rFonts w:ascii="Arial" w:hAnsi="Arial"/>
                <w:spacing w:val="-8"/>
                <w:sz w:val="18"/>
              </w:rPr>
              <w:t xml:space="preserve"> </w:t>
            </w:r>
            <w:r w:rsidRPr="00505E82">
              <w:rPr>
                <w:rFonts w:ascii="Arial" w:hAnsi="Arial"/>
                <w:sz w:val="18"/>
              </w:rPr>
              <w:t>direitos</w:t>
            </w:r>
            <w:r w:rsidRPr="00505E82">
              <w:rPr>
                <w:rFonts w:ascii="Arial" w:hAnsi="Arial"/>
                <w:spacing w:val="-7"/>
                <w:sz w:val="18"/>
              </w:rPr>
              <w:t xml:space="preserve"> </w:t>
            </w:r>
            <w:r w:rsidRPr="00505E82">
              <w:rPr>
                <w:rFonts w:ascii="Arial" w:hAnsi="Arial"/>
                <w:sz w:val="18"/>
              </w:rPr>
              <w:t>reprodutivos,</w:t>
            </w:r>
            <w:r w:rsidRPr="00505E82">
              <w:rPr>
                <w:rFonts w:ascii="Arial" w:hAnsi="Arial"/>
                <w:spacing w:val="-8"/>
                <w:sz w:val="18"/>
              </w:rPr>
              <w:t xml:space="preserve"> </w:t>
            </w:r>
            <w:r w:rsidRPr="00505E82">
              <w:rPr>
                <w:rFonts w:ascii="Arial" w:hAnsi="Arial"/>
                <w:sz w:val="18"/>
              </w:rPr>
              <w:t>infância</w:t>
            </w:r>
            <w:r w:rsidRPr="00505E82">
              <w:rPr>
                <w:rFonts w:ascii="Arial" w:hAnsi="Arial"/>
                <w:spacing w:val="-9"/>
                <w:sz w:val="18"/>
              </w:rPr>
              <w:t xml:space="preserve"> </w:t>
            </w:r>
            <w:r w:rsidRPr="00505E82">
              <w:rPr>
                <w:rFonts w:ascii="Arial" w:hAnsi="Arial"/>
                <w:sz w:val="18"/>
              </w:rPr>
              <w:t>e</w:t>
            </w:r>
            <w:r w:rsidRPr="00505E82">
              <w:rPr>
                <w:rFonts w:ascii="Arial" w:hAnsi="Arial"/>
                <w:spacing w:val="-8"/>
                <w:sz w:val="18"/>
              </w:rPr>
              <w:t xml:space="preserve"> </w:t>
            </w:r>
            <w:r w:rsidRPr="00505E82">
              <w:rPr>
                <w:rFonts w:ascii="Arial" w:hAnsi="Arial"/>
                <w:sz w:val="18"/>
              </w:rPr>
              <w:t>adolescência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8,2%</w:t>
            </w:r>
            <w:r w:rsidRPr="00505E82">
              <w:rPr>
                <w:rFonts w:ascii="Arial"/>
                <w:spacing w:val="-8"/>
                <w:sz w:val="18"/>
              </w:rPr>
              <w:t xml:space="preserve"> </w:t>
            </w:r>
            <w:r w:rsidRPr="00505E82">
              <w:rPr>
                <w:rFonts w:ascii="Arial"/>
                <w:sz w:val="18"/>
              </w:rPr>
              <w:t>(69)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2,7%</w:t>
            </w:r>
            <w:r w:rsidRPr="00505E82">
              <w:rPr>
                <w:rFonts w:ascii="Arial"/>
                <w:spacing w:val="-7"/>
                <w:sz w:val="18"/>
              </w:rPr>
              <w:t xml:space="preserve"> </w:t>
            </w:r>
            <w:r w:rsidRPr="00505E82">
              <w:rPr>
                <w:rFonts w:ascii="Arial"/>
                <w:sz w:val="18"/>
              </w:rPr>
              <w:t>(294)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3,1%</w:t>
            </w:r>
            <w:r w:rsidRPr="00505E82">
              <w:rPr>
                <w:rFonts w:ascii="Arial"/>
                <w:spacing w:val="-7"/>
                <w:sz w:val="18"/>
              </w:rPr>
              <w:t xml:space="preserve"> </w:t>
            </w:r>
            <w:r w:rsidRPr="00505E82">
              <w:rPr>
                <w:rFonts w:ascii="Arial"/>
                <w:sz w:val="18"/>
              </w:rPr>
              <w:t>(363)</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reforma agrária (e outras questões</w:t>
            </w:r>
            <w:r w:rsidRPr="00505E82">
              <w:rPr>
                <w:rFonts w:ascii="Arial" w:hAnsi="Arial"/>
                <w:spacing w:val="-30"/>
                <w:sz w:val="18"/>
              </w:rPr>
              <w:t xml:space="preserve"> </w:t>
            </w:r>
            <w:r w:rsidRPr="00505E82">
              <w:rPr>
                <w:rFonts w:ascii="Arial" w:hAnsi="Arial"/>
                <w:sz w:val="18"/>
              </w:rPr>
              <w:t>fundiárias)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3,2%</w:t>
            </w:r>
            <w:r w:rsidRPr="00505E82">
              <w:rPr>
                <w:rFonts w:ascii="Arial"/>
                <w:spacing w:val="-8"/>
                <w:sz w:val="18"/>
              </w:rPr>
              <w:t xml:space="preserve"> </w:t>
            </w:r>
            <w:r w:rsidRPr="00505E82">
              <w:rPr>
                <w:rFonts w:ascii="Arial"/>
                <w:sz w:val="18"/>
              </w:rPr>
              <w:t>(27)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2,9%</w:t>
            </w:r>
            <w:r w:rsidRPr="00505E82">
              <w:rPr>
                <w:rFonts w:ascii="Arial"/>
                <w:spacing w:val="-7"/>
                <w:sz w:val="18"/>
              </w:rPr>
              <w:t xml:space="preserve"> </w:t>
            </w:r>
            <w:r w:rsidRPr="00505E82">
              <w:rPr>
                <w:rFonts w:ascii="Arial"/>
                <w:sz w:val="18"/>
              </w:rPr>
              <w:t>(324)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3,0%</w:t>
            </w:r>
            <w:r w:rsidRPr="00505E82">
              <w:rPr>
                <w:rFonts w:ascii="Arial"/>
                <w:spacing w:val="-7"/>
                <w:sz w:val="18"/>
              </w:rPr>
              <w:t xml:space="preserve"> </w:t>
            </w:r>
            <w:r w:rsidRPr="00505E82">
              <w:rPr>
                <w:rFonts w:ascii="Arial"/>
                <w:sz w:val="18"/>
              </w:rPr>
              <w:t>(351)</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economia em</w:t>
            </w:r>
            <w:r w:rsidRPr="00505E82">
              <w:rPr>
                <w:rFonts w:ascii="Arial"/>
                <w:spacing w:val="-10"/>
                <w:sz w:val="18"/>
              </w:rPr>
              <w:t xml:space="preserve"> </w:t>
            </w:r>
            <w:r w:rsidRPr="00505E82">
              <w:rPr>
                <w:rFonts w:ascii="Arial"/>
                <w:sz w:val="18"/>
              </w:rPr>
              <w:t>geral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1,5%</w:t>
            </w:r>
            <w:r w:rsidRPr="00505E82">
              <w:rPr>
                <w:rFonts w:ascii="Arial"/>
                <w:spacing w:val="-8"/>
                <w:sz w:val="18"/>
              </w:rPr>
              <w:t xml:space="preserve"> </w:t>
            </w:r>
            <w:r w:rsidRPr="00505E82">
              <w:rPr>
                <w:rFonts w:ascii="Arial"/>
                <w:sz w:val="18"/>
              </w:rPr>
              <w:t>(13)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2,7%</w:t>
            </w:r>
            <w:r w:rsidRPr="00505E82">
              <w:rPr>
                <w:rFonts w:ascii="Arial"/>
                <w:spacing w:val="-7"/>
                <w:sz w:val="18"/>
              </w:rPr>
              <w:t xml:space="preserve"> </w:t>
            </w:r>
            <w:r w:rsidRPr="00505E82">
              <w:rPr>
                <w:rFonts w:ascii="Arial"/>
                <w:sz w:val="18"/>
              </w:rPr>
              <w:t>(294)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6"/>
              <w:jc w:val="right"/>
              <w:rPr>
                <w:rFonts w:ascii="Arial" w:eastAsia="Arial" w:hAnsi="Arial" w:cs="Arial"/>
                <w:sz w:val="18"/>
                <w:szCs w:val="18"/>
              </w:rPr>
            </w:pPr>
            <w:r w:rsidRPr="00505E82">
              <w:rPr>
                <w:rFonts w:ascii="Arial"/>
                <w:sz w:val="18"/>
              </w:rPr>
              <w:t>2,6%</w:t>
            </w:r>
            <w:r w:rsidRPr="00505E82">
              <w:rPr>
                <w:rFonts w:ascii="Arial"/>
                <w:spacing w:val="-7"/>
                <w:sz w:val="18"/>
              </w:rPr>
              <w:t xml:space="preserve"> </w:t>
            </w:r>
            <w:r w:rsidRPr="00505E82">
              <w:rPr>
                <w:rFonts w:ascii="Arial"/>
                <w:sz w:val="18"/>
              </w:rPr>
              <w:t>(307)</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reforma política e legislação</w:t>
            </w:r>
            <w:r w:rsidRPr="00505E82">
              <w:rPr>
                <w:rFonts w:ascii="Arial" w:hAnsi="Arial"/>
                <w:spacing w:val="-24"/>
                <w:sz w:val="18"/>
              </w:rPr>
              <w:t xml:space="preserve"> </w:t>
            </w:r>
            <w:r w:rsidRPr="00505E82">
              <w:rPr>
                <w:rFonts w:ascii="Arial" w:hAnsi="Arial"/>
                <w:sz w:val="18"/>
              </w:rPr>
              <w:t>eleitoral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2,1%</w:t>
            </w:r>
            <w:r w:rsidRPr="00505E82">
              <w:rPr>
                <w:rFonts w:ascii="Arial"/>
                <w:spacing w:val="-8"/>
                <w:sz w:val="18"/>
              </w:rPr>
              <w:t xml:space="preserve"> </w:t>
            </w:r>
            <w:r w:rsidRPr="00505E82">
              <w:rPr>
                <w:rFonts w:ascii="Arial"/>
                <w:sz w:val="18"/>
              </w:rPr>
              <w:t>(18)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2,4%</w:t>
            </w:r>
            <w:r w:rsidRPr="00505E82">
              <w:rPr>
                <w:rFonts w:ascii="Arial"/>
                <w:spacing w:val="-7"/>
                <w:sz w:val="18"/>
              </w:rPr>
              <w:t xml:space="preserve"> </w:t>
            </w:r>
            <w:r w:rsidRPr="00505E82">
              <w:rPr>
                <w:rFonts w:ascii="Arial"/>
                <w:sz w:val="18"/>
              </w:rPr>
              <w:t>(261)</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2,4%</w:t>
            </w:r>
            <w:r w:rsidRPr="00505E82">
              <w:rPr>
                <w:rFonts w:ascii="Arial"/>
                <w:spacing w:val="-7"/>
                <w:sz w:val="18"/>
              </w:rPr>
              <w:t xml:space="preserve"> </w:t>
            </w:r>
            <w:r w:rsidRPr="00505E82">
              <w:rPr>
                <w:rFonts w:ascii="Arial"/>
                <w:sz w:val="18"/>
              </w:rPr>
              <w:t>(279)</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habitação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1,9%</w:t>
            </w:r>
            <w:r w:rsidRPr="00505E82">
              <w:rPr>
                <w:rFonts w:ascii="Arial"/>
                <w:spacing w:val="-8"/>
                <w:sz w:val="18"/>
              </w:rPr>
              <w:t xml:space="preserve"> </w:t>
            </w:r>
            <w:r w:rsidRPr="00505E82">
              <w:rPr>
                <w:rFonts w:ascii="Arial"/>
                <w:sz w:val="18"/>
              </w:rPr>
              <w:t>(16)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1,9%</w:t>
            </w:r>
            <w:r w:rsidRPr="00505E82">
              <w:rPr>
                <w:rFonts w:ascii="Arial"/>
                <w:spacing w:val="-7"/>
                <w:sz w:val="18"/>
              </w:rPr>
              <w:t xml:space="preserve"> </w:t>
            </w:r>
            <w:r w:rsidRPr="00505E82">
              <w:rPr>
                <w:rFonts w:ascii="Arial"/>
                <w:sz w:val="18"/>
              </w:rPr>
              <w:t>(212)</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1,9%</w:t>
            </w:r>
            <w:r w:rsidRPr="00505E82">
              <w:rPr>
                <w:rFonts w:ascii="Arial"/>
                <w:spacing w:val="-7"/>
                <w:sz w:val="18"/>
              </w:rPr>
              <w:t xml:space="preserve"> </w:t>
            </w:r>
            <w:r w:rsidRPr="00505E82">
              <w:rPr>
                <w:rFonts w:ascii="Arial"/>
                <w:sz w:val="18"/>
              </w:rPr>
              <w:t>(228)</w:t>
            </w:r>
          </w:p>
        </w:tc>
      </w:tr>
      <w:tr w:rsidR="0088415B" w:rsidTr="00505E82">
        <w:trPr>
          <w:trHeight w:hRule="exact" w:val="216"/>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ciência e</w:t>
            </w:r>
            <w:r w:rsidRPr="00505E82">
              <w:rPr>
                <w:rFonts w:ascii="Arial" w:hAnsi="Arial"/>
                <w:spacing w:val="-13"/>
                <w:sz w:val="18"/>
              </w:rPr>
              <w:t xml:space="preserve"> </w:t>
            </w:r>
            <w:r w:rsidRPr="00505E82">
              <w:rPr>
                <w:rFonts w:ascii="Arial" w:hAnsi="Arial"/>
                <w:sz w:val="18"/>
              </w:rPr>
              <w:t>tecnologia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1,9%</w:t>
            </w:r>
            <w:r w:rsidRPr="00505E82">
              <w:rPr>
                <w:rFonts w:ascii="Arial"/>
                <w:spacing w:val="-8"/>
                <w:sz w:val="18"/>
              </w:rPr>
              <w:t xml:space="preserve"> </w:t>
            </w:r>
            <w:r w:rsidRPr="00505E82">
              <w:rPr>
                <w:rFonts w:ascii="Arial"/>
                <w:sz w:val="18"/>
              </w:rPr>
              <w:t>(16)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1,1%</w:t>
            </w:r>
            <w:r w:rsidRPr="00505E82">
              <w:rPr>
                <w:rFonts w:ascii="Arial"/>
                <w:spacing w:val="-7"/>
                <w:sz w:val="18"/>
              </w:rPr>
              <w:t xml:space="preserve"> </w:t>
            </w:r>
            <w:r w:rsidRPr="00505E82">
              <w:rPr>
                <w:rFonts w:ascii="Arial"/>
                <w:sz w:val="18"/>
              </w:rPr>
              <w:t>(122)</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1,2%</w:t>
            </w:r>
            <w:r w:rsidRPr="00505E82">
              <w:rPr>
                <w:rFonts w:ascii="Arial"/>
                <w:spacing w:val="-7"/>
                <w:sz w:val="18"/>
              </w:rPr>
              <w:t xml:space="preserve"> </w:t>
            </w:r>
            <w:r w:rsidRPr="00505E82">
              <w:rPr>
                <w:rFonts w:ascii="Arial"/>
                <w:sz w:val="18"/>
              </w:rPr>
              <w:t>(138)</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defesa (segurança</w:t>
            </w:r>
            <w:r w:rsidRPr="00505E82">
              <w:rPr>
                <w:rFonts w:ascii="Arial" w:hAnsi="Arial"/>
                <w:spacing w:val="-17"/>
                <w:sz w:val="18"/>
              </w:rPr>
              <w:t xml:space="preserve"> </w:t>
            </w:r>
            <w:r w:rsidRPr="00505E82">
              <w:rPr>
                <w:rFonts w:ascii="Arial" w:hAnsi="Arial"/>
                <w:sz w:val="18"/>
              </w:rPr>
              <w:t>nacional)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2"/>
              <w:jc w:val="center"/>
              <w:rPr>
                <w:rFonts w:ascii="Arial" w:eastAsia="Arial" w:hAnsi="Arial" w:cs="Arial"/>
                <w:sz w:val="18"/>
                <w:szCs w:val="18"/>
              </w:rPr>
            </w:pPr>
            <w:r w:rsidRPr="00505E82">
              <w:rPr>
                <w:rFonts w:ascii="Arial"/>
                <w:sz w:val="18"/>
              </w:rPr>
              <w:t>1,7%</w:t>
            </w:r>
            <w:r w:rsidRPr="00505E82">
              <w:rPr>
                <w:rFonts w:ascii="Arial"/>
                <w:spacing w:val="-8"/>
                <w:sz w:val="18"/>
              </w:rPr>
              <w:t xml:space="preserve"> </w:t>
            </w:r>
            <w:r w:rsidRPr="00505E82">
              <w:rPr>
                <w:rFonts w:ascii="Arial"/>
                <w:sz w:val="18"/>
              </w:rPr>
              <w:t>(14)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6"/>
              <w:rPr>
                <w:rFonts w:ascii="Arial" w:eastAsia="Arial" w:hAnsi="Arial" w:cs="Arial"/>
                <w:sz w:val="18"/>
                <w:szCs w:val="18"/>
              </w:rPr>
            </w:pPr>
            <w:r w:rsidRPr="00505E82">
              <w:rPr>
                <w:rFonts w:ascii="Arial"/>
                <w:sz w:val="18"/>
              </w:rPr>
              <w:t>0,9%</w:t>
            </w:r>
            <w:r w:rsidRPr="00505E82">
              <w:rPr>
                <w:rFonts w:ascii="Arial"/>
                <w:spacing w:val="-7"/>
                <w:sz w:val="18"/>
              </w:rPr>
              <w:t xml:space="preserve"> </w:t>
            </w:r>
            <w:r w:rsidRPr="00505E82">
              <w:rPr>
                <w:rFonts w:ascii="Arial"/>
                <w:sz w:val="18"/>
              </w:rPr>
              <w:t>(104)</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5"/>
              <w:jc w:val="right"/>
              <w:rPr>
                <w:rFonts w:ascii="Arial" w:eastAsia="Arial" w:hAnsi="Arial" w:cs="Arial"/>
                <w:sz w:val="18"/>
                <w:szCs w:val="18"/>
              </w:rPr>
            </w:pPr>
            <w:r w:rsidRPr="00505E82">
              <w:rPr>
                <w:rFonts w:ascii="Arial"/>
                <w:sz w:val="18"/>
              </w:rPr>
              <w:t>1,0%</w:t>
            </w:r>
            <w:r w:rsidRPr="00505E82">
              <w:rPr>
                <w:rFonts w:ascii="Arial"/>
                <w:spacing w:val="-7"/>
                <w:sz w:val="18"/>
              </w:rPr>
              <w:t xml:space="preserve"> </w:t>
            </w:r>
            <w:r w:rsidRPr="00505E82">
              <w:rPr>
                <w:rFonts w:ascii="Arial"/>
                <w:sz w:val="18"/>
              </w:rPr>
              <w:t>(118)</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cultura e</w:t>
            </w:r>
            <w:r w:rsidRPr="00505E82">
              <w:rPr>
                <w:rFonts w:ascii="Arial"/>
                <w:spacing w:val="-10"/>
                <w:sz w:val="18"/>
              </w:rPr>
              <w:t xml:space="preserve"> </w:t>
            </w:r>
            <w:r w:rsidRPr="00505E82">
              <w:rPr>
                <w:rFonts w:ascii="Arial"/>
                <w:sz w:val="18"/>
              </w:rPr>
              <w:t>esporte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0,8%</w:t>
            </w:r>
            <w:r w:rsidRPr="00505E82">
              <w:rPr>
                <w:rFonts w:ascii="Arial"/>
                <w:spacing w:val="-7"/>
                <w:sz w:val="18"/>
              </w:rPr>
              <w:t xml:space="preserve"> </w:t>
            </w:r>
            <w:r w:rsidRPr="00505E82">
              <w:rPr>
                <w:rFonts w:ascii="Arial"/>
                <w:sz w:val="18"/>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85"/>
              <w:rPr>
                <w:rFonts w:ascii="Arial" w:eastAsia="Arial" w:hAnsi="Arial" w:cs="Arial"/>
                <w:sz w:val="18"/>
                <w:szCs w:val="18"/>
              </w:rPr>
            </w:pPr>
            <w:r w:rsidRPr="00505E82">
              <w:rPr>
                <w:rFonts w:ascii="Arial"/>
                <w:sz w:val="18"/>
              </w:rPr>
              <w:t>0,9%</w:t>
            </w:r>
            <w:r w:rsidRPr="00505E82">
              <w:rPr>
                <w:rFonts w:ascii="Arial"/>
                <w:spacing w:val="-7"/>
                <w:sz w:val="18"/>
              </w:rPr>
              <w:t xml:space="preserve"> </w:t>
            </w:r>
            <w:r w:rsidRPr="00505E82">
              <w:rPr>
                <w:rFonts w:ascii="Arial"/>
                <w:sz w:val="18"/>
              </w:rPr>
              <w:t>(102)</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6"/>
              <w:jc w:val="right"/>
              <w:rPr>
                <w:rFonts w:ascii="Arial" w:eastAsia="Arial" w:hAnsi="Arial" w:cs="Arial"/>
                <w:sz w:val="18"/>
                <w:szCs w:val="18"/>
              </w:rPr>
            </w:pPr>
            <w:r w:rsidRPr="00505E82">
              <w:rPr>
                <w:rFonts w:ascii="Arial"/>
                <w:sz w:val="18"/>
              </w:rPr>
              <w:t>0,9%</w:t>
            </w:r>
            <w:r w:rsidRPr="00505E82">
              <w:rPr>
                <w:rFonts w:ascii="Arial"/>
                <w:spacing w:val="-7"/>
                <w:sz w:val="18"/>
              </w:rPr>
              <w:t xml:space="preserve"> </w:t>
            </w:r>
            <w:r w:rsidRPr="00505E82">
              <w:rPr>
                <w:rFonts w:ascii="Arial"/>
                <w:sz w:val="18"/>
              </w:rPr>
              <w:t>(109)</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propriedade</w:t>
            </w:r>
            <w:r w:rsidRPr="00505E82">
              <w:rPr>
                <w:rFonts w:ascii="Arial"/>
                <w:spacing w:val="-9"/>
                <w:sz w:val="18"/>
              </w:rPr>
              <w:t xml:space="preserve"> </w:t>
            </w:r>
            <w:r w:rsidRPr="00505E82">
              <w:rPr>
                <w:rFonts w:ascii="Arial"/>
                <w:sz w:val="18"/>
              </w:rPr>
              <w:t>intelectual,</w:t>
            </w:r>
            <w:r w:rsidRPr="00505E82">
              <w:rPr>
                <w:rFonts w:ascii="Arial"/>
                <w:spacing w:val="-8"/>
                <w:sz w:val="18"/>
              </w:rPr>
              <w:t xml:space="preserve"> </w:t>
            </w:r>
            <w:r w:rsidRPr="00505E82">
              <w:rPr>
                <w:rFonts w:ascii="Arial"/>
                <w:sz w:val="18"/>
              </w:rPr>
              <w:t>pirataria,</w:t>
            </w:r>
            <w:r w:rsidRPr="00505E82">
              <w:rPr>
                <w:rFonts w:ascii="Arial"/>
                <w:spacing w:val="-8"/>
                <w:sz w:val="18"/>
              </w:rPr>
              <w:t xml:space="preserve"> </w:t>
            </w:r>
            <w:r w:rsidRPr="00505E82">
              <w:rPr>
                <w:rFonts w:ascii="Arial"/>
                <w:sz w:val="18"/>
              </w:rPr>
              <w:t>biopirataria</w:t>
            </w:r>
            <w:r w:rsidRPr="00505E82">
              <w:rPr>
                <w:rFonts w:ascii="Arial"/>
                <w:spacing w:val="-8"/>
                <w:sz w:val="18"/>
              </w:rPr>
              <w:t xml:space="preserve"> </w:t>
            </w:r>
            <w:r w:rsidRPr="00505E82">
              <w:rPr>
                <w:rFonts w:ascii="Arial"/>
                <w:sz w:val="18"/>
              </w:rPr>
              <w:t>e</w:t>
            </w:r>
            <w:r w:rsidRPr="00505E82">
              <w:rPr>
                <w:rFonts w:ascii="Arial"/>
                <w:spacing w:val="-8"/>
                <w:sz w:val="18"/>
              </w:rPr>
              <w:t xml:space="preserve"> </w:t>
            </w:r>
            <w:r w:rsidRPr="00505E82">
              <w:rPr>
                <w:rFonts w:ascii="Arial"/>
                <w:sz w:val="18"/>
              </w:rPr>
              <w:t>assemelhados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0,8%</w:t>
            </w:r>
            <w:r w:rsidRPr="00505E82">
              <w:rPr>
                <w:rFonts w:ascii="Arial"/>
                <w:spacing w:val="-7"/>
                <w:sz w:val="18"/>
              </w:rPr>
              <w:t xml:space="preserve"> </w:t>
            </w:r>
            <w:r w:rsidRPr="00505E82">
              <w:rPr>
                <w:rFonts w:ascii="Arial"/>
                <w:sz w:val="18"/>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36"/>
              <w:rPr>
                <w:rFonts w:ascii="Arial" w:eastAsia="Arial" w:hAnsi="Arial" w:cs="Arial"/>
                <w:sz w:val="18"/>
                <w:szCs w:val="18"/>
              </w:rPr>
            </w:pPr>
            <w:r w:rsidRPr="00505E82">
              <w:rPr>
                <w:rFonts w:ascii="Arial"/>
                <w:sz w:val="18"/>
              </w:rPr>
              <w:t>0,9%</w:t>
            </w:r>
            <w:r w:rsidRPr="00505E82">
              <w:rPr>
                <w:rFonts w:ascii="Arial"/>
                <w:spacing w:val="-8"/>
                <w:sz w:val="18"/>
              </w:rPr>
              <w:t xml:space="preserve"> </w:t>
            </w:r>
            <w:r w:rsidRPr="00505E82">
              <w:rPr>
                <w:rFonts w:ascii="Arial"/>
                <w:sz w:val="18"/>
              </w:rPr>
              <w:t>(96)</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224"/>
              <w:jc w:val="right"/>
              <w:rPr>
                <w:rFonts w:ascii="Arial" w:eastAsia="Arial" w:hAnsi="Arial" w:cs="Arial"/>
                <w:sz w:val="18"/>
                <w:szCs w:val="18"/>
              </w:rPr>
            </w:pPr>
            <w:r w:rsidRPr="00505E82">
              <w:rPr>
                <w:rFonts w:ascii="Arial"/>
                <w:sz w:val="18"/>
              </w:rPr>
              <w:t>0,9%</w:t>
            </w:r>
            <w:r w:rsidRPr="00505E82">
              <w:rPr>
                <w:rFonts w:ascii="Arial"/>
                <w:spacing w:val="-7"/>
                <w:sz w:val="18"/>
              </w:rPr>
              <w:t xml:space="preserve"> </w:t>
            </w:r>
            <w:r w:rsidRPr="00505E82">
              <w:rPr>
                <w:rFonts w:ascii="Arial"/>
                <w:sz w:val="18"/>
              </w:rPr>
              <w:t>(103)</w:t>
            </w:r>
          </w:p>
        </w:tc>
      </w:tr>
      <w:tr w:rsidR="0088415B" w:rsidTr="00505E82">
        <w:trPr>
          <w:trHeight w:hRule="exact" w:val="217"/>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outros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4"/>
              <w:jc w:val="center"/>
              <w:rPr>
                <w:rFonts w:ascii="Arial" w:eastAsia="Arial" w:hAnsi="Arial" w:cs="Arial"/>
                <w:sz w:val="18"/>
                <w:szCs w:val="18"/>
              </w:rPr>
            </w:pPr>
            <w:r w:rsidRPr="00505E82">
              <w:rPr>
                <w:rFonts w:ascii="Arial"/>
                <w:sz w:val="18"/>
              </w:rPr>
              <w:t>0,5%</w:t>
            </w:r>
            <w:r w:rsidRPr="00505E82">
              <w:rPr>
                <w:rFonts w:ascii="Arial"/>
                <w:spacing w:val="-7"/>
                <w:sz w:val="18"/>
              </w:rPr>
              <w:t xml:space="preserve"> </w:t>
            </w:r>
            <w:r w:rsidRPr="00505E82">
              <w:rPr>
                <w:rFonts w:ascii="Arial"/>
                <w:sz w:val="18"/>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35"/>
              <w:rPr>
                <w:rFonts w:ascii="Arial" w:eastAsia="Arial" w:hAnsi="Arial" w:cs="Arial"/>
                <w:sz w:val="18"/>
                <w:szCs w:val="18"/>
              </w:rPr>
            </w:pPr>
            <w:r w:rsidRPr="00505E82">
              <w:rPr>
                <w:rFonts w:ascii="Arial"/>
                <w:sz w:val="18"/>
              </w:rPr>
              <w:t>0,3%</w:t>
            </w:r>
            <w:r w:rsidRPr="00505E82">
              <w:rPr>
                <w:rFonts w:ascii="Arial"/>
                <w:spacing w:val="-8"/>
                <w:sz w:val="18"/>
              </w:rPr>
              <w:t xml:space="preserve"> </w:t>
            </w:r>
            <w:r w:rsidRPr="00505E82">
              <w:rPr>
                <w:rFonts w:ascii="Arial"/>
                <w:sz w:val="18"/>
              </w:rPr>
              <w:t>(30)</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280"/>
              <w:rPr>
                <w:rFonts w:ascii="Arial" w:eastAsia="Arial" w:hAnsi="Arial" w:cs="Arial"/>
                <w:sz w:val="18"/>
                <w:szCs w:val="18"/>
              </w:rPr>
            </w:pPr>
            <w:r w:rsidRPr="00505E82">
              <w:rPr>
                <w:rFonts w:ascii="Arial"/>
                <w:sz w:val="18"/>
              </w:rPr>
              <w:t>0,3%</w:t>
            </w:r>
            <w:r w:rsidRPr="00505E82">
              <w:rPr>
                <w:rFonts w:ascii="Arial"/>
                <w:spacing w:val="-8"/>
                <w:sz w:val="18"/>
              </w:rPr>
              <w:t xml:space="preserve"> </w:t>
            </w:r>
            <w:r w:rsidRPr="00505E82">
              <w:rPr>
                <w:rFonts w:ascii="Arial"/>
                <w:sz w:val="18"/>
              </w:rPr>
              <w:t>(34)</w:t>
            </w:r>
          </w:p>
        </w:tc>
      </w:tr>
      <w:tr w:rsidR="0088415B" w:rsidTr="00505E82">
        <w:trPr>
          <w:trHeight w:hRule="exact" w:val="216"/>
        </w:trPr>
        <w:tc>
          <w:tcPr>
            <w:tcW w:w="529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hAnsi="Arial"/>
                <w:sz w:val="18"/>
              </w:rPr>
              <w:t>questões</w:t>
            </w:r>
            <w:r w:rsidRPr="00505E82">
              <w:rPr>
                <w:rFonts w:ascii="Arial" w:hAnsi="Arial"/>
                <w:spacing w:val="-15"/>
                <w:sz w:val="18"/>
              </w:rPr>
              <w:t xml:space="preserve"> </w:t>
            </w:r>
            <w:r w:rsidRPr="00505E82">
              <w:rPr>
                <w:rFonts w:ascii="Arial" w:hAnsi="Arial"/>
                <w:sz w:val="18"/>
              </w:rPr>
              <w:t>religiosas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0,1%</w:t>
            </w:r>
            <w:r w:rsidRPr="00505E82">
              <w:rPr>
                <w:rFonts w:ascii="Arial"/>
                <w:spacing w:val="-7"/>
                <w:sz w:val="18"/>
              </w:rPr>
              <w:t xml:space="preserve"> </w:t>
            </w:r>
            <w:r w:rsidRPr="00505E82">
              <w:rPr>
                <w:rFonts w:ascii="Arial"/>
                <w:sz w:val="18"/>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36"/>
              <w:rPr>
                <w:rFonts w:ascii="Arial" w:eastAsia="Arial" w:hAnsi="Arial" w:cs="Arial"/>
                <w:sz w:val="18"/>
                <w:szCs w:val="18"/>
              </w:rPr>
            </w:pPr>
            <w:r w:rsidRPr="00505E82">
              <w:rPr>
                <w:rFonts w:ascii="Arial"/>
                <w:sz w:val="18"/>
              </w:rPr>
              <w:t>0,3%</w:t>
            </w:r>
            <w:r w:rsidRPr="00505E82">
              <w:rPr>
                <w:rFonts w:ascii="Arial"/>
                <w:spacing w:val="-8"/>
                <w:sz w:val="18"/>
              </w:rPr>
              <w:t xml:space="preserve"> </w:t>
            </w:r>
            <w:r w:rsidRPr="00505E82">
              <w:rPr>
                <w:rFonts w:ascii="Arial"/>
                <w:sz w:val="18"/>
              </w:rPr>
              <w:t>(29)</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281"/>
              <w:rPr>
                <w:rFonts w:ascii="Arial" w:eastAsia="Arial" w:hAnsi="Arial" w:cs="Arial"/>
                <w:sz w:val="18"/>
                <w:szCs w:val="18"/>
              </w:rPr>
            </w:pPr>
            <w:r w:rsidRPr="00505E82">
              <w:rPr>
                <w:rFonts w:ascii="Arial"/>
                <w:sz w:val="18"/>
              </w:rPr>
              <w:t>0,3%</w:t>
            </w:r>
            <w:r w:rsidRPr="00505E82">
              <w:rPr>
                <w:rFonts w:ascii="Arial"/>
                <w:spacing w:val="-8"/>
                <w:sz w:val="18"/>
              </w:rPr>
              <w:t xml:space="preserve"> </w:t>
            </w:r>
            <w:r w:rsidRPr="00505E82">
              <w:rPr>
                <w:rFonts w:ascii="Arial"/>
                <w:sz w:val="18"/>
              </w:rPr>
              <w:t>(30)</w:t>
            </w:r>
          </w:p>
        </w:tc>
      </w:tr>
      <w:tr w:rsidR="0088415B" w:rsidTr="00505E82">
        <w:trPr>
          <w:trHeight w:hRule="exact" w:val="435"/>
        </w:trPr>
        <w:tc>
          <w:tcPr>
            <w:tcW w:w="5291"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70" w:right="408"/>
              <w:rPr>
                <w:rFonts w:ascii="Arial" w:eastAsia="Arial" w:hAnsi="Arial" w:cs="Arial"/>
                <w:sz w:val="18"/>
                <w:szCs w:val="18"/>
              </w:rPr>
            </w:pPr>
            <w:r w:rsidRPr="00505E82">
              <w:rPr>
                <w:rFonts w:ascii="Arial"/>
                <w:sz w:val="18"/>
              </w:rPr>
              <w:t>total</w:t>
            </w:r>
          </w:p>
        </w:tc>
        <w:tc>
          <w:tcPr>
            <w:tcW w:w="126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94"/>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21"/>
              <w:rPr>
                <w:rFonts w:ascii="Arial" w:eastAsia="Arial" w:hAnsi="Arial" w:cs="Arial"/>
                <w:sz w:val="18"/>
                <w:szCs w:val="18"/>
              </w:rPr>
            </w:pPr>
            <w:r w:rsidRPr="00505E82">
              <w:rPr>
                <w:rFonts w:ascii="Arial"/>
                <w:i/>
                <w:sz w:val="18"/>
              </w:rPr>
              <w:t>n =</w:t>
            </w:r>
            <w:r w:rsidRPr="00505E82">
              <w:rPr>
                <w:rFonts w:ascii="Arial"/>
                <w:i/>
                <w:spacing w:val="-5"/>
                <w:sz w:val="18"/>
              </w:rPr>
              <w:t xml:space="preserve"> </w:t>
            </w:r>
            <w:r w:rsidRPr="00505E82">
              <w:rPr>
                <w:rFonts w:ascii="Arial"/>
                <w:i/>
                <w:sz w:val="18"/>
              </w:rPr>
              <w:t>840</w:t>
            </w:r>
          </w:p>
        </w:tc>
        <w:tc>
          <w:tcPr>
            <w:tcW w:w="126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23" w:right="123"/>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123" w:right="123"/>
              <w:jc w:val="center"/>
              <w:rPr>
                <w:rFonts w:ascii="Arial" w:eastAsia="Arial" w:hAnsi="Arial" w:cs="Arial"/>
                <w:sz w:val="18"/>
                <w:szCs w:val="18"/>
              </w:rPr>
            </w:pPr>
            <w:r w:rsidRPr="00505E82">
              <w:rPr>
                <w:rFonts w:ascii="Arial"/>
                <w:i/>
                <w:sz w:val="18"/>
              </w:rPr>
              <w:t>n =</w:t>
            </w:r>
            <w:r w:rsidRPr="00505E82">
              <w:rPr>
                <w:rFonts w:ascii="Arial"/>
                <w:i/>
                <w:spacing w:val="-7"/>
                <w:sz w:val="18"/>
              </w:rPr>
              <w:t xml:space="preserve"> </w:t>
            </w:r>
            <w:r w:rsidRPr="00505E82">
              <w:rPr>
                <w:rFonts w:ascii="Arial"/>
                <w:i/>
                <w:sz w:val="18"/>
              </w:rPr>
              <w:t>10990</w:t>
            </w:r>
          </w:p>
        </w:tc>
        <w:tc>
          <w:tcPr>
            <w:tcW w:w="134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139" w:right="139"/>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140" w:right="139"/>
              <w:jc w:val="center"/>
              <w:rPr>
                <w:rFonts w:ascii="Arial" w:eastAsia="Arial" w:hAnsi="Arial" w:cs="Arial"/>
                <w:sz w:val="18"/>
                <w:szCs w:val="18"/>
              </w:rPr>
            </w:pPr>
            <w:r w:rsidRPr="00505E82">
              <w:rPr>
                <w:rFonts w:ascii="Arial"/>
                <w:i/>
                <w:sz w:val="18"/>
              </w:rPr>
              <w:t>n =</w:t>
            </w:r>
            <w:r w:rsidRPr="00505E82">
              <w:rPr>
                <w:rFonts w:ascii="Arial"/>
                <w:i/>
                <w:spacing w:val="-7"/>
                <w:sz w:val="18"/>
              </w:rPr>
              <w:t xml:space="preserve"> </w:t>
            </w:r>
            <w:r w:rsidRPr="00505E82">
              <w:rPr>
                <w:rFonts w:ascii="Arial"/>
                <w:i/>
                <w:sz w:val="18"/>
              </w:rPr>
              <w:t>11830</w:t>
            </w:r>
          </w:p>
        </w:tc>
      </w:tr>
    </w:tbl>
    <w:p w:rsidR="0088415B" w:rsidRDefault="0088415B" w:rsidP="0088415B">
      <w:pPr>
        <w:spacing w:line="205" w:lineRule="exact"/>
        <w:ind w:left="383"/>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Era</w:t>
      </w:r>
      <w:r>
        <w:rPr>
          <w:rFonts w:ascii="Arial" w:hAnsi="Arial"/>
          <w:spacing w:val="-4"/>
          <w:sz w:val="18"/>
        </w:rPr>
        <w:t xml:space="preserve"> </w:t>
      </w:r>
      <w:r>
        <w:rPr>
          <w:rFonts w:ascii="Arial" w:hAnsi="Arial"/>
          <w:sz w:val="18"/>
        </w:rPr>
        <w:t>permitida</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indicação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5"/>
          <w:sz w:val="18"/>
        </w:rPr>
        <w:t xml:space="preserve"> </w:t>
      </w:r>
      <w:r>
        <w:rPr>
          <w:rFonts w:ascii="Arial" w:hAnsi="Arial"/>
          <w:sz w:val="18"/>
        </w:rPr>
        <w:t>uma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discurso.</w:t>
      </w:r>
    </w:p>
    <w:p w:rsidR="0088415B" w:rsidRDefault="0088415B" w:rsidP="0088415B">
      <w:pPr>
        <w:ind w:left="383" w:right="1892"/>
        <w:rPr>
          <w:rFonts w:ascii="Arial" w:eastAsia="Arial" w:hAnsi="Arial" w:cs="Arial"/>
          <w:sz w:val="18"/>
          <w:szCs w:val="18"/>
        </w:rPr>
      </w:pPr>
      <w:r>
        <w:rPr>
          <w:rFonts w:ascii="Arial" w:eastAsia="Arial" w:hAnsi="Arial" w:cs="Arial"/>
          <w:sz w:val="18"/>
          <w:szCs w:val="18"/>
        </w:rPr>
        <w:t>A dependência entre as variáveis é muito significativa. Qui2 = 336,92, gl = 31, 1-p =&gt; 99,99%.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pStyle w:val="Corpodetexto"/>
        <w:spacing w:before="136" w:line="360" w:lineRule="auto"/>
        <w:ind w:left="358" w:right="352"/>
        <w:jc w:val="both"/>
      </w:pPr>
      <w:r>
        <w:t xml:space="preserve">Depois de agrupados de acordo com os grupos temáticos, confirmou-se que os assuntos mais versados estão realmente dentro da chamada política </w:t>
      </w:r>
      <w:r>
        <w:rPr>
          <w:i/>
        </w:rPr>
        <w:t>hard</w:t>
      </w:r>
      <w:r>
        <w:t xml:space="preserve">. Conforme evidencia a tabela 2, mais da metade dos pronunciamentos, 67,5%, enquadram-se na categoria </w:t>
      </w:r>
      <w:r>
        <w:rPr>
          <w:i/>
        </w:rPr>
        <w:t xml:space="preserve">hard </w:t>
      </w:r>
      <w:r>
        <w:rPr>
          <w:i/>
        </w:rPr>
        <w:lastRenderedPageBreak/>
        <w:t>politics</w:t>
      </w:r>
      <w:r>
        <w:t xml:space="preserve">. Quando os dados atinentes aos grupos temáticos são confrontados em relação ao gênero revela-se que os temas da categoria </w:t>
      </w:r>
      <w:r>
        <w:rPr>
          <w:i/>
        </w:rPr>
        <w:t xml:space="preserve">soft politics </w:t>
      </w:r>
      <w:r>
        <w:t>são significativamente mais tratados pelas mulheres com um índice de 47,1% contra 31,6% para os</w:t>
      </w:r>
      <w:r>
        <w:rPr>
          <w:spacing w:val="-10"/>
        </w:rPr>
        <w:t xml:space="preserve"> </w:t>
      </w:r>
      <w:r>
        <w:t>homens.</w:t>
      </w:r>
    </w:p>
    <w:p w:rsidR="0088415B" w:rsidRDefault="0088415B" w:rsidP="0088415B">
      <w:pPr>
        <w:spacing w:before="5" w:after="4"/>
        <w:ind w:left="180"/>
        <w:rPr>
          <w:rFonts w:ascii="Arial" w:eastAsia="Arial" w:hAnsi="Arial" w:cs="Arial"/>
          <w:sz w:val="18"/>
          <w:szCs w:val="18"/>
        </w:rPr>
      </w:pPr>
      <w:r>
        <w:rPr>
          <w:rFonts w:ascii="Arial" w:hAnsi="Arial"/>
          <w:b/>
          <w:sz w:val="18"/>
        </w:rPr>
        <w:t>Tabela</w:t>
      </w:r>
      <w:r>
        <w:rPr>
          <w:rFonts w:ascii="Arial" w:hAnsi="Arial"/>
          <w:b/>
          <w:spacing w:val="-5"/>
          <w:sz w:val="18"/>
        </w:rPr>
        <w:t xml:space="preserve"> </w:t>
      </w:r>
      <w:r>
        <w:rPr>
          <w:rFonts w:ascii="Arial" w:hAnsi="Arial"/>
          <w:b/>
          <w:sz w:val="18"/>
        </w:rPr>
        <w:t>2</w:t>
      </w:r>
      <w:r>
        <w:rPr>
          <w:rFonts w:ascii="Arial" w:hAnsi="Arial"/>
          <w:sz w:val="18"/>
        </w:rPr>
        <w:t>:</w:t>
      </w:r>
      <w:r>
        <w:rPr>
          <w:rFonts w:ascii="Arial" w:hAnsi="Arial"/>
          <w:spacing w:val="-4"/>
          <w:sz w:val="18"/>
        </w:rPr>
        <w:t xml:space="preserve"> </w:t>
      </w:r>
      <w:r>
        <w:rPr>
          <w:rFonts w:ascii="Arial" w:hAnsi="Arial"/>
          <w:sz w:val="18"/>
        </w:rPr>
        <w:t>Grandes</w:t>
      </w:r>
      <w:r>
        <w:rPr>
          <w:rFonts w:ascii="Arial" w:hAnsi="Arial"/>
          <w:spacing w:val="-4"/>
          <w:sz w:val="18"/>
        </w:rPr>
        <w:t xml:space="preserve"> </w:t>
      </w:r>
      <w:r>
        <w:rPr>
          <w:rFonts w:ascii="Arial" w:hAnsi="Arial"/>
          <w:sz w:val="18"/>
        </w:rPr>
        <w:t>áreas</w:t>
      </w:r>
      <w:r>
        <w:rPr>
          <w:rFonts w:ascii="Arial" w:hAnsi="Arial"/>
          <w:spacing w:val="-4"/>
          <w:sz w:val="18"/>
        </w:rPr>
        <w:t xml:space="preserve"> </w:t>
      </w:r>
      <w:r>
        <w:rPr>
          <w:rFonts w:ascii="Arial" w:hAnsi="Arial"/>
          <w:sz w:val="18"/>
        </w:rPr>
        <w:t>temáticas</w:t>
      </w:r>
      <w:r>
        <w:rPr>
          <w:rFonts w:ascii="Arial" w:hAnsi="Arial"/>
          <w:spacing w:val="-4"/>
          <w:sz w:val="18"/>
        </w:rPr>
        <w:t xml:space="preserve"> </w:t>
      </w:r>
      <w:r>
        <w:rPr>
          <w:rFonts w:ascii="Arial" w:hAnsi="Arial"/>
          <w:sz w:val="18"/>
        </w:rPr>
        <w:t>dos</w:t>
      </w:r>
      <w:r>
        <w:rPr>
          <w:rFonts w:ascii="Arial" w:hAnsi="Arial"/>
          <w:spacing w:val="-4"/>
          <w:sz w:val="18"/>
        </w:rPr>
        <w:t xml:space="preserve"> </w:t>
      </w:r>
      <w:r>
        <w:rPr>
          <w:rFonts w:ascii="Arial" w:hAnsi="Arial"/>
          <w:sz w:val="18"/>
        </w:rPr>
        <w:t>discursos</w:t>
      </w:r>
      <w:r>
        <w:rPr>
          <w:rFonts w:ascii="Arial" w:hAnsi="Arial"/>
          <w:spacing w:val="-4"/>
          <w:sz w:val="18"/>
        </w:rPr>
        <w:t xml:space="preserve"> </w:t>
      </w:r>
      <w:r>
        <w:rPr>
          <w:rFonts w:ascii="Arial" w:hAnsi="Arial"/>
          <w:sz w:val="18"/>
        </w:rPr>
        <w:t>das</w:t>
      </w:r>
      <w:r>
        <w:rPr>
          <w:rFonts w:ascii="Arial" w:hAnsi="Arial"/>
          <w:spacing w:val="-4"/>
          <w:sz w:val="18"/>
        </w:rPr>
        <w:t xml:space="preserve"> </w:t>
      </w:r>
      <w:r>
        <w:rPr>
          <w:rFonts w:ascii="Arial" w:hAnsi="Arial"/>
          <w:sz w:val="18"/>
        </w:rPr>
        <w:t>51ª</w:t>
      </w:r>
      <w:r>
        <w:rPr>
          <w:rFonts w:ascii="Arial" w:hAnsi="Arial"/>
          <w:spacing w:val="-4"/>
          <w:sz w:val="18"/>
        </w:rPr>
        <w:t xml:space="preserve"> </w:t>
      </w:r>
      <w:r>
        <w:rPr>
          <w:rFonts w:ascii="Arial" w:hAnsi="Arial"/>
          <w:sz w:val="18"/>
        </w:rPr>
        <w:t>e</w:t>
      </w:r>
      <w:r>
        <w:rPr>
          <w:rFonts w:ascii="Arial" w:hAnsi="Arial"/>
          <w:spacing w:val="-4"/>
          <w:sz w:val="18"/>
        </w:rPr>
        <w:t xml:space="preserve"> </w:t>
      </w:r>
      <w:r>
        <w:rPr>
          <w:rFonts w:ascii="Arial" w:hAnsi="Arial"/>
          <w:sz w:val="18"/>
        </w:rPr>
        <w:t>52ª</w:t>
      </w:r>
      <w:r>
        <w:rPr>
          <w:rFonts w:ascii="Arial" w:hAnsi="Arial"/>
          <w:spacing w:val="-4"/>
          <w:sz w:val="18"/>
        </w:rPr>
        <w:t xml:space="preserve"> </w:t>
      </w:r>
      <w:r>
        <w:rPr>
          <w:rFonts w:ascii="Arial" w:hAnsi="Arial"/>
          <w:sz w:val="18"/>
        </w:rPr>
        <w:t>legislaturas</w:t>
      </w:r>
      <w:r>
        <w:rPr>
          <w:rFonts w:ascii="Arial" w:hAnsi="Arial"/>
          <w:spacing w:val="-4"/>
          <w:sz w:val="18"/>
        </w:rPr>
        <w:t xml:space="preserve"> </w:t>
      </w:r>
      <w:r>
        <w:rPr>
          <w:rFonts w:ascii="Arial" w:hAnsi="Arial"/>
          <w:sz w:val="18"/>
        </w:rPr>
        <w:t>da</w:t>
      </w:r>
      <w:r>
        <w:rPr>
          <w:rFonts w:ascii="Arial" w:hAnsi="Arial"/>
          <w:spacing w:val="-4"/>
          <w:sz w:val="18"/>
        </w:rPr>
        <w:t xml:space="preserve"> </w:t>
      </w:r>
      <w:r>
        <w:rPr>
          <w:rFonts w:ascii="Arial" w:hAnsi="Arial"/>
          <w:sz w:val="18"/>
        </w:rPr>
        <w:t>Câmara</w:t>
      </w:r>
      <w:r>
        <w:rPr>
          <w:rFonts w:ascii="Arial" w:hAnsi="Arial"/>
          <w:spacing w:val="-3"/>
          <w:sz w:val="18"/>
        </w:rPr>
        <w:t xml:space="preserve"> </w:t>
      </w:r>
      <w:r>
        <w:rPr>
          <w:rFonts w:ascii="Arial" w:hAnsi="Arial"/>
          <w:sz w:val="18"/>
        </w:rPr>
        <w:t>Federal,</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sexo</w:t>
      </w:r>
      <w:r>
        <w:rPr>
          <w:rFonts w:ascii="Arial" w:hAnsi="Arial"/>
          <w:spacing w:val="-3"/>
          <w:sz w:val="18"/>
        </w:rPr>
        <w:t xml:space="preserve"> </w:t>
      </w:r>
      <w:r>
        <w:rPr>
          <w:rFonts w:ascii="Arial" w:hAnsi="Arial"/>
          <w:sz w:val="18"/>
        </w:rPr>
        <w:t>do</w:t>
      </w:r>
      <w:r>
        <w:rPr>
          <w:rFonts w:ascii="Arial" w:hAnsi="Arial"/>
          <w:spacing w:val="-4"/>
          <w:sz w:val="18"/>
        </w:rPr>
        <w:t xml:space="preserve"> </w:t>
      </w:r>
      <w:r>
        <w:rPr>
          <w:rFonts w:ascii="Arial" w:hAnsi="Arial"/>
          <w:sz w:val="18"/>
        </w:rPr>
        <w:t>orador</w:t>
      </w:r>
    </w:p>
    <w:tbl>
      <w:tblPr>
        <w:tblW w:w="0" w:type="auto"/>
        <w:tblInd w:w="110" w:type="dxa"/>
        <w:tblLayout w:type="fixed"/>
        <w:tblCellMar>
          <w:left w:w="0" w:type="dxa"/>
          <w:right w:w="0" w:type="dxa"/>
        </w:tblCellMar>
        <w:tblLook w:val="01E0"/>
      </w:tblPr>
      <w:tblGrid>
        <w:gridCol w:w="3683"/>
        <w:gridCol w:w="1440"/>
        <w:gridCol w:w="1620"/>
        <w:gridCol w:w="2816"/>
      </w:tblGrid>
      <w:tr w:rsidR="0088415B" w:rsidTr="00505E82">
        <w:trPr>
          <w:trHeight w:hRule="exact" w:val="236"/>
        </w:trPr>
        <w:tc>
          <w:tcPr>
            <w:tcW w:w="3683"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44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13" w:right="213"/>
              <w:jc w:val="center"/>
              <w:rPr>
                <w:rFonts w:ascii="Arial" w:eastAsia="Arial" w:hAnsi="Arial" w:cs="Arial"/>
                <w:sz w:val="18"/>
                <w:szCs w:val="18"/>
              </w:rPr>
            </w:pPr>
            <w:r w:rsidRPr="00505E82">
              <w:rPr>
                <w:rFonts w:ascii="Arial"/>
                <w:sz w:val="18"/>
              </w:rPr>
              <w:t>feminino</w:t>
            </w:r>
          </w:p>
        </w:tc>
        <w:tc>
          <w:tcPr>
            <w:tcW w:w="162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53" w:right="253"/>
              <w:jc w:val="center"/>
              <w:rPr>
                <w:rFonts w:ascii="Arial" w:eastAsia="Arial" w:hAnsi="Arial" w:cs="Arial"/>
                <w:sz w:val="18"/>
                <w:szCs w:val="18"/>
              </w:rPr>
            </w:pPr>
            <w:r w:rsidRPr="00505E82">
              <w:rPr>
                <w:rFonts w:ascii="Arial"/>
                <w:sz w:val="18"/>
              </w:rPr>
              <w:t>masculino</w:t>
            </w:r>
          </w:p>
        </w:tc>
        <w:tc>
          <w:tcPr>
            <w:tcW w:w="2816"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851" w:right="850"/>
              <w:jc w:val="center"/>
              <w:rPr>
                <w:rFonts w:ascii="Arial" w:eastAsia="Arial" w:hAnsi="Arial" w:cs="Arial"/>
                <w:sz w:val="18"/>
                <w:szCs w:val="18"/>
              </w:rPr>
            </w:pPr>
            <w:r w:rsidRPr="00505E82">
              <w:rPr>
                <w:rFonts w:ascii="Arial"/>
                <w:sz w:val="18"/>
              </w:rPr>
              <w:t>total</w:t>
            </w:r>
          </w:p>
        </w:tc>
      </w:tr>
      <w:tr w:rsidR="0088415B" w:rsidTr="00505E82">
        <w:trPr>
          <w:trHeight w:hRule="exact" w:val="227"/>
        </w:trPr>
        <w:tc>
          <w:tcPr>
            <w:tcW w:w="3683"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144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13" w:right="213"/>
              <w:jc w:val="center"/>
              <w:rPr>
                <w:rFonts w:ascii="Arial" w:eastAsia="Arial" w:hAnsi="Arial" w:cs="Arial"/>
                <w:sz w:val="18"/>
                <w:szCs w:val="18"/>
              </w:rPr>
            </w:pPr>
            <w:r w:rsidRPr="00505E82">
              <w:rPr>
                <w:rFonts w:ascii="Arial"/>
                <w:sz w:val="18"/>
              </w:rPr>
              <w:t>62,0%</w:t>
            </w:r>
            <w:r w:rsidRPr="00505E82">
              <w:rPr>
                <w:rFonts w:ascii="Arial"/>
                <w:spacing w:val="-9"/>
                <w:sz w:val="18"/>
              </w:rPr>
              <w:t xml:space="preserve"> </w:t>
            </w:r>
            <w:r w:rsidRPr="00505E82">
              <w:rPr>
                <w:rFonts w:ascii="Arial"/>
                <w:sz w:val="18"/>
              </w:rPr>
              <w:t>(521)</w:t>
            </w:r>
          </w:p>
        </w:tc>
        <w:tc>
          <w:tcPr>
            <w:tcW w:w="162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52" w:right="253"/>
              <w:jc w:val="center"/>
              <w:rPr>
                <w:rFonts w:ascii="Arial" w:eastAsia="Arial" w:hAnsi="Arial" w:cs="Arial"/>
                <w:sz w:val="18"/>
                <w:szCs w:val="18"/>
              </w:rPr>
            </w:pPr>
            <w:r w:rsidRPr="00505E82">
              <w:rPr>
                <w:rFonts w:ascii="Arial"/>
                <w:sz w:val="18"/>
              </w:rPr>
              <w:t>68,0%</w:t>
            </w:r>
            <w:r w:rsidRPr="00505E82">
              <w:rPr>
                <w:rFonts w:ascii="Arial"/>
                <w:spacing w:val="-9"/>
                <w:sz w:val="18"/>
              </w:rPr>
              <w:t xml:space="preserve"> </w:t>
            </w:r>
            <w:r w:rsidRPr="00505E82">
              <w:rPr>
                <w:rFonts w:ascii="Arial"/>
                <w:sz w:val="18"/>
              </w:rPr>
              <w:t>(7469)</w:t>
            </w:r>
          </w:p>
        </w:tc>
        <w:tc>
          <w:tcPr>
            <w:tcW w:w="2816"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853" w:right="850"/>
              <w:jc w:val="center"/>
              <w:rPr>
                <w:rFonts w:ascii="Arial" w:eastAsia="Arial" w:hAnsi="Arial" w:cs="Arial"/>
                <w:sz w:val="18"/>
                <w:szCs w:val="18"/>
              </w:rPr>
            </w:pPr>
            <w:r w:rsidRPr="00505E82">
              <w:rPr>
                <w:rFonts w:ascii="Arial"/>
                <w:sz w:val="18"/>
              </w:rPr>
              <w:t>67,5%</w:t>
            </w:r>
            <w:r w:rsidRPr="00505E82">
              <w:rPr>
                <w:rFonts w:ascii="Arial"/>
                <w:spacing w:val="-9"/>
                <w:sz w:val="18"/>
              </w:rPr>
              <w:t xml:space="preserve"> </w:t>
            </w:r>
            <w:r w:rsidRPr="00505E82">
              <w:rPr>
                <w:rFonts w:ascii="Arial"/>
                <w:sz w:val="18"/>
              </w:rPr>
              <w:t>(7990)</w:t>
            </w:r>
          </w:p>
        </w:tc>
      </w:tr>
      <w:tr w:rsidR="0088415B" w:rsidTr="00505E82">
        <w:trPr>
          <w:trHeight w:hRule="exact" w:val="216"/>
        </w:trPr>
        <w:tc>
          <w:tcPr>
            <w:tcW w:w="3683"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13" w:right="214"/>
              <w:jc w:val="center"/>
              <w:rPr>
                <w:rFonts w:ascii="Arial" w:eastAsia="Arial" w:hAnsi="Arial" w:cs="Arial"/>
                <w:sz w:val="18"/>
                <w:szCs w:val="18"/>
              </w:rPr>
            </w:pPr>
            <w:r w:rsidRPr="00505E82">
              <w:rPr>
                <w:rFonts w:ascii="Arial"/>
                <w:sz w:val="18"/>
              </w:rPr>
              <w:t>33,0%</w:t>
            </w:r>
            <w:r w:rsidRPr="00505E82">
              <w:rPr>
                <w:rFonts w:ascii="Arial"/>
                <w:spacing w:val="-9"/>
                <w:sz w:val="18"/>
              </w:rPr>
              <w:t xml:space="preserve"> </w:t>
            </w:r>
            <w:r w:rsidRPr="00505E82">
              <w:rPr>
                <w:rFonts w:ascii="Arial"/>
                <w:sz w:val="18"/>
              </w:rPr>
              <w:t>(277)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53" w:right="253"/>
              <w:jc w:val="center"/>
              <w:rPr>
                <w:rFonts w:ascii="Arial" w:eastAsia="Arial" w:hAnsi="Arial" w:cs="Arial"/>
                <w:sz w:val="18"/>
                <w:szCs w:val="18"/>
              </w:rPr>
            </w:pPr>
            <w:r w:rsidRPr="00505E82">
              <w:rPr>
                <w:rFonts w:ascii="Arial"/>
                <w:sz w:val="18"/>
              </w:rPr>
              <w:t>30,4%</w:t>
            </w:r>
            <w:r w:rsidRPr="00505E82">
              <w:rPr>
                <w:rFonts w:ascii="Arial"/>
                <w:spacing w:val="-8"/>
                <w:sz w:val="18"/>
              </w:rPr>
              <w:t xml:space="preserve"> </w:t>
            </w:r>
            <w:r w:rsidRPr="00505E82">
              <w:rPr>
                <w:rFonts w:ascii="Arial"/>
                <w:sz w:val="18"/>
              </w:rPr>
              <w:t>(3343)</w:t>
            </w:r>
          </w:p>
        </w:tc>
        <w:tc>
          <w:tcPr>
            <w:tcW w:w="2816"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852" w:right="850"/>
              <w:jc w:val="center"/>
              <w:rPr>
                <w:rFonts w:ascii="Arial" w:eastAsia="Arial" w:hAnsi="Arial" w:cs="Arial"/>
                <w:sz w:val="18"/>
                <w:szCs w:val="18"/>
              </w:rPr>
            </w:pPr>
            <w:r w:rsidRPr="00505E82">
              <w:rPr>
                <w:rFonts w:ascii="Arial"/>
                <w:sz w:val="18"/>
              </w:rPr>
              <w:t>30,6%</w:t>
            </w:r>
            <w:r w:rsidRPr="00505E82">
              <w:rPr>
                <w:rFonts w:ascii="Arial"/>
                <w:spacing w:val="-9"/>
                <w:sz w:val="18"/>
              </w:rPr>
              <w:t xml:space="preserve"> </w:t>
            </w:r>
            <w:r w:rsidRPr="00505E82">
              <w:rPr>
                <w:rFonts w:ascii="Arial"/>
                <w:sz w:val="18"/>
              </w:rPr>
              <w:t>(3620)</w:t>
            </w:r>
          </w:p>
        </w:tc>
      </w:tr>
      <w:tr w:rsidR="0088415B" w:rsidTr="00505E82">
        <w:trPr>
          <w:trHeight w:hRule="exact" w:val="217"/>
        </w:trPr>
        <w:tc>
          <w:tcPr>
            <w:tcW w:w="3683"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13" w:right="213"/>
              <w:jc w:val="center"/>
              <w:rPr>
                <w:rFonts w:ascii="Arial" w:eastAsia="Arial" w:hAnsi="Arial" w:cs="Arial"/>
                <w:sz w:val="18"/>
                <w:szCs w:val="18"/>
              </w:rPr>
            </w:pPr>
            <w:r w:rsidRPr="00505E82">
              <w:rPr>
                <w:rFonts w:ascii="Arial"/>
                <w:sz w:val="18"/>
              </w:rPr>
              <w:t>47,1%</w:t>
            </w:r>
            <w:r w:rsidRPr="00505E82">
              <w:rPr>
                <w:rFonts w:ascii="Arial"/>
                <w:spacing w:val="-9"/>
                <w:sz w:val="18"/>
              </w:rPr>
              <w:t xml:space="preserve"> </w:t>
            </w:r>
            <w:r w:rsidRPr="00505E82">
              <w:rPr>
                <w:rFonts w:ascii="Arial"/>
                <w:sz w:val="18"/>
              </w:rPr>
              <w:t>(396)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53" w:right="253"/>
              <w:jc w:val="center"/>
              <w:rPr>
                <w:rFonts w:ascii="Arial" w:eastAsia="Arial" w:hAnsi="Arial" w:cs="Arial"/>
                <w:sz w:val="18"/>
                <w:szCs w:val="18"/>
              </w:rPr>
            </w:pPr>
            <w:r w:rsidRPr="00505E82">
              <w:rPr>
                <w:rFonts w:ascii="Arial"/>
                <w:sz w:val="18"/>
              </w:rPr>
              <w:t>31,6%</w:t>
            </w:r>
            <w:r w:rsidRPr="00505E82">
              <w:rPr>
                <w:rFonts w:ascii="Arial"/>
                <w:spacing w:val="-9"/>
                <w:sz w:val="18"/>
              </w:rPr>
              <w:t xml:space="preserve"> </w:t>
            </w:r>
            <w:r w:rsidRPr="00505E82">
              <w:rPr>
                <w:rFonts w:ascii="Arial"/>
                <w:sz w:val="18"/>
              </w:rPr>
              <w:t>(3478)</w:t>
            </w:r>
          </w:p>
        </w:tc>
        <w:tc>
          <w:tcPr>
            <w:tcW w:w="2816"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853" w:right="849"/>
              <w:jc w:val="center"/>
              <w:rPr>
                <w:rFonts w:ascii="Arial" w:eastAsia="Arial" w:hAnsi="Arial" w:cs="Arial"/>
                <w:sz w:val="18"/>
                <w:szCs w:val="18"/>
              </w:rPr>
            </w:pPr>
            <w:r w:rsidRPr="00505E82">
              <w:rPr>
                <w:rFonts w:ascii="Arial"/>
                <w:sz w:val="18"/>
              </w:rPr>
              <w:t>32,7%</w:t>
            </w:r>
            <w:r w:rsidRPr="00505E82">
              <w:rPr>
                <w:rFonts w:ascii="Arial"/>
                <w:spacing w:val="-9"/>
                <w:sz w:val="18"/>
              </w:rPr>
              <w:t xml:space="preserve"> </w:t>
            </w:r>
            <w:r w:rsidRPr="00505E82">
              <w:rPr>
                <w:rFonts w:ascii="Arial"/>
                <w:sz w:val="18"/>
              </w:rPr>
              <w:t>(3874)</w:t>
            </w:r>
          </w:p>
        </w:tc>
      </w:tr>
      <w:tr w:rsidR="0088415B" w:rsidTr="00505E82">
        <w:trPr>
          <w:trHeight w:hRule="exact" w:val="217"/>
        </w:trPr>
        <w:tc>
          <w:tcPr>
            <w:tcW w:w="3683"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irrelevantes e</w:t>
            </w:r>
            <w:r w:rsidRPr="00505E82">
              <w:rPr>
                <w:rFonts w:ascii="Arial"/>
                <w:spacing w:val="-15"/>
                <w:sz w:val="18"/>
              </w:rPr>
              <w:t xml:space="preserve"> </w:t>
            </w:r>
            <w:r w:rsidRPr="00505E82">
              <w:rPr>
                <w:rFonts w:ascii="Arial"/>
                <w:sz w:val="18"/>
              </w:rPr>
              <w:t>outros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13" w:right="213"/>
              <w:jc w:val="center"/>
              <w:rPr>
                <w:rFonts w:ascii="Arial" w:eastAsia="Arial" w:hAnsi="Arial" w:cs="Arial"/>
                <w:sz w:val="18"/>
                <w:szCs w:val="18"/>
              </w:rPr>
            </w:pPr>
            <w:r w:rsidRPr="00505E82">
              <w:rPr>
                <w:rFonts w:ascii="Arial"/>
                <w:sz w:val="18"/>
              </w:rPr>
              <w:t>11,7%</w:t>
            </w:r>
            <w:r w:rsidRPr="00505E82">
              <w:rPr>
                <w:rFonts w:ascii="Arial"/>
                <w:spacing w:val="-8"/>
                <w:sz w:val="18"/>
              </w:rPr>
              <w:t xml:space="preserve"> </w:t>
            </w:r>
            <w:r w:rsidRPr="00505E82">
              <w:rPr>
                <w:rFonts w:ascii="Arial"/>
                <w:sz w:val="18"/>
              </w:rPr>
              <w:t>(98)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52" w:right="253"/>
              <w:jc w:val="center"/>
              <w:rPr>
                <w:rFonts w:ascii="Arial" w:eastAsia="Arial" w:hAnsi="Arial" w:cs="Arial"/>
                <w:sz w:val="18"/>
                <w:szCs w:val="18"/>
              </w:rPr>
            </w:pPr>
            <w:r w:rsidRPr="00505E82">
              <w:rPr>
                <w:rFonts w:ascii="Arial"/>
                <w:sz w:val="18"/>
              </w:rPr>
              <w:t>17,4%</w:t>
            </w:r>
            <w:r w:rsidRPr="00505E82">
              <w:rPr>
                <w:rFonts w:ascii="Arial"/>
                <w:spacing w:val="-9"/>
                <w:sz w:val="18"/>
              </w:rPr>
              <w:t xml:space="preserve"> </w:t>
            </w:r>
            <w:r w:rsidRPr="00505E82">
              <w:rPr>
                <w:rFonts w:ascii="Arial"/>
                <w:sz w:val="18"/>
              </w:rPr>
              <w:t>(1915)</w:t>
            </w:r>
          </w:p>
        </w:tc>
        <w:tc>
          <w:tcPr>
            <w:tcW w:w="2816"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852" w:right="850"/>
              <w:jc w:val="center"/>
              <w:rPr>
                <w:rFonts w:ascii="Arial" w:eastAsia="Arial" w:hAnsi="Arial" w:cs="Arial"/>
                <w:sz w:val="18"/>
                <w:szCs w:val="18"/>
              </w:rPr>
            </w:pPr>
            <w:r w:rsidRPr="00505E82">
              <w:rPr>
                <w:rFonts w:ascii="Arial"/>
                <w:sz w:val="18"/>
              </w:rPr>
              <w:t>17,0%</w:t>
            </w:r>
            <w:r w:rsidRPr="00505E82">
              <w:rPr>
                <w:rFonts w:ascii="Arial"/>
                <w:spacing w:val="-9"/>
                <w:sz w:val="18"/>
              </w:rPr>
              <w:t xml:space="preserve"> </w:t>
            </w:r>
            <w:r w:rsidRPr="00505E82">
              <w:rPr>
                <w:rFonts w:ascii="Arial"/>
                <w:sz w:val="18"/>
              </w:rPr>
              <w:t>(2013)</w:t>
            </w:r>
          </w:p>
        </w:tc>
      </w:tr>
      <w:tr w:rsidR="0088415B" w:rsidTr="00505E82">
        <w:trPr>
          <w:trHeight w:hRule="exact" w:val="434"/>
        </w:trPr>
        <w:tc>
          <w:tcPr>
            <w:tcW w:w="3683"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total</w:t>
            </w:r>
          </w:p>
        </w:tc>
        <w:tc>
          <w:tcPr>
            <w:tcW w:w="144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13" w:right="213"/>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ind w:left="213" w:right="213"/>
              <w:jc w:val="center"/>
              <w:rPr>
                <w:rFonts w:ascii="Arial" w:eastAsia="Arial" w:hAnsi="Arial" w:cs="Arial"/>
                <w:sz w:val="18"/>
                <w:szCs w:val="18"/>
              </w:rPr>
            </w:pPr>
            <w:r w:rsidRPr="00505E82">
              <w:rPr>
                <w:rFonts w:ascii="Arial"/>
                <w:i/>
                <w:sz w:val="18"/>
              </w:rPr>
              <w:t>n =</w:t>
            </w:r>
            <w:r w:rsidRPr="00505E82">
              <w:rPr>
                <w:rFonts w:ascii="Arial"/>
                <w:i/>
                <w:spacing w:val="-5"/>
                <w:sz w:val="18"/>
              </w:rPr>
              <w:t xml:space="preserve"> </w:t>
            </w:r>
            <w:r w:rsidRPr="00505E82">
              <w:rPr>
                <w:rFonts w:ascii="Arial"/>
                <w:i/>
                <w:sz w:val="18"/>
              </w:rPr>
              <w:t>840</w:t>
            </w:r>
          </w:p>
        </w:tc>
        <w:tc>
          <w:tcPr>
            <w:tcW w:w="162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53" w:right="253"/>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ind w:left="253" w:right="253"/>
              <w:jc w:val="center"/>
              <w:rPr>
                <w:rFonts w:ascii="Arial" w:eastAsia="Arial" w:hAnsi="Arial" w:cs="Arial"/>
                <w:sz w:val="18"/>
                <w:szCs w:val="18"/>
              </w:rPr>
            </w:pPr>
            <w:r w:rsidRPr="00505E82">
              <w:rPr>
                <w:rFonts w:ascii="Arial"/>
                <w:i/>
                <w:sz w:val="18"/>
              </w:rPr>
              <w:t>n =</w:t>
            </w:r>
            <w:r w:rsidRPr="00505E82">
              <w:rPr>
                <w:rFonts w:ascii="Arial"/>
                <w:i/>
                <w:spacing w:val="-7"/>
                <w:sz w:val="18"/>
              </w:rPr>
              <w:t xml:space="preserve"> </w:t>
            </w:r>
            <w:r w:rsidRPr="00505E82">
              <w:rPr>
                <w:rFonts w:ascii="Arial"/>
                <w:i/>
                <w:sz w:val="18"/>
              </w:rPr>
              <w:t>10990</w:t>
            </w:r>
          </w:p>
        </w:tc>
        <w:tc>
          <w:tcPr>
            <w:tcW w:w="2816"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852" w:right="850"/>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ind w:left="851" w:right="850"/>
              <w:jc w:val="center"/>
              <w:rPr>
                <w:rFonts w:ascii="Arial" w:eastAsia="Arial" w:hAnsi="Arial" w:cs="Arial"/>
                <w:sz w:val="18"/>
                <w:szCs w:val="18"/>
              </w:rPr>
            </w:pPr>
            <w:r w:rsidRPr="00505E82">
              <w:rPr>
                <w:rFonts w:ascii="Arial"/>
                <w:i/>
                <w:sz w:val="18"/>
              </w:rPr>
              <w:t>n =</w:t>
            </w:r>
            <w:r w:rsidRPr="00505E82">
              <w:rPr>
                <w:rFonts w:ascii="Arial"/>
                <w:i/>
                <w:spacing w:val="-7"/>
                <w:sz w:val="18"/>
              </w:rPr>
              <w:t xml:space="preserve"> </w:t>
            </w:r>
            <w:r w:rsidRPr="00505E82">
              <w:rPr>
                <w:rFonts w:ascii="Arial"/>
                <w:i/>
                <w:sz w:val="18"/>
              </w:rPr>
              <w:t>11830</w:t>
            </w:r>
          </w:p>
        </w:tc>
      </w:tr>
    </w:tbl>
    <w:p w:rsidR="0088415B" w:rsidRDefault="0088415B" w:rsidP="0088415B">
      <w:pPr>
        <w:spacing w:line="205" w:lineRule="exact"/>
        <w:ind w:left="180"/>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Era</w:t>
      </w:r>
      <w:r>
        <w:rPr>
          <w:rFonts w:ascii="Arial" w:hAnsi="Arial"/>
          <w:spacing w:val="-4"/>
          <w:sz w:val="18"/>
        </w:rPr>
        <w:t xml:space="preserve"> </w:t>
      </w:r>
      <w:r>
        <w:rPr>
          <w:rFonts w:ascii="Arial" w:hAnsi="Arial"/>
          <w:sz w:val="18"/>
        </w:rPr>
        <w:t>permitida</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indicação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5"/>
          <w:sz w:val="18"/>
        </w:rPr>
        <w:t xml:space="preserve"> </w:t>
      </w:r>
      <w:r>
        <w:rPr>
          <w:rFonts w:ascii="Arial" w:hAnsi="Arial"/>
          <w:sz w:val="18"/>
        </w:rPr>
        <w:t>uma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discurso.</w:t>
      </w:r>
    </w:p>
    <w:p w:rsidR="0088415B" w:rsidRDefault="0088415B" w:rsidP="0088415B">
      <w:pPr>
        <w:ind w:left="180" w:right="2295"/>
        <w:rPr>
          <w:rFonts w:ascii="Arial" w:eastAsia="Arial" w:hAnsi="Arial" w:cs="Arial"/>
          <w:sz w:val="18"/>
          <w:szCs w:val="18"/>
        </w:rPr>
      </w:pPr>
      <w:r>
        <w:rPr>
          <w:rFonts w:ascii="Arial" w:eastAsia="Arial" w:hAnsi="Arial" w:cs="Arial"/>
          <w:sz w:val="18"/>
          <w:szCs w:val="18"/>
        </w:rPr>
        <w:t>A dependência entre as variáveis é muito significativa. Qui2 = 73,34, gl = 3, 1-p =&gt; 99,99%.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rPr>
          <w:rFonts w:ascii="Arial" w:eastAsia="Arial" w:hAnsi="Arial" w:cs="Arial"/>
          <w:sz w:val="18"/>
          <w:szCs w:val="18"/>
        </w:rPr>
        <w:sectPr w:rsidR="0088415B">
          <w:pgSz w:w="11910" w:h="16840"/>
          <w:pgMar w:top="920" w:right="1060" w:bottom="280" w:left="1060" w:header="733" w:footer="0" w:gutter="0"/>
          <w:cols w:space="720"/>
        </w:sectPr>
      </w:pPr>
    </w:p>
    <w:p w:rsidR="0088415B" w:rsidRDefault="0088415B" w:rsidP="0088415B">
      <w:pPr>
        <w:rPr>
          <w:rFonts w:ascii="Arial" w:eastAsia="Arial" w:hAnsi="Arial" w:cs="Arial"/>
          <w:sz w:val="20"/>
          <w:szCs w:val="20"/>
        </w:rPr>
      </w:pPr>
    </w:p>
    <w:p w:rsidR="0088415B" w:rsidRDefault="0088415B" w:rsidP="0088415B">
      <w:pPr>
        <w:spacing w:before="10"/>
        <w:rPr>
          <w:rFonts w:ascii="Arial" w:eastAsia="Arial" w:hAnsi="Arial" w:cs="Arial"/>
          <w:sz w:val="15"/>
          <w:szCs w:val="15"/>
        </w:rPr>
      </w:pPr>
    </w:p>
    <w:p w:rsidR="0088415B" w:rsidRDefault="0088415B" w:rsidP="0088415B">
      <w:pPr>
        <w:pStyle w:val="Corpodetexto"/>
        <w:spacing w:before="69" w:line="360" w:lineRule="auto"/>
        <w:ind w:right="113" w:firstLine="708"/>
        <w:jc w:val="both"/>
      </w:pPr>
      <w:r>
        <w:t xml:space="preserve">O alto índice de referências aos temas enquadrados na categoria </w:t>
      </w:r>
      <w:r>
        <w:rPr>
          <w:i/>
        </w:rPr>
        <w:t xml:space="preserve">hard politics </w:t>
      </w:r>
      <w:r>
        <w:t>encontrado nos discursos apenas reforça que tais questões possuem posição de destaque no interior do debate político, acarretando, por sua vez, uma maior visibilidade para quem delas se ocupam. Não surpreende, assim, o fato de que tanto homens quanto mulheres dediquem mais da metade de suas intervenções no plenário da Câmara dos Deputados para tratarem destes</w:t>
      </w:r>
      <w:r>
        <w:rPr>
          <w:spacing w:val="-1"/>
        </w:rPr>
        <w:t xml:space="preserve"> </w:t>
      </w:r>
      <w:r>
        <w:t>assuntos.</w:t>
      </w:r>
    </w:p>
    <w:p w:rsidR="0088415B" w:rsidRDefault="0088415B" w:rsidP="0088415B">
      <w:pPr>
        <w:pStyle w:val="Corpodetexto"/>
        <w:spacing w:before="4" w:line="360" w:lineRule="auto"/>
        <w:ind w:right="111" w:firstLine="708"/>
        <w:jc w:val="both"/>
      </w:pPr>
      <w:r>
        <w:t xml:space="preserve">A tabela 2 torna-se mais interessante quando analisados os dados referentes à </w:t>
      </w:r>
      <w:r>
        <w:rPr>
          <w:i/>
        </w:rPr>
        <w:t>soft politics</w:t>
      </w:r>
      <w:r>
        <w:t xml:space="preserve">. A porcentagem de discursos com citações à questões sociais são bem inferiores às vinculadas à política </w:t>
      </w:r>
      <w:r>
        <w:rPr>
          <w:i/>
        </w:rPr>
        <w:t>hard</w:t>
      </w:r>
      <w:r>
        <w:t xml:space="preserve">, apresentando menos da metade de menções destinadas ao grupo supracitado, com somente 32,7% da amostra, proporção que manifesta o menor prestígio que goza essa área. Aliada a sua menor valorização, nota-se ainda a presença acentuada das políticas </w:t>
      </w:r>
      <w:r>
        <w:rPr>
          <w:i/>
        </w:rPr>
        <w:t xml:space="preserve">soft </w:t>
      </w:r>
      <w:r>
        <w:t>nos discursos proferidos por parlamentares do sexo feminino, 47,1%, com diferença de mais de 15 pontos em relação aos do sexo</w:t>
      </w:r>
      <w:r>
        <w:rPr>
          <w:spacing w:val="-10"/>
        </w:rPr>
        <w:t xml:space="preserve"> </w:t>
      </w:r>
      <w:r>
        <w:t>masculino.</w:t>
      </w:r>
    </w:p>
    <w:p w:rsidR="0088415B" w:rsidRDefault="0088415B" w:rsidP="0088415B">
      <w:pPr>
        <w:pStyle w:val="Corpodetexto"/>
        <w:spacing w:line="360" w:lineRule="auto"/>
        <w:ind w:right="113" w:firstLine="708"/>
        <w:jc w:val="both"/>
      </w:pPr>
      <w:r>
        <w:t>Os índices, tanto na tabela 1 quanto na tabela 2, demonstram a correlação entre sexo e tema, ou seja, a concentração das mulheres nas matérias de menor projeção</w:t>
      </w:r>
      <w:r>
        <w:rPr>
          <w:spacing w:val="-12"/>
        </w:rPr>
        <w:t xml:space="preserve"> </w:t>
      </w:r>
      <w:r>
        <w:t>política.</w:t>
      </w:r>
    </w:p>
    <w:p w:rsidR="0088415B" w:rsidRDefault="0088415B" w:rsidP="0088415B">
      <w:pPr>
        <w:pStyle w:val="Corpodetexto"/>
        <w:spacing w:line="360" w:lineRule="auto"/>
        <w:ind w:right="113"/>
        <w:jc w:val="both"/>
      </w:pPr>
      <w:r>
        <w:t xml:space="preserve">Cabe ressaltar que, embora percentualmente as deputadas realmente abordem muito mais questões relacionadas à política </w:t>
      </w:r>
      <w:r>
        <w:rPr>
          <w:i/>
        </w:rPr>
        <w:t>soft</w:t>
      </w:r>
      <w:r>
        <w:t xml:space="preserve">, em termos absolutos suas vozes ainda estão em grande defasagem. O número de representantes do sexo masculino na Câmara Federal é tão maior que o do sexo feminino, que mesmo 73,4% delas versando sobre </w:t>
      </w:r>
      <w:r>
        <w:rPr>
          <w:i/>
        </w:rPr>
        <w:t xml:space="preserve">direitos humanos </w:t>
      </w:r>
      <w:r>
        <w:t>(enquanto quase 68,8% deles nunca tocaram no tema), significam apenas 47 deputadas perto dos 227 deputados que falam sobre o assunto. Foram 133 discursos de deputadas sobre direitos humanos, em contraste com 540 pronunciamentos de deputados do sexo masculino. Isto é, dada a maioria esmagadora de homens no plenário, mesmo a concentração das falas femininas em determinada temática é insuficiente para reverter o caráter predominantemente masculino do</w:t>
      </w:r>
      <w:r>
        <w:rPr>
          <w:spacing w:val="-2"/>
        </w:rPr>
        <w:t xml:space="preserve"> </w:t>
      </w:r>
      <w:r>
        <w:t>debate.</w:t>
      </w:r>
    </w:p>
    <w:p w:rsidR="0088415B" w:rsidRDefault="0088415B" w:rsidP="0088415B">
      <w:pPr>
        <w:pStyle w:val="Corpodetexto"/>
        <w:spacing w:line="360" w:lineRule="auto"/>
        <w:ind w:right="113"/>
        <w:jc w:val="both"/>
      </w:pPr>
      <w:r>
        <w:lastRenderedPageBreak/>
        <w:t>Ao contrário do que se poderia esperar, quanto maior a experiência legislativa das parlamentares mulheres, menos discursos elas pronunciam (tabela 3). No caso dos homens, as diferenças não são significativas. Uma hipótese para explicar o fenômeno é que as deputadas sofrem um processo de desencantamento, ao perceberem os obstáculos simbólicos ao exercício de seus mandatos na Câmara</w:t>
      </w:r>
      <w:r>
        <w:rPr>
          <w:spacing w:val="-9"/>
        </w:rPr>
        <w:t xml:space="preserve"> </w:t>
      </w:r>
      <w:r>
        <w:t>Federal.</w:t>
      </w:r>
    </w:p>
    <w:p w:rsidR="0088415B" w:rsidRDefault="0088415B" w:rsidP="0088415B">
      <w:pPr>
        <w:spacing w:before="5" w:after="3"/>
        <w:ind w:left="826" w:right="1060"/>
        <w:rPr>
          <w:rFonts w:ascii="Arial" w:eastAsia="Arial" w:hAnsi="Arial" w:cs="Arial"/>
          <w:sz w:val="18"/>
          <w:szCs w:val="18"/>
        </w:rPr>
      </w:pPr>
      <w:r>
        <w:rPr>
          <w:rFonts w:ascii="Arial" w:hAnsi="Arial"/>
          <w:b/>
          <w:sz w:val="18"/>
        </w:rPr>
        <w:t>Tabela 3</w:t>
      </w:r>
      <w:r>
        <w:rPr>
          <w:rFonts w:ascii="Arial" w:hAnsi="Arial"/>
          <w:sz w:val="18"/>
        </w:rPr>
        <w:t>: Média de discursos proferidos por parlamentar em cada legislatura da amostra, de acordo com sexo e experiência</w:t>
      </w:r>
      <w:r>
        <w:rPr>
          <w:rFonts w:ascii="Arial" w:hAnsi="Arial"/>
          <w:spacing w:val="-23"/>
          <w:sz w:val="18"/>
        </w:rPr>
        <w:t xml:space="preserve"> </w:t>
      </w:r>
      <w:r>
        <w:rPr>
          <w:rFonts w:ascii="Arial" w:hAnsi="Arial"/>
          <w:sz w:val="18"/>
        </w:rPr>
        <w:t>legislativa</w:t>
      </w:r>
    </w:p>
    <w:tbl>
      <w:tblPr>
        <w:tblW w:w="0" w:type="auto"/>
        <w:tblInd w:w="756" w:type="dxa"/>
        <w:tblLayout w:type="fixed"/>
        <w:tblCellMar>
          <w:left w:w="0" w:type="dxa"/>
          <w:right w:w="0" w:type="dxa"/>
        </w:tblCellMar>
        <w:tblLook w:val="01E0"/>
      </w:tblPr>
      <w:tblGrid>
        <w:gridCol w:w="1687"/>
        <w:gridCol w:w="1842"/>
        <w:gridCol w:w="1985"/>
        <w:gridCol w:w="2272"/>
      </w:tblGrid>
      <w:tr w:rsidR="0088415B" w:rsidTr="00505E82">
        <w:trPr>
          <w:trHeight w:hRule="exact" w:val="434"/>
        </w:trPr>
        <w:tc>
          <w:tcPr>
            <w:tcW w:w="1687" w:type="dxa"/>
            <w:tcBorders>
              <w:top w:val="single" w:sz="12" w:space="0" w:color="000000"/>
              <w:left w:val="nil"/>
              <w:bottom w:val="single" w:sz="4" w:space="0" w:color="000000"/>
              <w:right w:val="single" w:sz="4" w:space="0" w:color="000000"/>
            </w:tcBorders>
            <w:shd w:val="clear" w:color="auto" w:fill="auto"/>
          </w:tcPr>
          <w:p w:rsidR="0088415B" w:rsidRDefault="0088415B" w:rsidP="00505E82">
            <w:pPr>
              <w:widowControl w:val="0"/>
            </w:pPr>
          </w:p>
        </w:tc>
        <w:tc>
          <w:tcPr>
            <w:tcW w:w="1842"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47" w:right="147"/>
              <w:jc w:val="center"/>
              <w:rPr>
                <w:rFonts w:ascii="Arial" w:eastAsia="Arial" w:hAnsi="Arial" w:cs="Arial"/>
                <w:sz w:val="18"/>
                <w:szCs w:val="18"/>
              </w:rPr>
            </w:pPr>
            <w:r w:rsidRPr="00505E82">
              <w:rPr>
                <w:rFonts w:ascii="Arial"/>
                <w:sz w:val="18"/>
              </w:rPr>
              <w:t>primeira</w:t>
            </w:r>
            <w:r w:rsidRPr="00505E82">
              <w:rPr>
                <w:rFonts w:ascii="Arial"/>
                <w:spacing w:val="-14"/>
                <w:sz w:val="18"/>
              </w:rPr>
              <w:t xml:space="preserve"> </w:t>
            </w:r>
            <w:r w:rsidRPr="00505E82">
              <w:rPr>
                <w:rFonts w:ascii="Arial"/>
                <w:sz w:val="18"/>
              </w:rPr>
              <w:t>legislatura</w:t>
            </w:r>
          </w:p>
        </w:tc>
        <w:tc>
          <w:tcPr>
            <w:tcW w:w="1985"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98" w:right="199"/>
              <w:jc w:val="center"/>
              <w:rPr>
                <w:rFonts w:ascii="Arial" w:eastAsia="Arial" w:hAnsi="Arial" w:cs="Arial"/>
                <w:sz w:val="18"/>
                <w:szCs w:val="18"/>
              </w:rPr>
            </w:pPr>
            <w:r w:rsidRPr="00505E82">
              <w:rPr>
                <w:rFonts w:ascii="Arial"/>
                <w:sz w:val="18"/>
              </w:rPr>
              <w:t>segunda</w:t>
            </w:r>
            <w:r w:rsidRPr="00505E82">
              <w:rPr>
                <w:rFonts w:ascii="Arial"/>
                <w:spacing w:val="-14"/>
                <w:sz w:val="18"/>
              </w:rPr>
              <w:t xml:space="preserve"> </w:t>
            </w:r>
            <w:r w:rsidRPr="00505E82">
              <w:rPr>
                <w:rFonts w:ascii="Arial"/>
                <w:sz w:val="18"/>
              </w:rPr>
              <w:t>legislatura</w:t>
            </w:r>
          </w:p>
        </w:tc>
        <w:tc>
          <w:tcPr>
            <w:tcW w:w="2272"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before="2" w:line="206" w:lineRule="exact"/>
              <w:ind w:left="944" w:right="258" w:hanging="672"/>
              <w:rPr>
                <w:rFonts w:ascii="Arial" w:eastAsia="Arial" w:hAnsi="Arial" w:cs="Arial"/>
                <w:sz w:val="18"/>
                <w:szCs w:val="18"/>
              </w:rPr>
            </w:pPr>
            <w:r w:rsidRPr="00505E82">
              <w:rPr>
                <w:rFonts w:ascii="Arial"/>
                <w:sz w:val="18"/>
              </w:rPr>
              <w:t>terceira legislatura ou mais</w:t>
            </w:r>
          </w:p>
        </w:tc>
      </w:tr>
      <w:tr w:rsidR="0088415B" w:rsidTr="00505E82">
        <w:trPr>
          <w:trHeight w:hRule="exact" w:val="217"/>
        </w:trPr>
        <w:tc>
          <w:tcPr>
            <w:tcW w:w="1687"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mulheres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46" w:right="147"/>
              <w:jc w:val="center"/>
              <w:rPr>
                <w:rFonts w:ascii="Arial" w:eastAsia="Arial" w:hAnsi="Arial" w:cs="Arial"/>
                <w:sz w:val="18"/>
                <w:szCs w:val="18"/>
              </w:rPr>
            </w:pPr>
            <w:r w:rsidRPr="00505E82">
              <w:rPr>
                <w:rFonts w:ascii="Arial"/>
                <w:sz w:val="18"/>
              </w:rPr>
              <w:t>10,6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98" w:right="199"/>
              <w:jc w:val="center"/>
              <w:rPr>
                <w:rFonts w:ascii="Arial" w:eastAsia="Arial" w:hAnsi="Arial" w:cs="Arial"/>
                <w:sz w:val="18"/>
                <w:szCs w:val="18"/>
              </w:rPr>
            </w:pPr>
            <w:r w:rsidRPr="00505E82">
              <w:rPr>
                <w:rFonts w:ascii="Arial"/>
                <w:sz w:val="18"/>
              </w:rPr>
              <w:t>6,7</w:t>
            </w:r>
          </w:p>
        </w:tc>
        <w:tc>
          <w:tcPr>
            <w:tcW w:w="2272"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right="1"/>
              <w:jc w:val="center"/>
              <w:rPr>
                <w:rFonts w:ascii="Arial" w:eastAsia="Arial" w:hAnsi="Arial" w:cs="Arial"/>
                <w:sz w:val="18"/>
                <w:szCs w:val="18"/>
              </w:rPr>
            </w:pPr>
            <w:r w:rsidRPr="00505E82">
              <w:rPr>
                <w:rFonts w:ascii="Arial"/>
                <w:w w:val="99"/>
                <w:sz w:val="18"/>
              </w:rPr>
              <w:t>6</w:t>
            </w:r>
          </w:p>
        </w:tc>
      </w:tr>
      <w:tr w:rsidR="0088415B" w:rsidTr="00505E82">
        <w:trPr>
          <w:trHeight w:hRule="exact" w:val="226"/>
        </w:trPr>
        <w:tc>
          <w:tcPr>
            <w:tcW w:w="1687"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homens</w:t>
            </w:r>
          </w:p>
        </w:tc>
        <w:tc>
          <w:tcPr>
            <w:tcW w:w="1842"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46" w:right="147"/>
              <w:jc w:val="center"/>
              <w:rPr>
                <w:rFonts w:ascii="Arial" w:eastAsia="Arial" w:hAnsi="Arial" w:cs="Arial"/>
                <w:sz w:val="18"/>
                <w:szCs w:val="18"/>
              </w:rPr>
            </w:pPr>
            <w:r w:rsidRPr="00505E82">
              <w:rPr>
                <w:rFonts w:ascii="Arial"/>
                <w:sz w:val="18"/>
              </w:rPr>
              <w:t>9,9</w:t>
            </w:r>
          </w:p>
        </w:tc>
        <w:tc>
          <w:tcPr>
            <w:tcW w:w="1985"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98" w:right="198"/>
              <w:jc w:val="center"/>
              <w:rPr>
                <w:rFonts w:ascii="Arial" w:eastAsia="Arial" w:hAnsi="Arial" w:cs="Arial"/>
                <w:sz w:val="18"/>
                <w:szCs w:val="18"/>
              </w:rPr>
            </w:pPr>
            <w:r w:rsidRPr="00505E82">
              <w:rPr>
                <w:rFonts w:ascii="Arial"/>
                <w:sz w:val="18"/>
              </w:rPr>
              <w:t>11,8</w:t>
            </w:r>
          </w:p>
        </w:tc>
        <w:tc>
          <w:tcPr>
            <w:tcW w:w="2272"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990" w:right="990"/>
              <w:jc w:val="center"/>
              <w:rPr>
                <w:rFonts w:ascii="Arial" w:eastAsia="Arial" w:hAnsi="Arial" w:cs="Arial"/>
                <w:sz w:val="18"/>
                <w:szCs w:val="18"/>
              </w:rPr>
            </w:pPr>
            <w:r w:rsidRPr="00505E82">
              <w:rPr>
                <w:rFonts w:ascii="Arial"/>
                <w:sz w:val="18"/>
              </w:rPr>
              <w:t>9,6</w:t>
            </w:r>
          </w:p>
        </w:tc>
      </w:tr>
    </w:tbl>
    <w:p w:rsidR="0088415B" w:rsidRDefault="0088415B" w:rsidP="0088415B">
      <w:pPr>
        <w:spacing w:line="205" w:lineRule="exact"/>
        <w:ind w:left="826"/>
        <w:rPr>
          <w:rFonts w:ascii="Arial" w:eastAsia="Arial" w:hAnsi="Arial" w:cs="Arial"/>
          <w:sz w:val="18"/>
          <w:szCs w:val="18"/>
        </w:rPr>
      </w:pPr>
      <w:r>
        <w:rPr>
          <w:rFonts w:ascii="Arial" w:eastAsia="Arial" w:hAnsi="Arial" w:cs="Arial"/>
          <w:sz w:val="18"/>
          <w:szCs w:val="18"/>
        </w:rPr>
        <w:t>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spacing w:line="205" w:lineRule="exact"/>
        <w:rPr>
          <w:rFonts w:ascii="Arial" w:eastAsia="Arial" w:hAnsi="Arial" w:cs="Arial"/>
          <w:sz w:val="18"/>
          <w:szCs w:val="18"/>
        </w:rPr>
        <w:sectPr w:rsidR="0088415B">
          <w:pgSz w:w="11910" w:h="16840"/>
          <w:pgMar w:top="920" w:right="1300" w:bottom="280" w:left="1300" w:header="733" w:footer="0" w:gutter="0"/>
          <w:cols w:space="720"/>
        </w:sectPr>
      </w:pPr>
    </w:p>
    <w:p w:rsidR="0088415B" w:rsidRDefault="0088415B" w:rsidP="0088415B">
      <w:pPr>
        <w:rPr>
          <w:rFonts w:ascii="Arial" w:eastAsia="Arial" w:hAnsi="Arial" w:cs="Arial"/>
          <w:sz w:val="20"/>
          <w:szCs w:val="20"/>
        </w:rPr>
      </w:pPr>
    </w:p>
    <w:p w:rsidR="0088415B" w:rsidRDefault="0088415B" w:rsidP="0088415B">
      <w:pPr>
        <w:spacing w:before="10"/>
        <w:rPr>
          <w:rFonts w:ascii="Arial" w:eastAsia="Arial" w:hAnsi="Arial" w:cs="Arial"/>
          <w:sz w:val="15"/>
          <w:szCs w:val="15"/>
        </w:rPr>
      </w:pPr>
    </w:p>
    <w:p w:rsidR="0088415B" w:rsidRDefault="0088415B" w:rsidP="0088415B">
      <w:pPr>
        <w:pStyle w:val="Corpodetexto"/>
        <w:spacing w:before="69" w:line="360" w:lineRule="auto"/>
        <w:ind w:left="158" w:right="153" w:firstLine="720"/>
        <w:jc w:val="both"/>
      </w:pPr>
      <w:r>
        <w:t xml:space="preserve">Quanto à temática, a experiência legislativa é mais elucidativa. Os deputados de primeira viagem focam seus discursos nas questões atreladas às </w:t>
      </w:r>
      <w:r>
        <w:rPr>
          <w:i/>
        </w:rPr>
        <w:t xml:space="preserve">soft politics </w:t>
      </w:r>
      <w:r>
        <w:t xml:space="preserve">e à medida que vão acumulando mandatos, passam a tratar delas cada vez menos. O teste do qui-quadrado demonstra um desvio significativo para baixo na categoria das políticas </w:t>
      </w:r>
      <w:r>
        <w:rPr>
          <w:i/>
        </w:rPr>
        <w:t>soft</w:t>
      </w:r>
      <w:r>
        <w:t>, nos pronunciamentos daqueles parlamentares que se encontram da terceira legislatura em diante, como consta na tabela</w:t>
      </w:r>
      <w:r>
        <w:rPr>
          <w:spacing w:val="-2"/>
        </w:rPr>
        <w:t xml:space="preserve"> </w:t>
      </w:r>
      <w:r>
        <w:t>4.</w:t>
      </w:r>
    </w:p>
    <w:p w:rsidR="0088415B" w:rsidRDefault="0088415B" w:rsidP="0088415B">
      <w:pPr>
        <w:spacing w:before="4" w:after="4"/>
        <w:ind w:left="183" w:right="1942"/>
        <w:rPr>
          <w:rFonts w:ascii="Arial" w:eastAsia="Arial" w:hAnsi="Arial" w:cs="Arial"/>
          <w:sz w:val="18"/>
          <w:szCs w:val="18"/>
        </w:rPr>
      </w:pPr>
      <w:r>
        <w:rPr>
          <w:rFonts w:ascii="Arial" w:hAnsi="Arial"/>
          <w:b/>
          <w:sz w:val="18"/>
        </w:rPr>
        <w:t>Tabela</w:t>
      </w:r>
      <w:r>
        <w:rPr>
          <w:rFonts w:ascii="Arial" w:hAnsi="Arial"/>
          <w:b/>
          <w:spacing w:val="-5"/>
          <w:sz w:val="18"/>
        </w:rPr>
        <w:t xml:space="preserve"> </w:t>
      </w:r>
      <w:r>
        <w:rPr>
          <w:rFonts w:ascii="Arial" w:hAnsi="Arial"/>
          <w:b/>
          <w:sz w:val="18"/>
        </w:rPr>
        <w:t>4</w:t>
      </w:r>
      <w:r>
        <w:rPr>
          <w:rFonts w:ascii="Arial" w:hAnsi="Arial"/>
          <w:sz w:val="18"/>
        </w:rPr>
        <w:t>:</w:t>
      </w:r>
      <w:r>
        <w:rPr>
          <w:rFonts w:ascii="Arial" w:hAnsi="Arial"/>
          <w:spacing w:val="-4"/>
          <w:sz w:val="18"/>
        </w:rPr>
        <w:t xml:space="preserve"> </w:t>
      </w:r>
      <w:r>
        <w:rPr>
          <w:rFonts w:ascii="Arial" w:hAnsi="Arial"/>
          <w:sz w:val="18"/>
        </w:rPr>
        <w:t>Área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dos</w:t>
      </w:r>
      <w:r>
        <w:rPr>
          <w:rFonts w:ascii="Arial" w:hAnsi="Arial"/>
          <w:spacing w:val="-4"/>
          <w:sz w:val="18"/>
        </w:rPr>
        <w:t xml:space="preserve"> </w:t>
      </w:r>
      <w:r>
        <w:rPr>
          <w:rFonts w:ascii="Arial" w:hAnsi="Arial"/>
          <w:sz w:val="18"/>
        </w:rPr>
        <w:t>discursos,</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acordo</w:t>
      </w:r>
      <w:r>
        <w:rPr>
          <w:rFonts w:ascii="Arial" w:hAnsi="Arial"/>
          <w:spacing w:val="-4"/>
          <w:sz w:val="18"/>
        </w:rPr>
        <w:t xml:space="preserve"> </w:t>
      </w:r>
      <w:r>
        <w:rPr>
          <w:rFonts w:ascii="Arial" w:hAnsi="Arial"/>
          <w:sz w:val="18"/>
        </w:rPr>
        <w:t>com</w:t>
      </w:r>
      <w:r>
        <w:rPr>
          <w:rFonts w:ascii="Arial" w:hAnsi="Arial"/>
          <w:spacing w:val="-4"/>
          <w:sz w:val="18"/>
        </w:rPr>
        <w:t xml:space="preserve"> </w:t>
      </w:r>
      <w:r>
        <w:rPr>
          <w:rFonts w:ascii="Arial" w:hAnsi="Arial"/>
          <w:sz w:val="18"/>
        </w:rPr>
        <w:t>experiência</w:t>
      </w:r>
      <w:r>
        <w:rPr>
          <w:rFonts w:ascii="Arial" w:hAnsi="Arial"/>
          <w:spacing w:val="-5"/>
          <w:sz w:val="18"/>
        </w:rPr>
        <w:t xml:space="preserve"> </w:t>
      </w:r>
      <w:r>
        <w:rPr>
          <w:rFonts w:ascii="Arial" w:hAnsi="Arial"/>
          <w:sz w:val="18"/>
        </w:rPr>
        <w:t>parlamentar</w:t>
      </w:r>
      <w:r>
        <w:rPr>
          <w:rFonts w:ascii="Arial" w:hAnsi="Arial"/>
          <w:spacing w:val="-4"/>
          <w:sz w:val="18"/>
        </w:rPr>
        <w:t xml:space="preserve"> </w:t>
      </w:r>
      <w:r>
        <w:rPr>
          <w:rFonts w:ascii="Arial" w:hAnsi="Arial"/>
          <w:sz w:val="18"/>
        </w:rPr>
        <w:t>do</w:t>
      </w:r>
      <w:r>
        <w:rPr>
          <w:rFonts w:ascii="Arial" w:hAnsi="Arial"/>
          <w:spacing w:val="-4"/>
          <w:sz w:val="18"/>
        </w:rPr>
        <w:t xml:space="preserve"> </w:t>
      </w:r>
      <w:r>
        <w:rPr>
          <w:rFonts w:ascii="Arial" w:hAnsi="Arial"/>
          <w:sz w:val="18"/>
        </w:rPr>
        <w:t>orador</w:t>
      </w:r>
    </w:p>
    <w:tbl>
      <w:tblPr>
        <w:tblW w:w="0" w:type="auto"/>
        <w:tblInd w:w="112" w:type="dxa"/>
        <w:tblLayout w:type="fixed"/>
        <w:tblCellMar>
          <w:left w:w="0" w:type="dxa"/>
          <w:right w:w="0" w:type="dxa"/>
        </w:tblCellMar>
        <w:tblLook w:val="01E0"/>
      </w:tblPr>
      <w:tblGrid>
        <w:gridCol w:w="1871"/>
        <w:gridCol w:w="1440"/>
        <w:gridCol w:w="1440"/>
        <w:gridCol w:w="1440"/>
        <w:gridCol w:w="1620"/>
        <w:gridCol w:w="1343"/>
      </w:tblGrid>
      <w:tr w:rsidR="0088415B" w:rsidTr="00505E82">
        <w:trPr>
          <w:trHeight w:hRule="exact" w:val="444"/>
        </w:trPr>
        <w:tc>
          <w:tcPr>
            <w:tcW w:w="1871"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44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before="2" w:line="206" w:lineRule="exact"/>
              <w:ind w:left="304" w:right="295" w:firstLine="85"/>
              <w:rPr>
                <w:rFonts w:ascii="Arial" w:eastAsia="Arial" w:hAnsi="Arial" w:cs="Arial"/>
                <w:sz w:val="18"/>
                <w:szCs w:val="18"/>
              </w:rPr>
            </w:pPr>
            <w:r w:rsidRPr="00505E82">
              <w:rPr>
                <w:rFonts w:ascii="Arial"/>
                <w:sz w:val="18"/>
              </w:rPr>
              <w:t>primeira legislatura</w:t>
            </w:r>
          </w:p>
        </w:tc>
        <w:tc>
          <w:tcPr>
            <w:tcW w:w="144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before="2" w:line="206" w:lineRule="exact"/>
              <w:ind w:left="304" w:right="295" w:firstLine="64"/>
              <w:rPr>
                <w:rFonts w:ascii="Arial" w:eastAsia="Arial" w:hAnsi="Arial" w:cs="Arial"/>
                <w:sz w:val="18"/>
                <w:szCs w:val="18"/>
              </w:rPr>
            </w:pPr>
            <w:r w:rsidRPr="00505E82">
              <w:rPr>
                <w:rFonts w:ascii="Arial"/>
                <w:sz w:val="18"/>
              </w:rPr>
              <w:t>segunda legislatura</w:t>
            </w:r>
          </w:p>
        </w:tc>
        <w:tc>
          <w:tcPr>
            <w:tcW w:w="144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before="2" w:line="206" w:lineRule="exact"/>
              <w:ind w:left="304" w:right="295" w:firstLine="110"/>
              <w:rPr>
                <w:rFonts w:ascii="Arial" w:eastAsia="Arial" w:hAnsi="Arial" w:cs="Arial"/>
                <w:sz w:val="18"/>
                <w:szCs w:val="18"/>
              </w:rPr>
            </w:pPr>
            <w:r w:rsidRPr="00505E82">
              <w:rPr>
                <w:rFonts w:ascii="Arial"/>
                <w:sz w:val="18"/>
              </w:rPr>
              <w:t>terceira legislatura</w:t>
            </w:r>
          </w:p>
        </w:tc>
        <w:tc>
          <w:tcPr>
            <w:tcW w:w="162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before="2" w:line="206" w:lineRule="exact"/>
              <w:ind w:left="489" w:right="106" w:hanging="376"/>
              <w:rPr>
                <w:rFonts w:ascii="Arial" w:eastAsia="Arial" w:hAnsi="Arial" w:cs="Arial"/>
                <w:sz w:val="18"/>
                <w:szCs w:val="18"/>
              </w:rPr>
            </w:pPr>
            <w:r w:rsidRPr="00505E82">
              <w:rPr>
                <w:rFonts w:ascii="Arial"/>
                <w:sz w:val="18"/>
              </w:rPr>
              <w:t>quarta legislatura ou</w:t>
            </w:r>
            <w:r w:rsidRPr="00505E82">
              <w:rPr>
                <w:rFonts w:ascii="Arial"/>
                <w:spacing w:val="-6"/>
                <w:sz w:val="18"/>
              </w:rPr>
              <w:t xml:space="preserve"> </w:t>
            </w:r>
            <w:r w:rsidRPr="00505E82">
              <w:rPr>
                <w:rFonts w:ascii="Arial"/>
                <w:sz w:val="18"/>
              </w:rPr>
              <w:t>mais</w:t>
            </w:r>
          </w:p>
        </w:tc>
        <w:tc>
          <w:tcPr>
            <w:tcW w:w="1343"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139" w:right="139"/>
              <w:jc w:val="center"/>
              <w:rPr>
                <w:rFonts w:ascii="Arial" w:eastAsia="Arial" w:hAnsi="Arial" w:cs="Arial"/>
                <w:sz w:val="18"/>
                <w:szCs w:val="18"/>
              </w:rPr>
            </w:pPr>
            <w:r w:rsidRPr="00505E82">
              <w:rPr>
                <w:rFonts w:ascii="Arial"/>
                <w:sz w:val="18"/>
              </w:rPr>
              <w:t>total</w:t>
            </w:r>
          </w:p>
        </w:tc>
      </w:tr>
      <w:tr w:rsidR="0088415B" w:rsidTr="00505E82">
        <w:trPr>
          <w:trHeight w:hRule="exact" w:val="226"/>
        </w:trPr>
        <w:tc>
          <w:tcPr>
            <w:tcW w:w="1871"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144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73"/>
              <w:rPr>
                <w:rFonts w:ascii="Arial" w:eastAsia="Arial" w:hAnsi="Arial" w:cs="Arial"/>
                <w:sz w:val="18"/>
                <w:szCs w:val="18"/>
              </w:rPr>
            </w:pPr>
            <w:r w:rsidRPr="00505E82">
              <w:rPr>
                <w:rFonts w:ascii="Arial"/>
                <w:sz w:val="18"/>
              </w:rPr>
              <w:t>40,9%</w:t>
            </w:r>
            <w:r w:rsidRPr="00505E82">
              <w:rPr>
                <w:rFonts w:ascii="Arial"/>
                <w:spacing w:val="-9"/>
                <w:sz w:val="18"/>
              </w:rPr>
              <w:t xml:space="preserve"> </w:t>
            </w:r>
            <w:r w:rsidRPr="00505E82">
              <w:rPr>
                <w:rFonts w:ascii="Arial"/>
                <w:sz w:val="18"/>
              </w:rPr>
              <w:t>(3271)</w:t>
            </w:r>
          </w:p>
        </w:tc>
        <w:tc>
          <w:tcPr>
            <w:tcW w:w="144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74"/>
              <w:rPr>
                <w:rFonts w:ascii="Arial" w:eastAsia="Arial" w:hAnsi="Arial" w:cs="Arial"/>
                <w:sz w:val="18"/>
                <w:szCs w:val="18"/>
              </w:rPr>
            </w:pPr>
            <w:r w:rsidRPr="00505E82">
              <w:rPr>
                <w:rFonts w:ascii="Arial"/>
                <w:sz w:val="18"/>
              </w:rPr>
              <w:t>27,8%</w:t>
            </w:r>
            <w:r w:rsidRPr="00505E82">
              <w:rPr>
                <w:rFonts w:ascii="Arial"/>
                <w:spacing w:val="-9"/>
                <w:sz w:val="18"/>
              </w:rPr>
              <w:t xml:space="preserve"> </w:t>
            </w:r>
            <w:r w:rsidRPr="00505E82">
              <w:rPr>
                <w:rFonts w:ascii="Arial"/>
                <w:sz w:val="18"/>
              </w:rPr>
              <w:t>(2220)</w:t>
            </w:r>
          </w:p>
        </w:tc>
        <w:tc>
          <w:tcPr>
            <w:tcW w:w="144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73"/>
              <w:rPr>
                <w:rFonts w:ascii="Arial" w:eastAsia="Arial" w:hAnsi="Arial" w:cs="Arial"/>
                <w:sz w:val="18"/>
                <w:szCs w:val="18"/>
              </w:rPr>
            </w:pPr>
            <w:r w:rsidRPr="00505E82">
              <w:rPr>
                <w:rFonts w:ascii="Arial"/>
                <w:sz w:val="18"/>
              </w:rPr>
              <w:t>14,7%</w:t>
            </w:r>
            <w:r w:rsidRPr="00505E82">
              <w:rPr>
                <w:rFonts w:ascii="Arial"/>
                <w:spacing w:val="-9"/>
                <w:sz w:val="18"/>
              </w:rPr>
              <w:t xml:space="preserve"> </w:t>
            </w:r>
            <w:r w:rsidRPr="00505E82">
              <w:rPr>
                <w:rFonts w:ascii="Arial"/>
                <w:sz w:val="18"/>
              </w:rPr>
              <w:t>(1173)</w:t>
            </w:r>
          </w:p>
        </w:tc>
        <w:tc>
          <w:tcPr>
            <w:tcW w:w="162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264"/>
              <w:jc w:val="right"/>
              <w:rPr>
                <w:rFonts w:ascii="Arial" w:eastAsia="Arial" w:hAnsi="Arial" w:cs="Arial"/>
                <w:sz w:val="18"/>
                <w:szCs w:val="18"/>
              </w:rPr>
            </w:pPr>
            <w:r w:rsidRPr="00505E82">
              <w:rPr>
                <w:rFonts w:ascii="Arial"/>
                <w:sz w:val="18"/>
              </w:rPr>
              <w:t>16,6%</w:t>
            </w:r>
            <w:r w:rsidRPr="00505E82">
              <w:rPr>
                <w:rFonts w:ascii="Arial"/>
                <w:spacing w:val="-9"/>
                <w:sz w:val="18"/>
              </w:rPr>
              <w:t xml:space="preserve"> </w:t>
            </w:r>
            <w:r w:rsidRPr="00505E82">
              <w:rPr>
                <w:rFonts w:ascii="Arial"/>
                <w:sz w:val="18"/>
              </w:rPr>
              <w:t>(1326)</w:t>
            </w:r>
          </w:p>
        </w:tc>
        <w:tc>
          <w:tcPr>
            <w:tcW w:w="134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41" w:right="139"/>
              <w:jc w:val="center"/>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(7990)</w:t>
            </w:r>
          </w:p>
        </w:tc>
      </w:tr>
      <w:tr w:rsidR="0088415B" w:rsidTr="00505E82">
        <w:trPr>
          <w:trHeight w:hRule="exact" w:val="217"/>
        </w:trPr>
        <w:tc>
          <w:tcPr>
            <w:tcW w:w="187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73"/>
              <w:rPr>
                <w:rFonts w:ascii="Arial" w:eastAsia="Arial" w:hAnsi="Arial" w:cs="Arial"/>
                <w:sz w:val="18"/>
                <w:szCs w:val="18"/>
              </w:rPr>
            </w:pPr>
            <w:r w:rsidRPr="00505E82">
              <w:rPr>
                <w:rFonts w:ascii="Arial"/>
                <w:sz w:val="18"/>
              </w:rPr>
              <w:t>41,9%</w:t>
            </w:r>
            <w:r w:rsidRPr="00505E82">
              <w:rPr>
                <w:rFonts w:ascii="Arial"/>
                <w:spacing w:val="-9"/>
                <w:sz w:val="18"/>
              </w:rPr>
              <w:t xml:space="preserve"> </w:t>
            </w:r>
            <w:r w:rsidRPr="00505E82">
              <w:rPr>
                <w:rFonts w:ascii="Arial"/>
                <w:sz w:val="18"/>
              </w:rPr>
              <w:t>(1518)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24"/>
              <w:rPr>
                <w:rFonts w:ascii="Arial" w:eastAsia="Arial" w:hAnsi="Arial" w:cs="Arial"/>
                <w:sz w:val="18"/>
                <w:szCs w:val="18"/>
              </w:rPr>
            </w:pPr>
            <w:r w:rsidRPr="00505E82">
              <w:rPr>
                <w:rFonts w:ascii="Arial"/>
                <w:sz w:val="18"/>
              </w:rPr>
              <w:t>26,8%</w:t>
            </w:r>
            <w:r w:rsidRPr="00505E82">
              <w:rPr>
                <w:rFonts w:ascii="Arial"/>
                <w:spacing w:val="-9"/>
                <w:sz w:val="18"/>
              </w:rPr>
              <w:t xml:space="preserve"> </w:t>
            </w:r>
            <w:r w:rsidRPr="00505E82">
              <w:rPr>
                <w:rFonts w:ascii="Arial"/>
                <w:sz w:val="18"/>
              </w:rPr>
              <w:t>(969)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24"/>
              <w:rPr>
                <w:rFonts w:ascii="Arial" w:eastAsia="Arial" w:hAnsi="Arial" w:cs="Arial"/>
                <w:sz w:val="18"/>
                <w:szCs w:val="18"/>
              </w:rPr>
            </w:pPr>
            <w:r w:rsidRPr="00505E82">
              <w:rPr>
                <w:rFonts w:ascii="Arial"/>
                <w:sz w:val="18"/>
              </w:rPr>
              <w:t>15,0%</w:t>
            </w:r>
            <w:r w:rsidRPr="00505E82">
              <w:rPr>
                <w:rFonts w:ascii="Arial"/>
                <w:spacing w:val="-9"/>
                <w:sz w:val="18"/>
              </w:rPr>
              <w:t xml:space="preserve"> </w:t>
            </w:r>
            <w:r w:rsidRPr="00505E82">
              <w:rPr>
                <w:rFonts w:ascii="Arial"/>
                <w:sz w:val="18"/>
              </w:rPr>
              <w:t>(544)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314"/>
              <w:jc w:val="right"/>
              <w:rPr>
                <w:rFonts w:ascii="Arial" w:eastAsia="Arial" w:hAnsi="Arial" w:cs="Arial"/>
                <w:sz w:val="18"/>
                <w:szCs w:val="18"/>
              </w:rPr>
            </w:pPr>
            <w:r w:rsidRPr="00505E82">
              <w:rPr>
                <w:rFonts w:ascii="Arial"/>
                <w:sz w:val="18"/>
              </w:rPr>
              <w:t>16,3%</w:t>
            </w:r>
            <w:r w:rsidRPr="00505E82">
              <w:rPr>
                <w:rFonts w:ascii="Arial"/>
                <w:spacing w:val="-9"/>
                <w:sz w:val="18"/>
              </w:rPr>
              <w:t xml:space="preserve"> </w:t>
            </w:r>
            <w:r w:rsidRPr="00505E82">
              <w:rPr>
                <w:rFonts w:ascii="Arial"/>
                <w:sz w:val="18"/>
              </w:rPr>
              <w:t>(589)</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41" w:right="139"/>
              <w:jc w:val="center"/>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(3620)</w:t>
            </w:r>
          </w:p>
        </w:tc>
      </w:tr>
      <w:tr w:rsidR="0088415B" w:rsidTr="00505E82">
        <w:trPr>
          <w:trHeight w:hRule="exact" w:val="217"/>
        </w:trPr>
        <w:tc>
          <w:tcPr>
            <w:tcW w:w="1871"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73"/>
              <w:rPr>
                <w:rFonts w:ascii="Arial" w:eastAsia="Arial" w:hAnsi="Arial" w:cs="Arial"/>
                <w:sz w:val="18"/>
                <w:szCs w:val="18"/>
              </w:rPr>
            </w:pPr>
            <w:r w:rsidRPr="00505E82">
              <w:rPr>
                <w:rFonts w:ascii="Arial"/>
                <w:sz w:val="18"/>
              </w:rPr>
              <w:t>44,7%</w:t>
            </w:r>
            <w:r w:rsidRPr="00505E82">
              <w:rPr>
                <w:rFonts w:ascii="Arial"/>
                <w:spacing w:val="-9"/>
                <w:sz w:val="18"/>
              </w:rPr>
              <w:t xml:space="preserve"> </w:t>
            </w:r>
            <w:r w:rsidRPr="00505E82">
              <w:rPr>
                <w:rFonts w:ascii="Arial"/>
                <w:sz w:val="18"/>
              </w:rPr>
              <w:t>(1732)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74"/>
              <w:rPr>
                <w:rFonts w:ascii="Arial" w:eastAsia="Arial" w:hAnsi="Arial" w:cs="Arial"/>
                <w:sz w:val="18"/>
                <w:szCs w:val="18"/>
              </w:rPr>
            </w:pPr>
            <w:r w:rsidRPr="00505E82">
              <w:rPr>
                <w:rFonts w:ascii="Arial"/>
                <w:sz w:val="18"/>
              </w:rPr>
              <w:t>28,4%</w:t>
            </w:r>
            <w:r w:rsidRPr="00505E82">
              <w:rPr>
                <w:rFonts w:ascii="Arial"/>
                <w:spacing w:val="-9"/>
                <w:sz w:val="18"/>
              </w:rPr>
              <w:t xml:space="preserve"> </w:t>
            </w:r>
            <w:r w:rsidRPr="00505E82">
              <w:rPr>
                <w:rFonts w:ascii="Arial"/>
                <w:sz w:val="18"/>
              </w:rPr>
              <w:t>(1101)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224"/>
              <w:rPr>
                <w:rFonts w:ascii="Arial" w:eastAsia="Arial" w:hAnsi="Arial" w:cs="Arial"/>
                <w:sz w:val="18"/>
                <w:szCs w:val="18"/>
              </w:rPr>
            </w:pPr>
            <w:r w:rsidRPr="00505E82">
              <w:rPr>
                <w:rFonts w:ascii="Arial"/>
                <w:sz w:val="18"/>
              </w:rPr>
              <w:t>12,8%</w:t>
            </w:r>
            <w:r w:rsidRPr="00505E82">
              <w:rPr>
                <w:rFonts w:ascii="Arial"/>
                <w:spacing w:val="-9"/>
                <w:sz w:val="18"/>
              </w:rPr>
              <w:t xml:space="preserve"> </w:t>
            </w:r>
            <w:r w:rsidRPr="00505E82">
              <w:rPr>
                <w:rFonts w:ascii="Arial"/>
                <w:sz w:val="18"/>
              </w:rPr>
              <w:t>(495)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314"/>
              <w:jc w:val="right"/>
              <w:rPr>
                <w:rFonts w:ascii="Arial" w:eastAsia="Arial" w:hAnsi="Arial" w:cs="Arial"/>
                <w:sz w:val="18"/>
                <w:szCs w:val="18"/>
              </w:rPr>
            </w:pPr>
            <w:r w:rsidRPr="00505E82">
              <w:rPr>
                <w:rFonts w:ascii="Arial"/>
                <w:sz w:val="18"/>
              </w:rPr>
              <w:t>14,1%</w:t>
            </w:r>
            <w:r w:rsidRPr="00505E82">
              <w:rPr>
                <w:rFonts w:ascii="Arial"/>
                <w:spacing w:val="-9"/>
                <w:sz w:val="18"/>
              </w:rPr>
              <w:t xml:space="preserve"> </w:t>
            </w:r>
            <w:r w:rsidRPr="00505E82">
              <w:rPr>
                <w:rFonts w:ascii="Arial"/>
                <w:sz w:val="18"/>
              </w:rPr>
              <w:t>(546)</w:t>
            </w:r>
          </w:p>
        </w:tc>
        <w:tc>
          <w:tcPr>
            <w:tcW w:w="134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41" w:right="139"/>
              <w:jc w:val="center"/>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(3874)</w:t>
            </w:r>
          </w:p>
        </w:tc>
      </w:tr>
      <w:tr w:rsidR="0088415B" w:rsidTr="00505E82">
        <w:trPr>
          <w:trHeight w:hRule="exact" w:val="227"/>
        </w:trPr>
        <w:tc>
          <w:tcPr>
            <w:tcW w:w="1871"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irrelevantes e</w:t>
            </w:r>
            <w:r w:rsidRPr="00505E82">
              <w:rPr>
                <w:rFonts w:ascii="Arial"/>
                <w:spacing w:val="-15"/>
                <w:sz w:val="18"/>
              </w:rPr>
              <w:t xml:space="preserve"> </w:t>
            </w:r>
            <w:r w:rsidRPr="00505E82">
              <w:rPr>
                <w:rFonts w:ascii="Arial"/>
                <w:sz w:val="18"/>
              </w:rPr>
              <w:t>outros</w:t>
            </w:r>
          </w:p>
        </w:tc>
        <w:tc>
          <w:tcPr>
            <w:tcW w:w="144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25"/>
              <w:rPr>
                <w:rFonts w:ascii="Arial" w:eastAsia="Arial" w:hAnsi="Arial" w:cs="Arial"/>
                <w:sz w:val="18"/>
                <w:szCs w:val="18"/>
              </w:rPr>
            </w:pPr>
            <w:r w:rsidRPr="00505E82">
              <w:rPr>
                <w:rFonts w:ascii="Arial"/>
                <w:sz w:val="18"/>
              </w:rPr>
              <w:t>39,3%</w:t>
            </w:r>
            <w:r w:rsidRPr="00505E82">
              <w:rPr>
                <w:rFonts w:ascii="Arial"/>
                <w:spacing w:val="-9"/>
                <w:sz w:val="18"/>
              </w:rPr>
              <w:t xml:space="preserve"> </w:t>
            </w:r>
            <w:r w:rsidRPr="00505E82">
              <w:rPr>
                <w:rFonts w:ascii="Arial"/>
                <w:sz w:val="18"/>
              </w:rPr>
              <w:t>(792)</w:t>
            </w:r>
          </w:p>
        </w:tc>
        <w:tc>
          <w:tcPr>
            <w:tcW w:w="144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25"/>
              <w:rPr>
                <w:rFonts w:ascii="Arial" w:eastAsia="Arial" w:hAnsi="Arial" w:cs="Arial"/>
                <w:sz w:val="18"/>
                <w:szCs w:val="18"/>
              </w:rPr>
            </w:pPr>
            <w:r w:rsidRPr="00505E82">
              <w:rPr>
                <w:rFonts w:ascii="Arial"/>
                <w:sz w:val="18"/>
              </w:rPr>
              <w:t>29,1%</w:t>
            </w:r>
            <w:r w:rsidRPr="00505E82">
              <w:rPr>
                <w:rFonts w:ascii="Arial"/>
                <w:spacing w:val="-10"/>
                <w:sz w:val="18"/>
              </w:rPr>
              <w:t xml:space="preserve"> </w:t>
            </w:r>
            <w:r w:rsidRPr="00505E82">
              <w:rPr>
                <w:rFonts w:ascii="Arial"/>
                <w:sz w:val="18"/>
              </w:rPr>
              <w:t>(585)</w:t>
            </w:r>
          </w:p>
        </w:tc>
        <w:tc>
          <w:tcPr>
            <w:tcW w:w="144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224"/>
              <w:rPr>
                <w:rFonts w:ascii="Arial" w:eastAsia="Arial" w:hAnsi="Arial" w:cs="Arial"/>
                <w:sz w:val="18"/>
                <w:szCs w:val="18"/>
              </w:rPr>
            </w:pPr>
            <w:r w:rsidRPr="00505E82">
              <w:rPr>
                <w:rFonts w:ascii="Arial"/>
                <w:sz w:val="18"/>
              </w:rPr>
              <w:t>15,2%</w:t>
            </w:r>
            <w:r w:rsidRPr="00505E82">
              <w:rPr>
                <w:rFonts w:ascii="Arial"/>
                <w:spacing w:val="-9"/>
                <w:sz w:val="18"/>
              </w:rPr>
              <w:t xml:space="preserve"> </w:t>
            </w:r>
            <w:r w:rsidRPr="00505E82">
              <w:rPr>
                <w:rFonts w:ascii="Arial"/>
                <w:sz w:val="18"/>
              </w:rPr>
              <w:t>(305)</w:t>
            </w:r>
          </w:p>
        </w:tc>
        <w:tc>
          <w:tcPr>
            <w:tcW w:w="162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right="314"/>
              <w:jc w:val="right"/>
              <w:rPr>
                <w:rFonts w:ascii="Arial" w:eastAsia="Arial" w:hAnsi="Arial" w:cs="Arial"/>
                <w:sz w:val="18"/>
                <w:szCs w:val="18"/>
              </w:rPr>
            </w:pPr>
            <w:r w:rsidRPr="00505E82">
              <w:rPr>
                <w:rFonts w:ascii="Arial"/>
                <w:sz w:val="18"/>
              </w:rPr>
              <w:t>16,4%</w:t>
            </w:r>
            <w:r w:rsidRPr="00505E82">
              <w:rPr>
                <w:rFonts w:ascii="Arial"/>
                <w:spacing w:val="-9"/>
                <w:sz w:val="18"/>
              </w:rPr>
              <w:t xml:space="preserve"> </w:t>
            </w:r>
            <w:r w:rsidRPr="00505E82">
              <w:rPr>
                <w:rFonts w:ascii="Arial"/>
                <w:sz w:val="18"/>
              </w:rPr>
              <w:t>(331)</w:t>
            </w:r>
          </w:p>
        </w:tc>
        <w:tc>
          <w:tcPr>
            <w:tcW w:w="134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141" w:right="139"/>
              <w:jc w:val="center"/>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(2013)</w:t>
            </w:r>
          </w:p>
        </w:tc>
      </w:tr>
    </w:tbl>
    <w:p w:rsidR="0088415B" w:rsidRDefault="0088415B" w:rsidP="0088415B">
      <w:pPr>
        <w:spacing w:line="205" w:lineRule="exact"/>
        <w:ind w:left="183" w:right="1942"/>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Era</w:t>
      </w:r>
      <w:r>
        <w:rPr>
          <w:rFonts w:ascii="Arial" w:hAnsi="Arial"/>
          <w:spacing w:val="-4"/>
          <w:sz w:val="18"/>
        </w:rPr>
        <w:t xml:space="preserve"> </w:t>
      </w:r>
      <w:r>
        <w:rPr>
          <w:rFonts w:ascii="Arial" w:hAnsi="Arial"/>
          <w:sz w:val="18"/>
        </w:rPr>
        <w:t>permitida</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indicação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uma</w:t>
      </w:r>
      <w:r>
        <w:rPr>
          <w:rFonts w:ascii="Arial" w:hAnsi="Arial"/>
          <w:spacing w:val="-4"/>
          <w:sz w:val="18"/>
        </w:rPr>
        <w:t xml:space="preserve"> </w:t>
      </w:r>
      <w:r>
        <w:rPr>
          <w:rFonts w:ascii="Arial" w:hAnsi="Arial"/>
          <w:sz w:val="18"/>
        </w:rPr>
        <w:t>área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discurso.</w:t>
      </w:r>
    </w:p>
    <w:p w:rsidR="0088415B" w:rsidRDefault="0088415B" w:rsidP="0088415B">
      <w:pPr>
        <w:ind w:left="183" w:right="1942"/>
        <w:rPr>
          <w:rFonts w:ascii="Arial" w:eastAsia="Arial" w:hAnsi="Arial" w:cs="Arial"/>
          <w:sz w:val="18"/>
          <w:szCs w:val="18"/>
        </w:rPr>
      </w:pPr>
      <w:r>
        <w:rPr>
          <w:rFonts w:ascii="Arial" w:eastAsia="Arial" w:hAnsi="Arial" w:cs="Arial"/>
          <w:sz w:val="18"/>
          <w:szCs w:val="18"/>
        </w:rPr>
        <w:t>A dependência entre as variáveis é muito significativa. Qui2 = 35,52, gl = 9 1-p =&gt; 99,99%.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pStyle w:val="Corpodetexto"/>
        <w:spacing w:before="69" w:line="360" w:lineRule="auto"/>
        <w:ind w:left="158" w:right="152"/>
        <w:jc w:val="both"/>
      </w:pPr>
      <w:r>
        <w:t xml:space="preserve">Da mesma maneira que nos discursos do plenário, ao se observar as comissões permanentes da Câmara Federal, obtém-se uma relação razoável para uma maior atuação das parlamentares naquelas que tratam de políticas </w:t>
      </w:r>
      <w:r>
        <w:rPr>
          <w:i/>
        </w:rPr>
        <w:t xml:space="preserve">soft. </w:t>
      </w:r>
      <w:r>
        <w:t>A quase totalidade das iniciativas e propostas legislativas deve passar pelo crivo das Comissões Permanentes da Casa. Elas são responsáveis por emitir pareceres sobre cada proposta e, dependendo do projeto, a concordância das comissões pode ser “conclusiva”, isto é, o projeto estará automaticamente aprovado sem passar pelo Plenário. A título de ilustração, do total de propostas apresentadas na Câmara dos Deputados em 2005, 45% foram discutidas apenas nas comissões desta Casa. Do total de proposições que viraram normas jurídicas, 90,5% tramitaram conclusivamente, ou seja,  só  pelas  comissões,  o  que  evidencia  a  importância  delas  no  campo  político</w:t>
      </w:r>
      <w:r>
        <w:rPr>
          <w:spacing w:val="-16"/>
        </w:rPr>
        <w:t xml:space="preserve"> </w:t>
      </w:r>
      <w:r>
        <w:t>formal</w:t>
      </w:r>
    </w:p>
    <w:p w:rsidR="0088415B" w:rsidRDefault="0088415B" w:rsidP="0088415B">
      <w:pPr>
        <w:pStyle w:val="Corpodetexto"/>
        <w:spacing w:before="0" w:line="281" w:lineRule="exact"/>
        <w:ind w:left="158" w:right="1942" w:firstLine="0"/>
      </w:pPr>
      <w:r>
        <w:t>brasileiro</w:t>
      </w:r>
      <w:hyperlink w:anchor="_bookmark1" w:history="1">
        <w:r>
          <w:rPr>
            <w:position w:val="11"/>
            <w:sz w:val="16"/>
          </w:rPr>
          <w:t>2</w:t>
        </w:r>
      </w:hyperlink>
      <w:r>
        <w:t>.</w:t>
      </w:r>
    </w:p>
    <w:p w:rsidR="0088415B" w:rsidRDefault="0088415B" w:rsidP="0088415B">
      <w:pPr>
        <w:pStyle w:val="Corpodetexto"/>
        <w:spacing w:before="138" w:line="360" w:lineRule="auto"/>
        <w:ind w:left="158" w:right="153" w:firstLine="708"/>
        <w:jc w:val="both"/>
      </w:pPr>
      <w:r>
        <w:t xml:space="preserve">Ao se condensar a participação nas comissões, segundo os mesmos critérios que foi categorizada a relação de temas, é possível atentar com exatidão o insulamento sofrido pelas </w:t>
      </w:r>
      <w:r>
        <w:lastRenderedPageBreak/>
        <w:t>deputadas. Também aqui, o cálculo de significância indicou um percentual acima do esperado para as comissões de políticas</w:t>
      </w:r>
      <w:r>
        <w:rPr>
          <w:spacing w:val="-9"/>
        </w:rPr>
        <w:t xml:space="preserve"> </w:t>
      </w:r>
      <w:r>
        <w:rPr>
          <w:i/>
        </w:rPr>
        <w:t>soft</w:t>
      </w:r>
      <w:r>
        <w:t>.</w:t>
      </w:r>
    </w:p>
    <w:p w:rsidR="0088415B" w:rsidRDefault="0088415B" w:rsidP="0088415B">
      <w:pPr>
        <w:spacing w:before="5" w:after="4"/>
        <w:ind w:left="971" w:right="1104"/>
        <w:rPr>
          <w:rFonts w:ascii="Arial" w:eastAsia="Arial" w:hAnsi="Arial" w:cs="Arial"/>
          <w:sz w:val="18"/>
          <w:szCs w:val="18"/>
        </w:rPr>
      </w:pPr>
      <w:r>
        <w:rPr>
          <w:rFonts w:ascii="Arial" w:hAnsi="Arial"/>
          <w:b/>
          <w:sz w:val="18"/>
        </w:rPr>
        <w:t>Tabela</w:t>
      </w:r>
      <w:r>
        <w:rPr>
          <w:rFonts w:ascii="Arial" w:hAnsi="Arial"/>
          <w:b/>
          <w:spacing w:val="-5"/>
          <w:sz w:val="18"/>
        </w:rPr>
        <w:t xml:space="preserve"> </w:t>
      </w:r>
      <w:r>
        <w:rPr>
          <w:rFonts w:ascii="Arial" w:hAnsi="Arial"/>
          <w:b/>
          <w:sz w:val="18"/>
        </w:rPr>
        <w:t>5</w:t>
      </w:r>
      <w:r>
        <w:rPr>
          <w:rFonts w:ascii="Arial" w:hAnsi="Arial"/>
          <w:sz w:val="18"/>
        </w:rPr>
        <w:t>:</w:t>
      </w:r>
      <w:r>
        <w:rPr>
          <w:rFonts w:ascii="Arial" w:hAnsi="Arial"/>
          <w:spacing w:val="-4"/>
          <w:sz w:val="18"/>
        </w:rPr>
        <w:t xml:space="preserve"> </w:t>
      </w:r>
      <w:r>
        <w:rPr>
          <w:rFonts w:ascii="Arial" w:hAnsi="Arial"/>
          <w:sz w:val="18"/>
        </w:rPr>
        <w:t>Participação</w:t>
      </w:r>
      <w:r>
        <w:rPr>
          <w:rFonts w:ascii="Arial" w:hAnsi="Arial"/>
          <w:spacing w:val="-4"/>
          <w:sz w:val="18"/>
        </w:rPr>
        <w:t xml:space="preserve"> </w:t>
      </w:r>
      <w:r>
        <w:rPr>
          <w:rFonts w:ascii="Arial" w:hAnsi="Arial"/>
          <w:sz w:val="18"/>
        </w:rPr>
        <w:t>em</w:t>
      </w:r>
      <w:r>
        <w:rPr>
          <w:rFonts w:ascii="Arial" w:hAnsi="Arial"/>
          <w:spacing w:val="-4"/>
          <w:sz w:val="18"/>
        </w:rPr>
        <w:t xml:space="preserve"> </w:t>
      </w:r>
      <w:r>
        <w:rPr>
          <w:rFonts w:ascii="Arial" w:hAnsi="Arial"/>
          <w:sz w:val="18"/>
        </w:rPr>
        <w:t>comissões,</w:t>
      </w:r>
      <w:r>
        <w:rPr>
          <w:rFonts w:ascii="Arial" w:hAnsi="Arial"/>
          <w:spacing w:val="-4"/>
          <w:sz w:val="18"/>
        </w:rPr>
        <w:t xml:space="preserve"> </w:t>
      </w:r>
      <w:r>
        <w:rPr>
          <w:rFonts w:ascii="Arial" w:hAnsi="Arial"/>
          <w:sz w:val="18"/>
        </w:rPr>
        <w:t>agrupadas</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área</w:t>
      </w:r>
      <w:r>
        <w:rPr>
          <w:rFonts w:ascii="Arial" w:hAnsi="Arial"/>
          <w:spacing w:val="-5"/>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sexo</w:t>
      </w:r>
      <w:r>
        <w:rPr>
          <w:rFonts w:ascii="Arial" w:hAnsi="Arial"/>
          <w:spacing w:val="-4"/>
          <w:sz w:val="18"/>
        </w:rPr>
        <w:t xml:space="preserve"> </w:t>
      </w:r>
      <w:r>
        <w:rPr>
          <w:rFonts w:ascii="Arial" w:hAnsi="Arial"/>
          <w:sz w:val="18"/>
        </w:rPr>
        <w:t>do</w:t>
      </w:r>
      <w:r>
        <w:rPr>
          <w:rFonts w:ascii="Arial" w:hAnsi="Arial"/>
          <w:spacing w:val="-4"/>
          <w:sz w:val="18"/>
        </w:rPr>
        <w:t xml:space="preserve"> </w:t>
      </w:r>
      <w:r>
        <w:rPr>
          <w:rFonts w:ascii="Arial" w:hAnsi="Arial"/>
          <w:sz w:val="18"/>
        </w:rPr>
        <w:t>deputado</w:t>
      </w:r>
    </w:p>
    <w:tbl>
      <w:tblPr>
        <w:tblW w:w="0" w:type="auto"/>
        <w:tblInd w:w="901" w:type="dxa"/>
        <w:tblLayout w:type="fixed"/>
        <w:tblCellMar>
          <w:left w:w="0" w:type="dxa"/>
          <w:right w:w="0" w:type="dxa"/>
        </w:tblCellMar>
        <w:tblLook w:val="01E0"/>
      </w:tblPr>
      <w:tblGrid>
        <w:gridCol w:w="3047"/>
        <w:gridCol w:w="1498"/>
        <w:gridCol w:w="1600"/>
        <w:gridCol w:w="1433"/>
      </w:tblGrid>
      <w:tr w:rsidR="0088415B" w:rsidTr="00505E82">
        <w:trPr>
          <w:trHeight w:hRule="exact" w:val="236"/>
        </w:trPr>
        <w:tc>
          <w:tcPr>
            <w:tcW w:w="3047"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498"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88" w:right="388"/>
              <w:jc w:val="center"/>
              <w:rPr>
                <w:rFonts w:ascii="Arial" w:eastAsia="Arial" w:hAnsi="Arial" w:cs="Arial"/>
                <w:sz w:val="18"/>
                <w:szCs w:val="18"/>
              </w:rPr>
            </w:pPr>
            <w:r w:rsidRPr="00505E82">
              <w:rPr>
                <w:rFonts w:ascii="Arial"/>
                <w:sz w:val="18"/>
              </w:rPr>
              <w:t>feminino</w:t>
            </w:r>
          </w:p>
        </w:tc>
        <w:tc>
          <w:tcPr>
            <w:tcW w:w="160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74" w:right="375"/>
              <w:jc w:val="center"/>
              <w:rPr>
                <w:rFonts w:ascii="Arial" w:eastAsia="Arial" w:hAnsi="Arial" w:cs="Arial"/>
                <w:sz w:val="18"/>
                <w:szCs w:val="18"/>
              </w:rPr>
            </w:pPr>
            <w:r w:rsidRPr="00505E82">
              <w:rPr>
                <w:rFonts w:ascii="Arial"/>
                <w:sz w:val="18"/>
              </w:rPr>
              <w:t>masculino</w:t>
            </w:r>
          </w:p>
        </w:tc>
        <w:tc>
          <w:tcPr>
            <w:tcW w:w="1433"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441" w:right="439"/>
              <w:jc w:val="center"/>
              <w:rPr>
                <w:rFonts w:ascii="Arial" w:eastAsia="Arial" w:hAnsi="Arial" w:cs="Arial"/>
                <w:sz w:val="18"/>
                <w:szCs w:val="18"/>
              </w:rPr>
            </w:pPr>
            <w:r w:rsidRPr="00505E82">
              <w:rPr>
                <w:rFonts w:ascii="Arial"/>
                <w:sz w:val="18"/>
              </w:rPr>
              <w:t>total</w:t>
            </w:r>
          </w:p>
        </w:tc>
      </w:tr>
      <w:tr w:rsidR="0088415B" w:rsidTr="00505E82">
        <w:trPr>
          <w:trHeight w:hRule="exact" w:val="227"/>
        </w:trPr>
        <w:tc>
          <w:tcPr>
            <w:tcW w:w="3047"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1498"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87" w:right="388"/>
              <w:jc w:val="center"/>
              <w:rPr>
                <w:rFonts w:ascii="Arial" w:eastAsia="Arial" w:hAnsi="Arial" w:cs="Arial"/>
                <w:sz w:val="18"/>
                <w:szCs w:val="18"/>
              </w:rPr>
            </w:pPr>
            <w:r w:rsidRPr="00505E82">
              <w:rPr>
                <w:rFonts w:ascii="Arial"/>
                <w:sz w:val="18"/>
              </w:rPr>
              <w:t>84,4%</w:t>
            </w:r>
          </w:p>
        </w:tc>
        <w:tc>
          <w:tcPr>
            <w:tcW w:w="160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4" w:right="375"/>
              <w:jc w:val="center"/>
              <w:rPr>
                <w:rFonts w:ascii="Arial" w:eastAsia="Arial" w:hAnsi="Arial" w:cs="Arial"/>
                <w:sz w:val="18"/>
                <w:szCs w:val="18"/>
              </w:rPr>
            </w:pPr>
            <w:r w:rsidRPr="00505E82">
              <w:rPr>
                <w:rFonts w:ascii="Arial"/>
                <w:sz w:val="18"/>
              </w:rPr>
              <w:t>49,4%</w:t>
            </w:r>
          </w:p>
        </w:tc>
        <w:tc>
          <w:tcPr>
            <w:tcW w:w="143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441" w:right="438"/>
              <w:jc w:val="center"/>
              <w:rPr>
                <w:rFonts w:ascii="Arial" w:eastAsia="Arial" w:hAnsi="Arial" w:cs="Arial"/>
                <w:sz w:val="18"/>
                <w:szCs w:val="18"/>
              </w:rPr>
            </w:pPr>
            <w:r w:rsidRPr="00505E82">
              <w:rPr>
                <w:rFonts w:ascii="Arial"/>
                <w:sz w:val="18"/>
              </w:rPr>
              <w:t>52,2%</w:t>
            </w:r>
          </w:p>
        </w:tc>
      </w:tr>
      <w:tr w:rsidR="0088415B" w:rsidTr="00505E82">
        <w:trPr>
          <w:trHeight w:hRule="exact" w:val="217"/>
        </w:trPr>
        <w:tc>
          <w:tcPr>
            <w:tcW w:w="3047"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87" w:right="388"/>
              <w:jc w:val="center"/>
              <w:rPr>
                <w:rFonts w:ascii="Arial" w:eastAsia="Arial" w:hAnsi="Arial" w:cs="Arial"/>
                <w:sz w:val="18"/>
                <w:szCs w:val="18"/>
              </w:rPr>
            </w:pPr>
            <w:r w:rsidRPr="00505E82">
              <w:rPr>
                <w:rFonts w:ascii="Arial"/>
                <w:sz w:val="18"/>
              </w:rPr>
              <w:t>42,2%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4" w:right="375"/>
              <w:jc w:val="center"/>
              <w:rPr>
                <w:rFonts w:ascii="Arial" w:eastAsia="Arial" w:hAnsi="Arial" w:cs="Arial"/>
                <w:sz w:val="18"/>
                <w:szCs w:val="18"/>
              </w:rPr>
            </w:pPr>
            <w:r w:rsidRPr="00505E82">
              <w:rPr>
                <w:rFonts w:ascii="Arial"/>
                <w:sz w:val="18"/>
              </w:rPr>
              <w:t>69,3%</w:t>
            </w:r>
          </w:p>
        </w:tc>
        <w:tc>
          <w:tcPr>
            <w:tcW w:w="143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441" w:right="439"/>
              <w:jc w:val="center"/>
              <w:rPr>
                <w:rFonts w:ascii="Arial" w:eastAsia="Arial" w:hAnsi="Arial" w:cs="Arial"/>
                <w:sz w:val="18"/>
                <w:szCs w:val="18"/>
              </w:rPr>
            </w:pPr>
            <w:r w:rsidRPr="00505E82">
              <w:rPr>
                <w:rFonts w:ascii="Arial"/>
                <w:sz w:val="18"/>
              </w:rPr>
              <w:t>67,1%</w:t>
            </w:r>
          </w:p>
        </w:tc>
      </w:tr>
      <w:tr w:rsidR="0088415B" w:rsidTr="00505E82">
        <w:trPr>
          <w:trHeight w:hRule="exact" w:val="216"/>
        </w:trPr>
        <w:tc>
          <w:tcPr>
            <w:tcW w:w="3047"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87" w:right="388"/>
              <w:jc w:val="center"/>
              <w:rPr>
                <w:rFonts w:ascii="Arial" w:eastAsia="Arial" w:hAnsi="Arial" w:cs="Arial"/>
                <w:sz w:val="18"/>
                <w:szCs w:val="18"/>
              </w:rPr>
            </w:pPr>
            <w:r w:rsidRPr="00505E82">
              <w:rPr>
                <w:rFonts w:ascii="Arial"/>
                <w:sz w:val="18"/>
              </w:rPr>
              <w:t>43,8%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4" w:right="374"/>
              <w:jc w:val="center"/>
              <w:rPr>
                <w:rFonts w:ascii="Arial" w:eastAsia="Arial" w:hAnsi="Arial" w:cs="Arial"/>
                <w:sz w:val="18"/>
                <w:szCs w:val="18"/>
              </w:rPr>
            </w:pPr>
            <w:r w:rsidRPr="00505E82">
              <w:rPr>
                <w:rFonts w:ascii="Arial"/>
                <w:sz w:val="18"/>
              </w:rPr>
              <w:t>43,9%</w:t>
            </w:r>
          </w:p>
        </w:tc>
        <w:tc>
          <w:tcPr>
            <w:tcW w:w="143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439" w:right="439"/>
              <w:jc w:val="center"/>
              <w:rPr>
                <w:rFonts w:ascii="Arial" w:eastAsia="Arial" w:hAnsi="Arial" w:cs="Arial"/>
                <w:sz w:val="18"/>
                <w:szCs w:val="18"/>
              </w:rPr>
            </w:pPr>
            <w:r w:rsidRPr="00505E82">
              <w:rPr>
                <w:rFonts w:ascii="Arial"/>
                <w:sz w:val="18"/>
              </w:rPr>
              <w:t>43,9%</w:t>
            </w:r>
          </w:p>
        </w:tc>
      </w:tr>
      <w:tr w:rsidR="0088415B" w:rsidTr="00505E82">
        <w:trPr>
          <w:trHeight w:hRule="exact" w:val="227"/>
        </w:trPr>
        <w:tc>
          <w:tcPr>
            <w:tcW w:w="3047"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70"/>
              <w:rPr>
                <w:rFonts w:ascii="Arial" w:eastAsia="Arial" w:hAnsi="Arial" w:cs="Arial"/>
                <w:sz w:val="18"/>
                <w:szCs w:val="18"/>
              </w:rPr>
            </w:pPr>
            <w:r w:rsidRPr="00505E82">
              <w:rPr>
                <w:rFonts w:ascii="Arial"/>
                <w:sz w:val="18"/>
              </w:rPr>
              <w:t>total</w:t>
            </w:r>
          </w:p>
        </w:tc>
        <w:tc>
          <w:tcPr>
            <w:tcW w:w="1498"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88" w:right="388"/>
              <w:jc w:val="center"/>
              <w:rPr>
                <w:rFonts w:ascii="Arial" w:eastAsia="Arial" w:hAnsi="Arial" w:cs="Arial"/>
                <w:sz w:val="18"/>
                <w:szCs w:val="18"/>
              </w:rPr>
            </w:pPr>
            <w:r w:rsidRPr="00505E82">
              <w:rPr>
                <w:rFonts w:ascii="Arial"/>
                <w:sz w:val="18"/>
              </w:rPr>
              <w:t>100%</w:t>
            </w:r>
          </w:p>
        </w:tc>
        <w:tc>
          <w:tcPr>
            <w:tcW w:w="160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74" w:right="375"/>
              <w:jc w:val="center"/>
              <w:rPr>
                <w:rFonts w:ascii="Arial" w:eastAsia="Arial" w:hAnsi="Arial" w:cs="Arial"/>
                <w:sz w:val="18"/>
                <w:szCs w:val="18"/>
              </w:rPr>
            </w:pPr>
            <w:r w:rsidRPr="00505E82">
              <w:rPr>
                <w:rFonts w:ascii="Arial"/>
                <w:sz w:val="18"/>
              </w:rPr>
              <w:t>100%</w:t>
            </w:r>
          </w:p>
        </w:tc>
        <w:tc>
          <w:tcPr>
            <w:tcW w:w="143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441" w:right="439"/>
              <w:jc w:val="center"/>
              <w:rPr>
                <w:rFonts w:ascii="Arial" w:eastAsia="Arial" w:hAnsi="Arial" w:cs="Arial"/>
                <w:sz w:val="18"/>
                <w:szCs w:val="18"/>
              </w:rPr>
            </w:pPr>
            <w:r w:rsidRPr="00505E82">
              <w:rPr>
                <w:rFonts w:ascii="Arial"/>
                <w:sz w:val="18"/>
              </w:rPr>
              <w:t>100%</w:t>
            </w:r>
          </w:p>
        </w:tc>
      </w:tr>
    </w:tbl>
    <w:p w:rsidR="0088415B" w:rsidRDefault="0088415B" w:rsidP="0088415B">
      <w:pPr>
        <w:spacing w:line="205" w:lineRule="exact"/>
        <w:ind w:left="971" w:right="1942"/>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Cada</w:t>
      </w:r>
      <w:r>
        <w:rPr>
          <w:rFonts w:ascii="Arial" w:hAnsi="Arial"/>
          <w:spacing w:val="-4"/>
          <w:sz w:val="18"/>
        </w:rPr>
        <w:t xml:space="preserve"> </w:t>
      </w:r>
      <w:r>
        <w:rPr>
          <w:rFonts w:ascii="Arial" w:hAnsi="Arial"/>
          <w:sz w:val="18"/>
        </w:rPr>
        <w:t>deputado</w:t>
      </w:r>
      <w:r>
        <w:rPr>
          <w:rFonts w:ascii="Arial" w:hAnsi="Arial"/>
          <w:spacing w:val="-4"/>
          <w:sz w:val="18"/>
        </w:rPr>
        <w:t xml:space="preserve"> </w:t>
      </w:r>
      <w:r>
        <w:rPr>
          <w:rFonts w:ascii="Arial" w:hAnsi="Arial"/>
          <w:sz w:val="18"/>
        </w:rPr>
        <w:t>pode</w:t>
      </w:r>
      <w:r>
        <w:rPr>
          <w:rFonts w:ascii="Arial" w:hAnsi="Arial"/>
          <w:spacing w:val="-5"/>
          <w:sz w:val="18"/>
        </w:rPr>
        <w:t xml:space="preserve"> </w:t>
      </w:r>
      <w:r>
        <w:rPr>
          <w:rFonts w:ascii="Arial" w:hAnsi="Arial"/>
          <w:sz w:val="18"/>
        </w:rPr>
        <w:t>ter</w:t>
      </w:r>
      <w:r>
        <w:rPr>
          <w:rFonts w:ascii="Arial" w:hAnsi="Arial"/>
          <w:spacing w:val="-4"/>
          <w:sz w:val="18"/>
        </w:rPr>
        <w:t xml:space="preserve"> </w:t>
      </w:r>
      <w:r>
        <w:rPr>
          <w:rFonts w:ascii="Arial" w:hAnsi="Arial"/>
          <w:sz w:val="18"/>
        </w:rPr>
        <w:t>participado</w:t>
      </w:r>
      <w:r>
        <w:rPr>
          <w:rFonts w:ascii="Arial" w:hAnsi="Arial"/>
          <w:spacing w:val="-4"/>
          <w:sz w:val="18"/>
        </w:rPr>
        <w:t xml:space="preserve"> </w:t>
      </w:r>
      <w:r>
        <w:rPr>
          <w:rFonts w:ascii="Arial" w:hAnsi="Arial"/>
          <w:sz w:val="18"/>
        </w:rPr>
        <w:t>de</w:t>
      </w:r>
      <w:r>
        <w:rPr>
          <w:rFonts w:ascii="Arial" w:hAnsi="Arial"/>
          <w:spacing w:val="-3"/>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uma</w:t>
      </w:r>
      <w:r>
        <w:rPr>
          <w:rFonts w:ascii="Arial" w:hAnsi="Arial"/>
          <w:spacing w:val="-4"/>
          <w:sz w:val="18"/>
        </w:rPr>
        <w:t xml:space="preserve"> </w:t>
      </w:r>
      <w:r>
        <w:rPr>
          <w:rFonts w:ascii="Arial" w:hAnsi="Arial"/>
          <w:sz w:val="18"/>
        </w:rPr>
        <w:t>comissão.</w:t>
      </w:r>
    </w:p>
    <w:p w:rsidR="0088415B" w:rsidRDefault="0088415B" w:rsidP="0088415B">
      <w:pPr>
        <w:ind w:left="971" w:right="1104"/>
        <w:rPr>
          <w:rFonts w:ascii="Arial" w:eastAsia="Arial" w:hAnsi="Arial" w:cs="Arial"/>
          <w:sz w:val="18"/>
          <w:szCs w:val="18"/>
        </w:rPr>
      </w:pPr>
      <w:r>
        <w:rPr>
          <w:rFonts w:ascii="Arial" w:hAnsi="Arial"/>
          <w:sz w:val="18"/>
        </w:rPr>
        <w:t>A dependência entre as variáveis é muito significativa. Qui2 = 19,27, gl = 2, 1-p =&gt; 99,99%. Fonte: a autora, a partir de dados da Câmara dos</w:t>
      </w:r>
      <w:r>
        <w:rPr>
          <w:rFonts w:ascii="Arial" w:hAnsi="Arial"/>
          <w:spacing w:val="-32"/>
          <w:sz w:val="18"/>
        </w:rPr>
        <w:t xml:space="preserve"> </w:t>
      </w:r>
      <w:r>
        <w:rPr>
          <w:rFonts w:ascii="Arial" w:hAnsi="Arial"/>
          <w:sz w:val="18"/>
        </w:rPr>
        <w:t>Deputados.</w:t>
      </w:r>
    </w:p>
    <w:p w:rsidR="0088415B" w:rsidRDefault="0088415B" w:rsidP="00771796">
      <w:pPr>
        <w:spacing w:before="1"/>
        <w:rPr>
          <w:rFonts w:ascii="Times New Roman" w:eastAsia="Times New Roman" w:hAnsi="Times New Roman"/>
          <w:sz w:val="20"/>
          <w:szCs w:val="20"/>
        </w:rPr>
      </w:pPr>
      <w:r w:rsidRPr="0088415B">
        <w:rPr>
          <w:lang w:val="en-US"/>
        </w:rPr>
        <w:pict>
          <v:group id="_x0000_s1028" style="position:absolute;left:0;text-align:left;margin-left:70.9pt;margin-top:17.95pt;width:2in;height:.1pt;z-index:251617792;mso-wrap-distance-left:0;mso-wrap-distance-right:0;mso-position-horizontal-relative:page" coordorigin="1418,359" coordsize="2880,2">
            <v:shape id="_x0000_s1029" style="position:absolute;left:1418;top:359;width:2880;height:2" coordorigin="1418,359" coordsize="2880,0" path="m1418,359r2880,e" filled="f" strokeweight=".6pt">
              <v:path arrowok="t"/>
            </v:shape>
            <w10:wrap type="topAndBottom" anchorx="page"/>
          </v:group>
        </w:pict>
      </w:r>
      <w:bookmarkStart w:id="1" w:name="_bookmark1"/>
      <w:bookmarkEnd w:id="1"/>
      <w:r>
        <w:rPr>
          <w:rFonts w:ascii="Times New Roman" w:eastAsia="Times New Roman" w:hAnsi="Times New Roman"/>
          <w:position w:val="9"/>
          <w:sz w:val="13"/>
          <w:szCs w:val="13"/>
        </w:rPr>
        <w:t xml:space="preserve">2 </w:t>
      </w:r>
      <w:r>
        <w:rPr>
          <w:rFonts w:ascii="Times New Roman" w:eastAsia="Times New Roman" w:hAnsi="Times New Roman"/>
          <w:sz w:val="20"/>
          <w:szCs w:val="20"/>
        </w:rPr>
        <w:t xml:space="preserve">Dados presentes no </w:t>
      </w:r>
      <w:r>
        <w:rPr>
          <w:rFonts w:ascii="Times New Roman" w:eastAsia="Times New Roman" w:hAnsi="Times New Roman"/>
          <w:i/>
          <w:sz w:val="20"/>
          <w:szCs w:val="20"/>
        </w:rPr>
        <w:t>Anuário Estatístico da Câmara dos Deputados –</w:t>
      </w:r>
      <w:r>
        <w:rPr>
          <w:rFonts w:ascii="Times New Roman" w:eastAsia="Times New Roman" w:hAnsi="Times New Roman"/>
          <w:i/>
          <w:spacing w:val="-13"/>
          <w:sz w:val="20"/>
          <w:szCs w:val="20"/>
        </w:rPr>
        <w:t xml:space="preserve"> </w:t>
      </w:r>
      <w:r>
        <w:rPr>
          <w:rFonts w:ascii="Times New Roman" w:eastAsia="Times New Roman" w:hAnsi="Times New Roman"/>
          <w:i/>
          <w:sz w:val="20"/>
          <w:szCs w:val="20"/>
        </w:rPr>
        <w:t>2005</w:t>
      </w:r>
      <w:r>
        <w:rPr>
          <w:rFonts w:ascii="Times New Roman" w:eastAsia="Times New Roman" w:hAnsi="Times New Roman"/>
          <w:sz w:val="20"/>
          <w:szCs w:val="20"/>
        </w:rPr>
        <w:t>.</w:t>
      </w:r>
    </w:p>
    <w:p w:rsidR="0088415B" w:rsidRDefault="0088415B" w:rsidP="0088415B">
      <w:pPr>
        <w:rPr>
          <w:rFonts w:ascii="Times New Roman" w:eastAsia="Times New Roman" w:hAnsi="Times New Roman"/>
          <w:sz w:val="20"/>
          <w:szCs w:val="20"/>
        </w:rPr>
        <w:sectPr w:rsidR="0088415B">
          <w:pgSz w:w="11910" w:h="16840"/>
          <w:pgMar w:top="920" w:right="1260" w:bottom="280" w:left="126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right="112" w:firstLine="708"/>
        <w:jc w:val="both"/>
      </w:pPr>
      <w:r>
        <w:t xml:space="preserve">Fica patente na tabela 5 que gênero é verdadeiramente um determinante na atividade política. Inicialmente, por uma maior quantidade de comissões permanentes cujos objetos estão voltados para a política </w:t>
      </w:r>
      <w:r>
        <w:rPr>
          <w:i/>
        </w:rPr>
        <w:t>hard</w:t>
      </w:r>
      <w:r>
        <w:t xml:space="preserve">. Diante disso, ainda têm-se um quadro que expõe indicadores de presença expressivamente mais baixos para as mulheres, 42,2%, em relação  aos homens, com 69,3%, nas comissões de política </w:t>
      </w:r>
      <w:r>
        <w:rPr>
          <w:i/>
        </w:rPr>
        <w:t>hard</w:t>
      </w:r>
      <w:r>
        <w:t xml:space="preserve">, e quase duas vezes maior nas comissões de política </w:t>
      </w:r>
      <w:r>
        <w:rPr>
          <w:i/>
        </w:rPr>
        <w:t>soft</w:t>
      </w:r>
      <w:r>
        <w:t>, que, além de tudo, ocupam somente 24,7% da relação de  comissões</w:t>
      </w:r>
      <w:r>
        <w:rPr>
          <w:spacing w:val="-5"/>
        </w:rPr>
        <w:t xml:space="preserve"> </w:t>
      </w:r>
      <w:r>
        <w:t>permanentes.</w:t>
      </w:r>
    </w:p>
    <w:p w:rsidR="0088415B" w:rsidRDefault="0088415B" w:rsidP="0088415B">
      <w:pPr>
        <w:pStyle w:val="Corpodetexto"/>
        <w:spacing w:line="360" w:lineRule="auto"/>
        <w:ind w:right="112" w:firstLine="708"/>
        <w:jc w:val="both"/>
      </w:pPr>
      <w:r>
        <w:t>Com a sua diminuta presença no Poder Legislativo, torna-se ainda mais complexo para as mulheres conquistarem posições de liderança e um certo grau de influência de modo que suas preferências ou do grupo que lideram prevaleçam no conflito político. Sabe-se que  apesar de deputados e deputadas federais serem formalmente iguais, alguns possuem mais prestígio, mais espaço, mais influência do que outros. Logo, detectar nas divisões do trabalho político alguma determinante relacionada ao gênero é vital para estabelecer os limites e potencialidades das propostas que visam amenizar as diferenças de sexo na</w:t>
      </w:r>
      <w:r>
        <w:rPr>
          <w:spacing w:val="-5"/>
        </w:rPr>
        <w:t xml:space="preserve"> </w:t>
      </w:r>
      <w:r>
        <w:t>política.</w:t>
      </w:r>
    </w:p>
    <w:p w:rsidR="0088415B" w:rsidRDefault="0088415B" w:rsidP="0088415B">
      <w:pPr>
        <w:pStyle w:val="Corpodetexto"/>
        <w:spacing w:line="360" w:lineRule="auto"/>
        <w:ind w:right="112"/>
        <w:jc w:val="both"/>
      </w:pPr>
      <w:r>
        <w:t>As relações de poder institucionalizadas no campo permitem a estabilização de um capital simbólico na forma de diplomas ou cargos que conferem maior durabilidade das posições privilegiadas obtidas. Assim, em muitos casos, as posições no campo podem ser deduzidas das instituições formais que neles existem e, a partir disto, entender que regras tácitas operam na destinação dos agentes para determinados</w:t>
      </w:r>
      <w:r>
        <w:rPr>
          <w:spacing w:val="-3"/>
        </w:rPr>
        <w:t xml:space="preserve"> </w:t>
      </w:r>
      <w:r>
        <w:t>cargos.</w:t>
      </w:r>
    </w:p>
    <w:p w:rsidR="0088415B" w:rsidRDefault="0088415B" w:rsidP="0088415B">
      <w:pPr>
        <w:pStyle w:val="Corpodetexto"/>
        <w:spacing w:line="360" w:lineRule="auto"/>
        <w:ind w:right="110"/>
        <w:jc w:val="both"/>
      </w:pPr>
      <w:r>
        <w:t xml:space="preserve">Dessa forma, para estabelecer uma fronteira mais ou menos nítida entre os “medalhões” do campo político na Câmara utilizou-se, além dos cargos ocupados dentro do parlamento, o grau de influência de acordo com a visão externa ao campo, por meio da obra </w:t>
      </w:r>
      <w:r>
        <w:rPr>
          <w:i/>
        </w:rPr>
        <w:t>Os “Cabeças” do Congresso Nacional</w:t>
      </w:r>
      <w:r>
        <w:t>, publicada anualmente pelo  Departamento Intersindical de Assessoria Parlamentar, que identifica os cem parlamentares considerados os operadores-chave do processo</w:t>
      </w:r>
      <w:r>
        <w:rPr>
          <w:spacing w:val="-1"/>
        </w:rPr>
        <w:t xml:space="preserve"> </w:t>
      </w:r>
      <w:r>
        <w:t>legislativo.</w:t>
      </w:r>
    </w:p>
    <w:p w:rsidR="0088415B" w:rsidRDefault="0088415B" w:rsidP="0088415B">
      <w:pPr>
        <w:pStyle w:val="Corpodetexto"/>
        <w:spacing w:line="360" w:lineRule="auto"/>
        <w:ind w:right="113"/>
        <w:jc w:val="both"/>
      </w:pPr>
      <w:r>
        <w:lastRenderedPageBreak/>
        <w:t>No período analisado, 18,2% dos parlamentares fizeram parte alguma vez da lista do DIAP, de modo que a maior parte dos pronunciamentos foi feita por aqueles à margem do centro do processo</w:t>
      </w:r>
      <w:r>
        <w:rPr>
          <w:spacing w:val="-1"/>
        </w:rPr>
        <w:t xml:space="preserve"> </w:t>
      </w:r>
      <w:r>
        <w:t>decisório.</w:t>
      </w:r>
    </w:p>
    <w:p w:rsidR="0088415B" w:rsidRDefault="0088415B" w:rsidP="0088415B">
      <w:pPr>
        <w:pStyle w:val="Corpodetexto"/>
        <w:spacing w:line="360" w:lineRule="auto"/>
        <w:ind w:right="109"/>
        <w:jc w:val="both"/>
      </w:pPr>
      <w:r>
        <w:t>Conforme a tabela 6 revela, apenas 4,2% dos representantes que pertenceram à elite do Congresso Nacional, em ao menos um ano nas duas legislaturas em estudo, são do sexo feminino. Este primeiro dado já demonstra a posição periférica dessa minoria. O percentual de mulheres na lista do DIAP é quase duas vezes menor que o percentual de mulheres na Câmara dos Deputados. O fenômeno da formação de elites dentro das instituições políticas vai ocorrer devido  à  tendência  de  fechamento  do  campo  político  sobre  si  mesmo,  com</w:t>
      </w:r>
      <w:r>
        <w:rPr>
          <w:spacing w:val="4"/>
        </w:rPr>
        <w:t xml:space="preserve"> </w:t>
      </w:r>
      <w:r>
        <w:t>conseqüente</w:t>
      </w:r>
    </w:p>
    <w:p w:rsidR="0088415B" w:rsidRDefault="0088415B" w:rsidP="0088415B">
      <w:pPr>
        <w:sectPr w:rsidR="0088415B">
          <w:pgSz w:w="11910" w:h="16840"/>
          <w:pgMar w:top="920" w:right="1300" w:bottom="280" w:left="130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left="178" w:right="173" w:firstLine="0"/>
        <w:jc w:val="both"/>
      </w:pPr>
      <w:r>
        <w:t>concentração dos meios de produção e legitimação dos discursos. Portanto, apontar diferenças em tendências e prioridades políticas entre homens e mulheres é assinalar a existência de constrangimentos estruturais que apresentam acessos e espaços</w:t>
      </w:r>
      <w:r>
        <w:rPr>
          <w:spacing w:val="-17"/>
        </w:rPr>
        <w:t xml:space="preserve"> </w:t>
      </w:r>
      <w:r>
        <w:t>diferenciados.</w:t>
      </w:r>
    </w:p>
    <w:p w:rsidR="0088415B" w:rsidRDefault="0088415B" w:rsidP="0088415B">
      <w:pPr>
        <w:spacing w:before="5" w:after="3"/>
        <w:ind w:left="428" w:right="1737"/>
        <w:rPr>
          <w:rFonts w:ascii="Arial" w:eastAsia="Arial" w:hAnsi="Arial" w:cs="Arial"/>
          <w:sz w:val="18"/>
          <w:szCs w:val="18"/>
        </w:rPr>
      </w:pPr>
      <w:r>
        <w:rPr>
          <w:rFonts w:ascii="Arial" w:hAnsi="Arial"/>
          <w:b/>
          <w:sz w:val="18"/>
        </w:rPr>
        <w:t>Tabela 6</w:t>
      </w:r>
      <w:r>
        <w:rPr>
          <w:rFonts w:ascii="Arial" w:hAnsi="Arial"/>
          <w:sz w:val="18"/>
        </w:rPr>
        <w:t>: Presença de deputados na lista do DIAP, por</w:t>
      </w:r>
      <w:r>
        <w:rPr>
          <w:rFonts w:ascii="Arial" w:hAnsi="Arial"/>
          <w:spacing w:val="-34"/>
          <w:sz w:val="18"/>
        </w:rPr>
        <w:t xml:space="preserve"> </w:t>
      </w:r>
      <w:r>
        <w:rPr>
          <w:rFonts w:ascii="Arial" w:hAnsi="Arial"/>
          <w:sz w:val="18"/>
        </w:rPr>
        <w:t>sexo</w:t>
      </w:r>
    </w:p>
    <w:tbl>
      <w:tblPr>
        <w:tblW w:w="0" w:type="auto"/>
        <w:tblInd w:w="358" w:type="dxa"/>
        <w:tblLayout w:type="fixed"/>
        <w:tblCellMar>
          <w:left w:w="0" w:type="dxa"/>
          <w:right w:w="0" w:type="dxa"/>
        </w:tblCellMar>
        <w:tblLook w:val="01E0"/>
      </w:tblPr>
      <w:tblGrid>
        <w:gridCol w:w="3310"/>
        <w:gridCol w:w="1980"/>
        <w:gridCol w:w="1800"/>
        <w:gridCol w:w="1613"/>
      </w:tblGrid>
      <w:tr w:rsidR="0088415B" w:rsidTr="00505E82">
        <w:trPr>
          <w:trHeight w:hRule="exact" w:val="227"/>
        </w:trPr>
        <w:tc>
          <w:tcPr>
            <w:tcW w:w="3310" w:type="dxa"/>
            <w:tcBorders>
              <w:top w:val="single" w:sz="12" w:space="0" w:color="000000"/>
              <w:left w:val="nil"/>
              <w:bottom w:val="single" w:sz="4" w:space="0" w:color="000000"/>
              <w:right w:val="single" w:sz="4" w:space="0" w:color="000000"/>
            </w:tcBorders>
            <w:shd w:val="clear" w:color="auto" w:fill="auto"/>
          </w:tcPr>
          <w:p w:rsidR="0088415B" w:rsidRDefault="0088415B" w:rsidP="00505E82">
            <w:pPr>
              <w:widowControl w:val="0"/>
            </w:pPr>
          </w:p>
        </w:tc>
        <w:tc>
          <w:tcPr>
            <w:tcW w:w="198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581" w:right="581"/>
              <w:jc w:val="center"/>
              <w:rPr>
                <w:rFonts w:ascii="Arial" w:eastAsia="Arial" w:hAnsi="Arial" w:cs="Arial"/>
                <w:sz w:val="18"/>
                <w:szCs w:val="18"/>
              </w:rPr>
            </w:pPr>
            <w:r w:rsidRPr="00505E82">
              <w:rPr>
                <w:rFonts w:ascii="Arial"/>
                <w:sz w:val="18"/>
              </w:rPr>
              <w:t>mulheres</w:t>
            </w:r>
          </w:p>
        </w:tc>
        <w:tc>
          <w:tcPr>
            <w:tcW w:w="180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homens</w:t>
            </w:r>
          </w:p>
        </w:tc>
        <w:tc>
          <w:tcPr>
            <w:tcW w:w="161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22" w:right="319"/>
              <w:jc w:val="center"/>
              <w:rPr>
                <w:rFonts w:ascii="Arial" w:eastAsia="Arial" w:hAnsi="Arial" w:cs="Arial"/>
                <w:sz w:val="18"/>
                <w:szCs w:val="18"/>
              </w:rPr>
            </w:pPr>
            <w:r w:rsidRPr="00505E82">
              <w:rPr>
                <w:rFonts w:ascii="Arial"/>
                <w:sz w:val="18"/>
              </w:rPr>
              <w:t>total</w:t>
            </w:r>
          </w:p>
        </w:tc>
      </w:tr>
      <w:tr w:rsidR="0088415B" w:rsidTr="00505E82">
        <w:trPr>
          <w:trHeight w:hRule="exact" w:val="216"/>
        </w:trPr>
        <w:tc>
          <w:tcPr>
            <w:tcW w:w="3310"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nunca apareceu na lista do</w:t>
            </w:r>
            <w:r w:rsidRPr="00505E82">
              <w:rPr>
                <w:rFonts w:ascii="Arial"/>
                <w:spacing w:val="-17"/>
                <w:sz w:val="18"/>
              </w:rPr>
              <w:t xml:space="preserve"> </w:t>
            </w:r>
            <w:r w:rsidRPr="00505E82">
              <w:rPr>
                <w:rFonts w:ascii="Arial"/>
                <w:sz w:val="18"/>
              </w:rPr>
              <w:t>DIAP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583" w:right="579"/>
              <w:jc w:val="center"/>
              <w:rPr>
                <w:rFonts w:ascii="Arial" w:eastAsia="Arial" w:hAnsi="Arial" w:cs="Arial"/>
                <w:sz w:val="18"/>
                <w:szCs w:val="18"/>
              </w:rPr>
            </w:pPr>
            <w:r w:rsidRPr="00505E82">
              <w:rPr>
                <w:rFonts w:ascii="Arial"/>
                <w:sz w:val="18"/>
              </w:rPr>
              <w:t>9,0%</w:t>
            </w:r>
            <w:r w:rsidRPr="00505E82">
              <w:rPr>
                <w:rFonts w:ascii="Arial"/>
                <w:spacing w:val="-8"/>
                <w:sz w:val="18"/>
              </w:rPr>
              <w:t xml:space="preserve"> </w:t>
            </w:r>
            <w:r w:rsidRPr="00505E82">
              <w:rPr>
                <w:rFonts w:ascii="Arial"/>
                <w:sz w:val="18"/>
              </w:rPr>
              <w:t>(58)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39"/>
              <w:jc w:val="center"/>
              <w:rPr>
                <w:rFonts w:ascii="Arial" w:eastAsia="Arial" w:hAnsi="Arial" w:cs="Arial"/>
                <w:sz w:val="18"/>
                <w:szCs w:val="18"/>
              </w:rPr>
            </w:pPr>
            <w:r w:rsidRPr="00505E82">
              <w:rPr>
                <w:rFonts w:ascii="Arial"/>
                <w:sz w:val="18"/>
              </w:rPr>
              <w:t>91,0%</w:t>
            </w:r>
            <w:r w:rsidRPr="00505E82">
              <w:rPr>
                <w:rFonts w:ascii="Arial"/>
                <w:spacing w:val="-9"/>
                <w:sz w:val="18"/>
              </w:rPr>
              <w:t xml:space="preserve"> </w:t>
            </w:r>
            <w:r w:rsidRPr="00505E82">
              <w:rPr>
                <w:rFonts w:ascii="Arial"/>
                <w:sz w:val="18"/>
              </w:rPr>
              <w:t>(589)</w:t>
            </w:r>
          </w:p>
        </w:tc>
        <w:tc>
          <w:tcPr>
            <w:tcW w:w="161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26" w:right="317"/>
              <w:jc w:val="center"/>
              <w:rPr>
                <w:rFonts w:ascii="Arial" w:eastAsia="Arial" w:hAnsi="Arial" w:cs="Arial"/>
                <w:sz w:val="18"/>
                <w:szCs w:val="18"/>
              </w:rPr>
            </w:pPr>
            <w:r w:rsidRPr="00505E82">
              <w:rPr>
                <w:rFonts w:ascii="Arial"/>
                <w:sz w:val="18"/>
              </w:rPr>
              <w:t>100%</w:t>
            </w:r>
            <w:r w:rsidRPr="00505E82">
              <w:rPr>
                <w:rFonts w:ascii="Arial"/>
                <w:spacing w:val="-6"/>
                <w:sz w:val="18"/>
              </w:rPr>
              <w:t xml:space="preserve"> </w:t>
            </w:r>
            <w:r w:rsidRPr="00505E82">
              <w:rPr>
                <w:rFonts w:ascii="Arial"/>
                <w:sz w:val="18"/>
              </w:rPr>
              <w:t>(647)</w:t>
            </w:r>
          </w:p>
        </w:tc>
      </w:tr>
      <w:tr w:rsidR="0088415B" w:rsidTr="00505E82">
        <w:trPr>
          <w:trHeight w:hRule="exact" w:val="217"/>
        </w:trPr>
        <w:tc>
          <w:tcPr>
            <w:tcW w:w="3310"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apareceu alguma vez na lista do</w:t>
            </w:r>
            <w:r w:rsidRPr="00505E82">
              <w:rPr>
                <w:rFonts w:ascii="Arial"/>
                <w:spacing w:val="-18"/>
                <w:sz w:val="18"/>
              </w:rPr>
              <w:t xml:space="preserve"> </w:t>
            </w:r>
            <w:r w:rsidRPr="00505E82">
              <w:rPr>
                <w:rFonts w:ascii="Arial"/>
                <w:sz w:val="18"/>
              </w:rPr>
              <w:t>DIAP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583" w:right="580"/>
              <w:jc w:val="center"/>
              <w:rPr>
                <w:rFonts w:ascii="Arial" w:eastAsia="Arial" w:hAnsi="Arial" w:cs="Arial"/>
                <w:sz w:val="18"/>
                <w:szCs w:val="18"/>
              </w:rPr>
            </w:pPr>
            <w:r w:rsidRPr="00505E82">
              <w:rPr>
                <w:rFonts w:ascii="Arial"/>
                <w:sz w:val="18"/>
              </w:rPr>
              <w:t>4,2%</w:t>
            </w:r>
            <w:r w:rsidRPr="00505E82">
              <w:rPr>
                <w:rFonts w:ascii="Arial"/>
                <w:spacing w:val="-7"/>
                <w:sz w:val="18"/>
              </w:rPr>
              <w:t xml:space="preserve"> </w:t>
            </w:r>
            <w:r w:rsidRPr="00505E82">
              <w:rPr>
                <w:rFonts w:ascii="Arial"/>
                <w:sz w:val="18"/>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39"/>
              <w:jc w:val="center"/>
              <w:rPr>
                <w:rFonts w:ascii="Arial" w:eastAsia="Arial" w:hAnsi="Arial" w:cs="Arial"/>
                <w:sz w:val="18"/>
                <w:szCs w:val="18"/>
              </w:rPr>
            </w:pPr>
            <w:r w:rsidRPr="00505E82">
              <w:rPr>
                <w:rFonts w:ascii="Arial"/>
                <w:sz w:val="18"/>
              </w:rPr>
              <w:t>95,8%</w:t>
            </w:r>
            <w:r w:rsidRPr="00505E82">
              <w:rPr>
                <w:rFonts w:ascii="Arial"/>
                <w:spacing w:val="-9"/>
                <w:sz w:val="18"/>
              </w:rPr>
              <w:t xml:space="preserve"> </w:t>
            </w:r>
            <w:r w:rsidRPr="00505E82">
              <w:rPr>
                <w:rFonts w:ascii="Arial"/>
                <w:sz w:val="18"/>
              </w:rPr>
              <w:t>(138)</w:t>
            </w:r>
          </w:p>
        </w:tc>
        <w:tc>
          <w:tcPr>
            <w:tcW w:w="161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26" w:right="318"/>
              <w:jc w:val="center"/>
              <w:rPr>
                <w:rFonts w:ascii="Arial" w:eastAsia="Arial" w:hAnsi="Arial" w:cs="Arial"/>
                <w:sz w:val="18"/>
                <w:szCs w:val="18"/>
              </w:rPr>
            </w:pPr>
            <w:r w:rsidRPr="00505E82">
              <w:rPr>
                <w:rFonts w:ascii="Arial"/>
                <w:sz w:val="18"/>
              </w:rPr>
              <w:t>100%</w:t>
            </w:r>
            <w:r w:rsidRPr="00505E82">
              <w:rPr>
                <w:rFonts w:ascii="Arial"/>
                <w:spacing w:val="-6"/>
                <w:sz w:val="18"/>
              </w:rPr>
              <w:t xml:space="preserve"> </w:t>
            </w:r>
            <w:r w:rsidRPr="00505E82">
              <w:rPr>
                <w:rFonts w:ascii="Arial"/>
                <w:sz w:val="18"/>
              </w:rPr>
              <w:t>(144)</w:t>
            </w:r>
          </w:p>
        </w:tc>
      </w:tr>
      <w:tr w:rsidR="0088415B" w:rsidTr="00505E82">
        <w:trPr>
          <w:trHeight w:hRule="exact" w:val="227"/>
        </w:trPr>
        <w:tc>
          <w:tcPr>
            <w:tcW w:w="3310"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total</w:t>
            </w:r>
          </w:p>
        </w:tc>
        <w:tc>
          <w:tcPr>
            <w:tcW w:w="198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581" w:right="581"/>
              <w:jc w:val="center"/>
              <w:rPr>
                <w:rFonts w:ascii="Arial" w:eastAsia="Arial" w:hAnsi="Arial" w:cs="Arial"/>
                <w:sz w:val="18"/>
                <w:szCs w:val="18"/>
              </w:rPr>
            </w:pPr>
            <w:r w:rsidRPr="00505E82">
              <w:rPr>
                <w:rFonts w:ascii="Arial"/>
                <w:sz w:val="18"/>
              </w:rPr>
              <w:t>8,1%</w:t>
            </w:r>
            <w:r w:rsidRPr="00505E82">
              <w:rPr>
                <w:rFonts w:ascii="Arial"/>
                <w:spacing w:val="-8"/>
                <w:sz w:val="18"/>
              </w:rPr>
              <w:t xml:space="preserve"> </w:t>
            </w:r>
            <w:r w:rsidRPr="00505E82">
              <w:rPr>
                <w:rFonts w:ascii="Arial"/>
                <w:sz w:val="18"/>
              </w:rPr>
              <w:t>(64)</w:t>
            </w:r>
          </w:p>
        </w:tc>
        <w:tc>
          <w:tcPr>
            <w:tcW w:w="180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43" w:right="343"/>
              <w:jc w:val="center"/>
              <w:rPr>
                <w:rFonts w:ascii="Arial" w:eastAsia="Arial" w:hAnsi="Arial" w:cs="Arial"/>
                <w:sz w:val="18"/>
                <w:szCs w:val="18"/>
              </w:rPr>
            </w:pPr>
            <w:r w:rsidRPr="00505E82">
              <w:rPr>
                <w:rFonts w:ascii="Arial"/>
                <w:sz w:val="18"/>
              </w:rPr>
              <w:t>91,9%</w:t>
            </w:r>
            <w:r w:rsidRPr="00505E82">
              <w:rPr>
                <w:rFonts w:ascii="Arial"/>
                <w:spacing w:val="-9"/>
                <w:sz w:val="18"/>
              </w:rPr>
              <w:t xml:space="preserve"> </w:t>
            </w:r>
            <w:r w:rsidRPr="00505E82">
              <w:rPr>
                <w:rFonts w:ascii="Arial"/>
                <w:sz w:val="18"/>
              </w:rPr>
              <w:t>(727)</w:t>
            </w:r>
          </w:p>
        </w:tc>
        <w:tc>
          <w:tcPr>
            <w:tcW w:w="161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323" w:right="319"/>
              <w:jc w:val="center"/>
              <w:rPr>
                <w:rFonts w:ascii="Arial" w:eastAsia="Arial" w:hAnsi="Arial" w:cs="Arial"/>
                <w:sz w:val="18"/>
                <w:szCs w:val="18"/>
              </w:rPr>
            </w:pPr>
            <w:r w:rsidRPr="00505E82">
              <w:rPr>
                <w:rFonts w:ascii="Arial"/>
                <w:sz w:val="18"/>
              </w:rPr>
              <w:t>100%</w:t>
            </w:r>
            <w:r w:rsidRPr="00505E82">
              <w:rPr>
                <w:rFonts w:ascii="Arial"/>
                <w:spacing w:val="-6"/>
                <w:sz w:val="18"/>
              </w:rPr>
              <w:t xml:space="preserve"> </w:t>
            </w:r>
            <w:r w:rsidRPr="00505E82">
              <w:rPr>
                <w:rFonts w:ascii="Arial"/>
                <w:sz w:val="18"/>
              </w:rPr>
              <w:t>(791)</w:t>
            </w:r>
          </w:p>
        </w:tc>
      </w:tr>
    </w:tbl>
    <w:p w:rsidR="0088415B" w:rsidRDefault="0088415B" w:rsidP="0088415B">
      <w:pPr>
        <w:spacing w:line="205" w:lineRule="exact"/>
        <w:ind w:left="428" w:right="1737"/>
        <w:rPr>
          <w:rFonts w:ascii="Arial" w:eastAsia="Arial" w:hAnsi="Arial" w:cs="Arial"/>
          <w:sz w:val="18"/>
          <w:szCs w:val="18"/>
        </w:rPr>
      </w:pPr>
      <w:r>
        <w:rPr>
          <w:rFonts w:ascii="Arial" w:eastAsia="Arial" w:hAnsi="Arial" w:cs="Arial"/>
          <w:sz w:val="18"/>
          <w:szCs w:val="18"/>
        </w:rPr>
        <w:t>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spacing w:before="11"/>
        <w:rPr>
          <w:rFonts w:ascii="Arial" w:eastAsia="Arial" w:hAnsi="Arial" w:cs="Arial"/>
          <w:sz w:val="15"/>
          <w:szCs w:val="15"/>
        </w:rPr>
      </w:pPr>
    </w:p>
    <w:p w:rsidR="0088415B" w:rsidRDefault="0088415B" w:rsidP="0088415B">
      <w:pPr>
        <w:pStyle w:val="Corpodetexto"/>
        <w:spacing w:before="0" w:line="360" w:lineRule="auto"/>
        <w:ind w:left="178" w:right="170"/>
        <w:jc w:val="both"/>
      </w:pPr>
      <w:r>
        <w:t xml:space="preserve">Por meio desse mapeamento foi possível estabelecer os temas preferidos dos protagonistas do processo político. Notavelmente existe uma estreita correlação entre pertencer à elite legislativa e se dedicar a </w:t>
      </w:r>
      <w:r>
        <w:rPr>
          <w:i/>
        </w:rPr>
        <w:t xml:space="preserve">hard politics </w:t>
      </w:r>
      <w:r>
        <w:t xml:space="preserve">(tabela 7). A maioria dos discursos proferidos por essa elite, 24,1%, aborda tópicos da referida área temática, ao passo que até o grupo </w:t>
      </w:r>
      <w:r>
        <w:rPr>
          <w:i/>
        </w:rPr>
        <w:t xml:space="preserve">irrelevante e outros </w:t>
      </w:r>
      <w:r>
        <w:t xml:space="preserve">é mais tratado, com 19,1% de menções, que as políticas </w:t>
      </w:r>
      <w:r>
        <w:rPr>
          <w:i/>
        </w:rPr>
        <w:t>soft</w:t>
      </w:r>
      <w:r>
        <w:t>, com 17,4%. Dada a estrutura do campo, aqueles temas não tão valorizados, por mais que possuam grande visibilidade na sociedade, não exigem um acúmulo acentuado de capital político e, portanto, serão mais constantemente abordados pelos membros do “baixo clero”, ou seja, a maioria das mulheres na</w:t>
      </w:r>
      <w:r>
        <w:rPr>
          <w:spacing w:val="-7"/>
        </w:rPr>
        <w:t xml:space="preserve"> </w:t>
      </w:r>
      <w:r>
        <w:t>Câmara.</w:t>
      </w:r>
    </w:p>
    <w:p w:rsidR="0088415B" w:rsidRDefault="0088415B" w:rsidP="0088415B">
      <w:pPr>
        <w:spacing w:before="5" w:after="3"/>
        <w:ind w:left="178" w:right="1737"/>
        <w:rPr>
          <w:rFonts w:ascii="Arial" w:eastAsia="Arial" w:hAnsi="Arial" w:cs="Arial"/>
          <w:sz w:val="18"/>
          <w:szCs w:val="18"/>
        </w:rPr>
      </w:pPr>
      <w:r>
        <w:rPr>
          <w:rFonts w:ascii="Arial" w:hAnsi="Arial"/>
          <w:b/>
          <w:sz w:val="18"/>
        </w:rPr>
        <w:t>Tabela</w:t>
      </w:r>
      <w:r>
        <w:rPr>
          <w:rFonts w:ascii="Arial" w:hAnsi="Arial"/>
          <w:b/>
          <w:spacing w:val="-5"/>
          <w:sz w:val="18"/>
        </w:rPr>
        <w:t xml:space="preserve"> </w:t>
      </w:r>
      <w:r>
        <w:rPr>
          <w:rFonts w:ascii="Arial" w:hAnsi="Arial"/>
          <w:b/>
          <w:sz w:val="18"/>
        </w:rPr>
        <w:t>7</w:t>
      </w:r>
      <w:r>
        <w:rPr>
          <w:rFonts w:ascii="Arial" w:hAnsi="Arial"/>
          <w:sz w:val="18"/>
        </w:rPr>
        <w:t>:</w:t>
      </w:r>
      <w:r>
        <w:rPr>
          <w:rFonts w:ascii="Arial" w:hAnsi="Arial"/>
          <w:spacing w:val="-4"/>
          <w:sz w:val="18"/>
        </w:rPr>
        <w:t xml:space="preserve"> </w:t>
      </w:r>
      <w:r>
        <w:rPr>
          <w:rFonts w:ascii="Arial" w:hAnsi="Arial"/>
          <w:sz w:val="18"/>
        </w:rPr>
        <w:t>Área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dos</w:t>
      </w:r>
      <w:r>
        <w:rPr>
          <w:rFonts w:ascii="Arial" w:hAnsi="Arial"/>
          <w:spacing w:val="-4"/>
          <w:sz w:val="18"/>
        </w:rPr>
        <w:t xml:space="preserve"> </w:t>
      </w:r>
      <w:r>
        <w:rPr>
          <w:rFonts w:ascii="Arial" w:hAnsi="Arial"/>
          <w:sz w:val="18"/>
        </w:rPr>
        <w:t>discursos,</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presença</w:t>
      </w:r>
      <w:r>
        <w:rPr>
          <w:rFonts w:ascii="Arial" w:hAnsi="Arial"/>
          <w:spacing w:val="-4"/>
          <w:sz w:val="18"/>
        </w:rPr>
        <w:t xml:space="preserve"> </w:t>
      </w:r>
      <w:r>
        <w:rPr>
          <w:rFonts w:ascii="Arial" w:hAnsi="Arial"/>
          <w:sz w:val="18"/>
        </w:rPr>
        <w:t>do</w:t>
      </w:r>
      <w:r>
        <w:rPr>
          <w:rFonts w:ascii="Arial" w:hAnsi="Arial"/>
          <w:spacing w:val="-4"/>
          <w:sz w:val="18"/>
        </w:rPr>
        <w:t xml:space="preserve"> </w:t>
      </w:r>
      <w:r>
        <w:rPr>
          <w:rFonts w:ascii="Arial" w:hAnsi="Arial"/>
          <w:sz w:val="18"/>
        </w:rPr>
        <w:t>orador</w:t>
      </w:r>
      <w:r>
        <w:rPr>
          <w:rFonts w:ascii="Arial" w:hAnsi="Arial"/>
          <w:spacing w:val="-4"/>
          <w:sz w:val="18"/>
        </w:rPr>
        <w:t xml:space="preserve"> </w:t>
      </w:r>
      <w:r>
        <w:rPr>
          <w:rFonts w:ascii="Arial" w:hAnsi="Arial"/>
          <w:sz w:val="18"/>
        </w:rPr>
        <w:t>na</w:t>
      </w:r>
      <w:r>
        <w:rPr>
          <w:rFonts w:ascii="Arial" w:hAnsi="Arial"/>
          <w:spacing w:val="-4"/>
          <w:sz w:val="18"/>
        </w:rPr>
        <w:t xml:space="preserve"> </w:t>
      </w:r>
      <w:r>
        <w:rPr>
          <w:rFonts w:ascii="Arial" w:hAnsi="Arial"/>
          <w:sz w:val="18"/>
        </w:rPr>
        <w:t>lista</w:t>
      </w:r>
      <w:r>
        <w:rPr>
          <w:rFonts w:ascii="Arial" w:hAnsi="Arial"/>
          <w:spacing w:val="-4"/>
          <w:sz w:val="18"/>
        </w:rPr>
        <w:t xml:space="preserve"> </w:t>
      </w:r>
      <w:r>
        <w:rPr>
          <w:rFonts w:ascii="Arial" w:hAnsi="Arial"/>
          <w:sz w:val="18"/>
        </w:rPr>
        <w:t>do</w:t>
      </w:r>
      <w:r>
        <w:rPr>
          <w:rFonts w:ascii="Arial" w:hAnsi="Arial"/>
          <w:spacing w:val="-3"/>
          <w:sz w:val="18"/>
        </w:rPr>
        <w:t xml:space="preserve"> </w:t>
      </w:r>
      <w:r>
        <w:rPr>
          <w:rFonts w:ascii="Arial" w:hAnsi="Arial"/>
          <w:sz w:val="18"/>
        </w:rPr>
        <w:t>DIAP</w:t>
      </w:r>
    </w:p>
    <w:tbl>
      <w:tblPr>
        <w:tblW w:w="0" w:type="auto"/>
        <w:tblInd w:w="108" w:type="dxa"/>
        <w:tblLayout w:type="fixed"/>
        <w:tblCellMar>
          <w:left w:w="0" w:type="dxa"/>
          <w:right w:w="0" w:type="dxa"/>
        </w:tblCellMar>
        <w:tblLook w:val="01E0"/>
      </w:tblPr>
      <w:tblGrid>
        <w:gridCol w:w="1690"/>
        <w:gridCol w:w="2880"/>
        <w:gridCol w:w="3240"/>
        <w:gridCol w:w="1393"/>
      </w:tblGrid>
      <w:tr w:rsidR="0088415B" w:rsidTr="00505E82">
        <w:trPr>
          <w:trHeight w:hRule="exact" w:val="238"/>
        </w:trPr>
        <w:tc>
          <w:tcPr>
            <w:tcW w:w="1690"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288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11" w:right="111"/>
              <w:jc w:val="center"/>
              <w:rPr>
                <w:rFonts w:ascii="Arial" w:eastAsia="Arial" w:hAnsi="Arial" w:cs="Arial"/>
                <w:sz w:val="18"/>
                <w:szCs w:val="18"/>
              </w:rPr>
            </w:pPr>
            <w:r w:rsidRPr="00505E82">
              <w:rPr>
                <w:rFonts w:ascii="Arial"/>
                <w:sz w:val="18"/>
              </w:rPr>
              <w:t>nunca apareceu na lista do</w:t>
            </w:r>
            <w:r w:rsidRPr="00505E82">
              <w:rPr>
                <w:rFonts w:ascii="Arial"/>
                <w:spacing w:val="-15"/>
                <w:sz w:val="18"/>
              </w:rPr>
              <w:t xml:space="preserve"> </w:t>
            </w:r>
            <w:r w:rsidRPr="00505E82">
              <w:rPr>
                <w:rFonts w:ascii="Arial"/>
                <w:sz w:val="18"/>
              </w:rPr>
              <w:t>DIAP</w:t>
            </w:r>
          </w:p>
        </w:tc>
        <w:tc>
          <w:tcPr>
            <w:tcW w:w="324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84"/>
              <w:rPr>
                <w:rFonts w:ascii="Arial" w:eastAsia="Arial" w:hAnsi="Arial" w:cs="Arial"/>
                <w:sz w:val="18"/>
                <w:szCs w:val="18"/>
              </w:rPr>
            </w:pPr>
            <w:r w:rsidRPr="00505E82">
              <w:rPr>
                <w:rFonts w:ascii="Arial"/>
                <w:sz w:val="18"/>
              </w:rPr>
              <w:t>apareceu alguma vez na lista do</w:t>
            </w:r>
            <w:r w:rsidRPr="00505E82">
              <w:rPr>
                <w:rFonts w:ascii="Arial"/>
                <w:spacing w:val="-18"/>
                <w:sz w:val="18"/>
              </w:rPr>
              <w:t xml:space="preserve"> </w:t>
            </w:r>
            <w:r w:rsidRPr="00505E82">
              <w:rPr>
                <w:rFonts w:ascii="Arial"/>
                <w:sz w:val="18"/>
              </w:rPr>
              <w:t>DIAP</w:t>
            </w:r>
          </w:p>
        </w:tc>
        <w:tc>
          <w:tcPr>
            <w:tcW w:w="1393"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507" w:right="505"/>
              <w:jc w:val="center"/>
              <w:rPr>
                <w:rFonts w:ascii="Arial" w:eastAsia="Arial" w:hAnsi="Arial" w:cs="Arial"/>
                <w:sz w:val="18"/>
                <w:szCs w:val="18"/>
              </w:rPr>
            </w:pPr>
            <w:r w:rsidRPr="00505E82">
              <w:rPr>
                <w:rFonts w:ascii="Arial"/>
                <w:sz w:val="18"/>
              </w:rPr>
              <w:t>total</w:t>
            </w:r>
          </w:p>
        </w:tc>
      </w:tr>
      <w:tr w:rsidR="0088415B" w:rsidTr="00505E82">
        <w:trPr>
          <w:trHeight w:hRule="exact" w:val="226"/>
        </w:trPr>
        <w:tc>
          <w:tcPr>
            <w:tcW w:w="1690"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288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10" w:right="111"/>
              <w:jc w:val="center"/>
              <w:rPr>
                <w:rFonts w:ascii="Arial" w:eastAsia="Arial" w:hAnsi="Arial" w:cs="Arial"/>
                <w:sz w:val="18"/>
                <w:szCs w:val="18"/>
              </w:rPr>
            </w:pPr>
            <w:r w:rsidRPr="00505E82">
              <w:rPr>
                <w:rFonts w:ascii="Arial"/>
                <w:sz w:val="18"/>
              </w:rPr>
              <w:t>75,9%</w:t>
            </w:r>
            <w:r w:rsidRPr="00505E82">
              <w:rPr>
                <w:rFonts w:ascii="Arial"/>
                <w:spacing w:val="-9"/>
                <w:sz w:val="18"/>
              </w:rPr>
              <w:t xml:space="preserve"> </w:t>
            </w:r>
            <w:r w:rsidRPr="00505E82">
              <w:rPr>
                <w:rFonts w:ascii="Arial"/>
                <w:sz w:val="18"/>
              </w:rPr>
              <w:t>(6066)</w:t>
            </w:r>
          </w:p>
        </w:tc>
        <w:tc>
          <w:tcPr>
            <w:tcW w:w="324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073"/>
              <w:rPr>
                <w:rFonts w:ascii="Arial" w:eastAsia="Arial" w:hAnsi="Arial" w:cs="Arial"/>
                <w:sz w:val="18"/>
                <w:szCs w:val="18"/>
              </w:rPr>
            </w:pPr>
            <w:r w:rsidRPr="00505E82">
              <w:rPr>
                <w:rFonts w:ascii="Arial"/>
                <w:sz w:val="18"/>
              </w:rPr>
              <w:t>24,1%</w:t>
            </w:r>
            <w:r w:rsidRPr="00505E82">
              <w:rPr>
                <w:rFonts w:ascii="Arial"/>
                <w:spacing w:val="-9"/>
                <w:sz w:val="18"/>
              </w:rPr>
              <w:t xml:space="preserve"> </w:t>
            </w:r>
            <w:r w:rsidRPr="00505E82">
              <w:rPr>
                <w:rFonts w:ascii="Arial"/>
                <w:sz w:val="18"/>
              </w:rPr>
              <w:t>(1924)</w:t>
            </w:r>
          </w:p>
        </w:tc>
        <w:tc>
          <w:tcPr>
            <w:tcW w:w="139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79"/>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(7990)</w:t>
            </w:r>
          </w:p>
        </w:tc>
      </w:tr>
      <w:tr w:rsidR="0088415B" w:rsidTr="00505E82">
        <w:trPr>
          <w:trHeight w:hRule="exact" w:val="217"/>
        </w:trPr>
        <w:tc>
          <w:tcPr>
            <w:tcW w:w="1690"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11" w:right="111"/>
              <w:jc w:val="center"/>
              <w:rPr>
                <w:rFonts w:ascii="Arial" w:eastAsia="Arial" w:hAnsi="Arial" w:cs="Arial"/>
                <w:sz w:val="18"/>
                <w:szCs w:val="18"/>
              </w:rPr>
            </w:pPr>
            <w:r w:rsidRPr="00505E82">
              <w:rPr>
                <w:rFonts w:ascii="Arial"/>
                <w:sz w:val="18"/>
              </w:rPr>
              <w:t>78,4%</w:t>
            </w:r>
            <w:r w:rsidRPr="00505E82">
              <w:rPr>
                <w:rFonts w:ascii="Arial"/>
                <w:spacing w:val="-9"/>
                <w:sz w:val="18"/>
              </w:rPr>
              <w:t xml:space="preserve"> </w:t>
            </w:r>
            <w:r w:rsidRPr="00505E82">
              <w:rPr>
                <w:rFonts w:ascii="Arial"/>
                <w:sz w:val="18"/>
              </w:rPr>
              <w:t>(2839)</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067"/>
              <w:rPr>
                <w:rFonts w:ascii="Arial" w:eastAsia="Arial" w:hAnsi="Arial" w:cs="Arial"/>
                <w:sz w:val="18"/>
                <w:szCs w:val="18"/>
              </w:rPr>
            </w:pPr>
            <w:r w:rsidRPr="00505E82">
              <w:rPr>
                <w:rFonts w:ascii="Arial"/>
                <w:sz w:val="18"/>
              </w:rPr>
              <w:t>21,6%</w:t>
            </w:r>
            <w:r w:rsidRPr="00505E82">
              <w:rPr>
                <w:rFonts w:ascii="Arial"/>
                <w:spacing w:val="-10"/>
                <w:sz w:val="18"/>
              </w:rPr>
              <w:t xml:space="preserve"> </w:t>
            </w:r>
            <w:r w:rsidRPr="00505E82">
              <w:rPr>
                <w:rFonts w:ascii="Arial"/>
                <w:sz w:val="18"/>
              </w:rPr>
              <w:t>(781)</w:t>
            </w:r>
          </w:p>
        </w:tc>
        <w:tc>
          <w:tcPr>
            <w:tcW w:w="13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82"/>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(3620)</w:t>
            </w:r>
          </w:p>
        </w:tc>
      </w:tr>
      <w:tr w:rsidR="0088415B" w:rsidTr="00505E82">
        <w:trPr>
          <w:trHeight w:hRule="exact" w:val="217"/>
        </w:trPr>
        <w:tc>
          <w:tcPr>
            <w:tcW w:w="1690"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10" w:right="111"/>
              <w:jc w:val="center"/>
              <w:rPr>
                <w:rFonts w:ascii="Arial" w:eastAsia="Arial" w:hAnsi="Arial" w:cs="Arial"/>
                <w:sz w:val="18"/>
                <w:szCs w:val="18"/>
              </w:rPr>
            </w:pPr>
            <w:r w:rsidRPr="00505E82">
              <w:rPr>
                <w:rFonts w:ascii="Arial"/>
                <w:sz w:val="18"/>
              </w:rPr>
              <w:t>82,6%</w:t>
            </w:r>
            <w:r w:rsidRPr="00505E82">
              <w:rPr>
                <w:rFonts w:ascii="Arial"/>
                <w:spacing w:val="-9"/>
                <w:sz w:val="18"/>
              </w:rPr>
              <w:t xml:space="preserve"> </w:t>
            </w:r>
            <w:r w:rsidRPr="00505E82">
              <w:rPr>
                <w:rFonts w:ascii="Arial"/>
                <w:sz w:val="18"/>
              </w:rPr>
              <w:t>(3198)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066"/>
              <w:rPr>
                <w:rFonts w:ascii="Arial" w:eastAsia="Arial" w:hAnsi="Arial" w:cs="Arial"/>
                <w:sz w:val="18"/>
                <w:szCs w:val="18"/>
              </w:rPr>
            </w:pPr>
            <w:r w:rsidRPr="00505E82">
              <w:rPr>
                <w:rFonts w:ascii="Arial"/>
                <w:sz w:val="18"/>
              </w:rPr>
              <w:t>17,4%</w:t>
            </w:r>
            <w:r w:rsidRPr="00505E82">
              <w:rPr>
                <w:rFonts w:ascii="Arial"/>
                <w:spacing w:val="-10"/>
                <w:sz w:val="18"/>
              </w:rPr>
              <w:t xml:space="preserve"> </w:t>
            </w:r>
            <w:r w:rsidRPr="00505E82">
              <w:rPr>
                <w:rFonts w:ascii="Arial"/>
                <w:sz w:val="18"/>
              </w:rPr>
              <w:t>(676)</w:t>
            </w:r>
          </w:p>
        </w:tc>
        <w:tc>
          <w:tcPr>
            <w:tcW w:w="13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83"/>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(3874)</w:t>
            </w:r>
          </w:p>
        </w:tc>
      </w:tr>
      <w:tr w:rsidR="0088415B" w:rsidTr="00505E82">
        <w:trPr>
          <w:trHeight w:hRule="exact" w:val="216"/>
        </w:trPr>
        <w:tc>
          <w:tcPr>
            <w:tcW w:w="1690"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irrelevante e</w:t>
            </w:r>
            <w:r w:rsidRPr="00505E82">
              <w:rPr>
                <w:rFonts w:ascii="Arial"/>
                <w:spacing w:val="-14"/>
                <w:sz w:val="18"/>
              </w:rPr>
              <w:t xml:space="preserve"> </w:t>
            </w:r>
            <w:r w:rsidRPr="00505E82">
              <w:rPr>
                <w:rFonts w:ascii="Arial"/>
                <w:sz w:val="18"/>
              </w:rPr>
              <w:t>outros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11" w:right="111"/>
              <w:jc w:val="center"/>
              <w:rPr>
                <w:rFonts w:ascii="Arial" w:eastAsia="Arial" w:hAnsi="Arial" w:cs="Arial"/>
                <w:sz w:val="18"/>
                <w:szCs w:val="18"/>
              </w:rPr>
            </w:pPr>
            <w:r w:rsidRPr="00505E82">
              <w:rPr>
                <w:rFonts w:ascii="Arial"/>
                <w:sz w:val="18"/>
              </w:rPr>
              <w:t>80,9%</w:t>
            </w:r>
            <w:r w:rsidRPr="00505E82">
              <w:rPr>
                <w:rFonts w:ascii="Arial"/>
                <w:spacing w:val="-9"/>
                <w:sz w:val="18"/>
              </w:rPr>
              <w:t xml:space="preserve"> </w:t>
            </w:r>
            <w:r w:rsidRPr="00505E82">
              <w:rPr>
                <w:rFonts w:ascii="Arial"/>
                <w:sz w:val="18"/>
              </w:rPr>
              <w:t>(1628)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1067"/>
              <w:rPr>
                <w:rFonts w:ascii="Arial" w:eastAsia="Arial" w:hAnsi="Arial" w:cs="Arial"/>
                <w:sz w:val="18"/>
                <w:szCs w:val="18"/>
              </w:rPr>
            </w:pPr>
            <w:r w:rsidRPr="00505E82">
              <w:rPr>
                <w:rFonts w:ascii="Arial"/>
                <w:sz w:val="18"/>
              </w:rPr>
              <w:t>19,1%</w:t>
            </w:r>
            <w:r w:rsidRPr="00505E82">
              <w:rPr>
                <w:rFonts w:ascii="Arial"/>
                <w:spacing w:val="-10"/>
                <w:sz w:val="18"/>
              </w:rPr>
              <w:t xml:space="preserve"> </w:t>
            </w:r>
            <w:r w:rsidRPr="00505E82">
              <w:rPr>
                <w:rFonts w:ascii="Arial"/>
                <w:sz w:val="18"/>
              </w:rPr>
              <w:t>(385)</w:t>
            </w:r>
          </w:p>
        </w:tc>
        <w:tc>
          <w:tcPr>
            <w:tcW w:w="13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182"/>
              <w:rPr>
                <w:rFonts w:ascii="Arial" w:eastAsia="Arial" w:hAnsi="Arial" w:cs="Arial"/>
                <w:sz w:val="18"/>
                <w:szCs w:val="18"/>
              </w:rPr>
            </w:pPr>
            <w:r w:rsidRPr="00505E82">
              <w:rPr>
                <w:rFonts w:ascii="Arial"/>
                <w:sz w:val="18"/>
              </w:rPr>
              <w:t>100%</w:t>
            </w:r>
            <w:r w:rsidRPr="00505E82">
              <w:rPr>
                <w:rFonts w:ascii="Arial"/>
                <w:spacing w:val="-8"/>
                <w:sz w:val="18"/>
              </w:rPr>
              <w:t xml:space="preserve"> </w:t>
            </w:r>
            <w:r w:rsidRPr="00505E82">
              <w:rPr>
                <w:rFonts w:ascii="Arial"/>
                <w:sz w:val="18"/>
              </w:rPr>
              <w:t>(2013)</w:t>
            </w:r>
          </w:p>
        </w:tc>
      </w:tr>
      <w:tr w:rsidR="0088415B" w:rsidTr="00505E82">
        <w:trPr>
          <w:trHeight w:hRule="exact" w:val="227"/>
        </w:trPr>
        <w:tc>
          <w:tcPr>
            <w:tcW w:w="1690"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total</w:t>
            </w:r>
          </w:p>
        </w:tc>
        <w:tc>
          <w:tcPr>
            <w:tcW w:w="288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11" w:right="111"/>
              <w:jc w:val="center"/>
              <w:rPr>
                <w:rFonts w:ascii="Arial" w:eastAsia="Arial" w:hAnsi="Arial" w:cs="Arial"/>
                <w:sz w:val="18"/>
                <w:szCs w:val="18"/>
              </w:rPr>
            </w:pPr>
            <w:r w:rsidRPr="00505E82">
              <w:rPr>
                <w:rFonts w:ascii="Arial"/>
                <w:sz w:val="18"/>
              </w:rPr>
              <w:t>78,1%</w:t>
            </w:r>
            <w:r w:rsidRPr="00505E82">
              <w:rPr>
                <w:rFonts w:ascii="Arial"/>
                <w:spacing w:val="-9"/>
                <w:sz w:val="18"/>
              </w:rPr>
              <w:t xml:space="preserve"> </w:t>
            </w:r>
            <w:r w:rsidRPr="00505E82">
              <w:rPr>
                <w:rFonts w:ascii="Arial"/>
                <w:sz w:val="18"/>
              </w:rPr>
              <w:t>(9244)</w:t>
            </w:r>
          </w:p>
        </w:tc>
        <w:tc>
          <w:tcPr>
            <w:tcW w:w="324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1074"/>
              <w:rPr>
                <w:rFonts w:ascii="Arial" w:eastAsia="Arial" w:hAnsi="Arial" w:cs="Arial"/>
                <w:sz w:val="18"/>
                <w:szCs w:val="18"/>
              </w:rPr>
            </w:pPr>
            <w:r w:rsidRPr="00505E82">
              <w:rPr>
                <w:rFonts w:ascii="Arial"/>
                <w:sz w:val="18"/>
              </w:rPr>
              <w:t>21,9%</w:t>
            </w:r>
            <w:r w:rsidRPr="00505E82">
              <w:rPr>
                <w:rFonts w:ascii="Arial"/>
                <w:spacing w:val="-9"/>
                <w:sz w:val="18"/>
              </w:rPr>
              <w:t xml:space="preserve"> </w:t>
            </w:r>
            <w:r w:rsidRPr="00505E82">
              <w:rPr>
                <w:rFonts w:ascii="Arial"/>
                <w:sz w:val="18"/>
              </w:rPr>
              <w:t>(2586)</w:t>
            </w:r>
          </w:p>
        </w:tc>
        <w:tc>
          <w:tcPr>
            <w:tcW w:w="139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181"/>
              <w:rPr>
                <w:rFonts w:ascii="Arial" w:eastAsia="Arial" w:hAnsi="Arial" w:cs="Arial"/>
                <w:sz w:val="18"/>
                <w:szCs w:val="18"/>
              </w:rPr>
            </w:pPr>
            <w:r w:rsidRPr="00505E82">
              <w:rPr>
                <w:rFonts w:ascii="Arial"/>
                <w:sz w:val="18"/>
              </w:rPr>
              <w:t>100%</w:t>
            </w:r>
            <w:r w:rsidRPr="00505E82">
              <w:rPr>
                <w:rFonts w:ascii="Arial"/>
                <w:spacing w:val="-7"/>
                <w:sz w:val="18"/>
              </w:rPr>
              <w:t xml:space="preserve"> </w:t>
            </w:r>
            <w:r w:rsidRPr="00505E82">
              <w:rPr>
                <w:rFonts w:ascii="Arial"/>
                <w:sz w:val="18"/>
              </w:rPr>
              <w:t>(11830)</w:t>
            </w:r>
          </w:p>
        </w:tc>
      </w:tr>
    </w:tbl>
    <w:p w:rsidR="0088415B" w:rsidRDefault="0088415B" w:rsidP="0088415B">
      <w:pPr>
        <w:spacing w:line="205" w:lineRule="exact"/>
        <w:ind w:left="178" w:right="1737"/>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Era</w:t>
      </w:r>
      <w:r>
        <w:rPr>
          <w:rFonts w:ascii="Arial" w:hAnsi="Arial"/>
          <w:spacing w:val="-4"/>
          <w:sz w:val="18"/>
        </w:rPr>
        <w:t xml:space="preserve"> </w:t>
      </w:r>
      <w:r>
        <w:rPr>
          <w:rFonts w:ascii="Arial" w:hAnsi="Arial"/>
          <w:sz w:val="18"/>
        </w:rPr>
        <w:t>permitida</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indicação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uma</w:t>
      </w:r>
      <w:r>
        <w:rPr>
          <w:rFonts w:ascii="Arial" w:hAnsi="Arial"/>
          <w:spacing w:val="-4"/>
          <w:sz w:val="18"/>
        </w:rPr>
        <w:t xml:space="preserve"> </w:t>
      </w:r>
      <w:r>
        <w:rPr>
          <w:rFonts w:ascii="Arial" w:hAnsi="Arial"/>
          <w:sz w:val="18"/>
        </w:rPr>
        <w:t>área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discurso.</w:t>
      </w:r>
    </w:p>
    <w:p w:rsidR="0088415B" w:rsidRDefault="0088415B" w:rsidP="0088415B">
      <w:pPr>
        <w:ind w:left="178" w:right="1737"/>
        <w:rPr>
          <w:rFonts w:ascii="Arial" w:eastAsia="Arial" w:hAnsi="Arial" w:cs="Arial"/>
          <w:sz w:val="18"/>
          <w:szCs w:val="18"/>
        </w:rPr>
      </w:pPr>
      <w:r>
        <w:rPr>
          <w:rFonts w:ascii="Arial" w:eastAsia="Arial" w:hAnsi="Arial" w:cs="Arial"/>
          <w:sz w:val="18"/>
          <w:szCs w:val="18"/>
        </w:rPr>
        <w:t>A dependência entre as variáveis é muito significativa. Qui2 = 106,93, gl = 24, 1-p =&gt; 99,99%.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spacing w:before="10"/>
        <w:rPr>
          <w:rFonts w:ascii="Arial" w:eastAsia="Arial" w:hAnsi="Arial" w:cs="Arial"/>
          <w:sz w:val="11"/>
          <w:szCs w:val="11"/>
        </w:rPr>
      </w:pPr>
    </w:p>
    <w:p w:rsidR="0088415B" w:rsidRDefault="0088415B" w:rsidP="0088415B">
      <w:pPr>
        <w:spacing w:before="69" w:line="350" w:lineRule="auto"/>
        <w:ind w:left="178" w:right="173" w:firstLine="709"/>
        <w:rPr>
          <w:rFonts w:ascii="Times New Roman" w:eastAsia="Times New Roman" w:hAnsi="Times New Roman"/>
          <w:spacing w:val="3"/>
          <w:sz w:val="24"/>
          <w:szCs w:val="24"/>
        </w:rPr>
      </w:pPr>
      <w:r>
        <w:rPr>
          <w:rFonts w:ascii="Times New Roman" w:eastAsia="Times New Roman" w:hAnsi="Times New Roman"/>
          <w:sz w:val="24"/>
          <w:szCs w:val="24"/>
        </w:rPr>
        <w:t xml:space="preserve">Avançando na tentativa de fixar a fronteira entre os parlamentares de maior e de  menor prestígio e influência dentro do campo político e da própria Câmara Federal, os deputados de ambos os sexos foram divididos em dois grandes grupos, denominadas </w:t>
      </w:r>
      <w:r>
        <w:rPr>
          <w:rFonts w:ascii="Times New Roman" w:eastAsia="Times New Roman" w:hAnsi="Times New Roman"/>
          <w:sz w:val="24"/>
          <w:szCs w:val="24"/>
        </w:rPr>
        <w:lastRenderedPageBreak/>
        <w:t>arbitrariamente de “baixo clero” e “medalhões”</w:t>
      </w:r>
      <w:hyperlink w:anchor="_bookmark2" w:history="1">
        <w:r>
          <w:rPr>
            <w:rFonts w:ascii="Times New Roman" w:eastAsia="Times New Roman" w:hAnsi="Times New Roman"/>
            <w:position w:val="11"/>
            <w:sz w:val="16"/>
            <w:szCs w:val="16"/>
          </w:rPr>
          <w:t>3</w:t>
        </w:r>
      </w:hyperlink>
      <w:r>
        <w:rPr>
          <w:rFonts w:ascii="Times New Roman" w:eastAsia="Times New Roman" w:hAnsi="Times New Roman"/>
          <w:sz w:val="24"/>
          <w:szCs w:val="24"/>
        </w:rPr>
        <w:t xml:space="preserve">. No primeiro grupo encontram-se todos os parlamentares que </w:t>
      </w:r>
      <w:r>
        <w:rPr>
          <w:rFonts w:ascii="Times New Roman" w:eastAsia="Times New Roman" w:hAnsi="Times New Roman"/>
          <w:i/>
          <w:sz w:val="24"/>
          <w:szCs w:val="24"/>
        </w:rPr>
        <w:t xml:space="preserve">nunca foram relacionados na lista do DIAP </w:t>
      </w:r>
      <w:r>
        <w:rPr>
          <w:rFonts w:ascii="Times New Roman" w:eastAsia="Times New Roman" w:hAnsi="Times New Roman"/>
          <w:sz w:val="24"/>
          <w:szCs w:val="24"/>
        </w:rPr>
        <w:t xml:space="preserve">e </w:t>
      </w:r>
      <w:r>
        <w:rPr>
          <w:rFonts w:ascii="Times New Roman" w:eastAsia="Times New Roman" w:hAnsi="Times New Roman"/>
          <w:i/>
          <w:sz w:val="24"/>
          <w:szCs w:val="24"/>
        </w:rPr>
        <w:t>nunca ocuparam nenhum cargo de liderança ou na mesa da Câmara</w:t>
      </w:r>
      <w:r>
        <w:rPr>
          <w:rFonts w:ascii="Times New Roman" w:eastAsia="Times New Roman" w:hAnsi="Times New Roman"/>
          <w:sz w:val="24"/>
          <w:szCs w:val="24"/>
        </w:rPr>
        <w:t xml:space="preserve">. Por medalhões ou alto clero, foram denominados todos os parlamentares </w:t>
      </w:r>
      <w:r>
        <w:rPr>
          <w:rFonts w:ascii="Times New Roman" w:eastAsia="Times New Roman" w:hAnsi="Times New Roman"/>
          <w:i/>
          <w:sz w:val="24"/>
          <w:szCs w:val="24"/>
        </w:rPr>
        <w:t xml:space="preserve">indicados pelo menos uma vez como “cabeça do congresso” </w:t>
      </w:r>
      <w:r>
        <w:rPr>
          <w:rFonts w:ascii="Times New Roman" w:eastAsia="Times New Roman" w:hAnsi="Times New Roman"/>
          <w:sz w:val="24"/>
          <w:szCs w:val="24"/>
        </w:rPr>
        <w:t xml:space="preserve">e/ou que </w:t>
      </w:r>
      <w:r>
        <w:rPr>
          <w:rFonts w:ascii="Times New Roman" w:eastAsia="Times New Roman" w:hAnsi="Times New Roman"/>
          <w:i/>
          <w:sz w:val="24"/>
          <w:szCs w:val="24"/>
        </w:rPr>
        <w:t>ocuparam algum</w:t>
      </w:r>
      <w:r>
        <w:rPr>
          <w:rFonts w:ascii="Times New Roman" w:eastAsia="Times New Roman" w:hAnsi="Times New Roman"/>
          <w:i/>
          <w:spacing w:val="-1"/>
          <w:sz w:val="24"/>
          <w:szCs w:val="24"/>
        </w:rPr>
        <w:t xml:space="preserve"> </w:t>
      </w:r>
      <w:r>
        <w:rPr>
          <w:rFonts w:ascii="Times New Roman" w:eastAsia="Times New Roman" w:hAnsi="Times New Roman"/>
          <w:i/>
          <w:spacing w:val="3"/>
          <w:sz w:val="24"/>
          <w:szCs w:val="24"/>
        </w:rPr>
        <w:t>cargo</w:t>
      </w:r>
      <w:hyperlink w:anchor="_bookmark3" w:history="1">
        <w:r>
          <w:rPr>
            <w:rFonts w:ascii="Times New Roman" w:eastAsia="Times New Roman" w:hAnsi="Times New Roman"/>
            <w:i/>
            <w:spacing w:val="3"/>
            <w:position w:val="11"/>
            <w:sz w:val="16"/>
            <w:szCs w:val="16"/>
          </w:rPr>
          <w:t>4</w:t>
        </w:r>
      </w:hyperlink>
      <w:r>
        <w:rPr>
          <w:rFonts w:ascii="Times New Roman" w:eastAsia="Times New Roman" w:hAnsi="Times New Roman"/>
          <w:spacing w:val="3"/>
          <w:sz w:val="24"/>
          <w:szCs w:val="24"/>
        </w:rPr>
        <w:t>.</w:t>
      </w:r>
    </w:p>
    <w:p w:rsidR="0088415B" w:rsidRDefault="0088415B" w:rsidP="0088415B">
      <w:pPr>
        <w:spacing w:before="69" w:line="350" w:lineRule="auto"/>
        <w:ind w:left="178" w:right="173" w:firstLine="709"/>
        <w:rPr>
          <w:rFonts w:ascii="Times New Roman" w:eastAsia="Times New Roman" w:hAnsi="Times New Roman"/>
          <w:sz w:val="24"/>
          <w:szCs w:val="24"/>
        </w:rPr>
      </w:pPr>
    </w:p>
    <w:p w:rsidR="0088415B" w:rsidRDefault="0088415B" w:rsidP="0088415B">
      <w:pPr>
        <w:spacing w:before="8" w:line="240" w:lineRule="auto"/>
        <w:rPr>
          <w:rFonts w:ascii="Times New Roman" w:eastAsia="Times New Roman" w:hAnsi="Times New Roman"/>
          <w:sz w:val="19"/>
          <w:szCs w:val="19"/>
        </w:rPr>
      </w:pPr>
      <w:r w:rsidRPr="0088415B">
        <w:rPr>
          <w:lang w:val="en-US"/>
        </w:rPr>
        <w:pict>
          <v:group id="_x0000_s1030" style="position:absolute;left:0;text-align:left;margin-left:70.9pt;margin-top:17.75pt;width:2in;height:.1pt;z-index:251618816;mso-wrap-distance-left:0;mso-wrap-distance-right:0;mso-position-horizontal-relative:page" coordorigin="1418,355" coordsize="2880,2">
            <v:shape id="_x0000_s1031" style="position:absolute;left:1418;top:355;width:2880;height:2" coordorigin="1418,355" coordsize="2880,0" path="m1418,355r2880,e" filled="f" strokeweight=".6pt">
              <v:path arrowok="t"/>
            </v:shape>
            <w10:wrap type="topAndBottom" anchorx="page"/>
          </v:group>
        </w:pict>
      </w:r>
      <w:bookmarkStart w:id="2" w:name="_bookmark2"/>
      <w:bookmarkEnd w:id="2"/>
      <w:r>
        <w:rPr>
          <w:rFonts w:ascii="Times New Roman" w:eastAsia="Times New Roman" w:hAnsi="Times New Roman"/>
          <w:position w:val="9"/>
          <w:sz w:val="13"/>
          <w:szCs w:val="13"/>
        </w:rPr>
        <w:t xml:space="preserve">3  </w:t>
      </w:r>
      <w:r>
        <w:rPr>
          <w:rFonts w:ascii="Times New Roman" w:eastAsia="Times New Roman" w:hAnsi="Times New Roman"/>
          <w:sz w:val="19"/>
          <w:szCs w:val="19"/>
        </w:rPr>
        <w:t>Não se pretende com a distinção supracitada estabelecer de forma objetiva a distribuição de capital no campo  político. O objetivo é somente estabelecer uma divisão esquemática que indique algumas possíveis continuidades nos processos de acumulação de capital político. A divisão dos deputados em “baixo clero” e “medalhões” é inspirada no trabalho de Carneiro de Campos (2006), parte da mesma pesquisa que originou o presente</w:t>
      </w:r>
      <w:r>
        <w:rPr>
          <w:rFonts w:ascii="Times New Roman" w:eastAsia="Times New Roman" w:hAnsi="Times New Roman"/>
          <w:spacing w:val="-16"/>
          <w:sz w:val="19"/>
          <w:szCs w:val="19"/>
        </w:rPr>
        <w:t xml:space="preserve"> </w:t>
      </w:r>
      <w:r>
        <w:rPr>
          <w:rFonts w:ascii="Times New Roman" w:eastAsia="Times New Roman" w:hAnsi="Times New Roman"/>
          <w:sz w:val="19"/>
          <w:szCs w:val="19"/>
        </w:rPr>
        <w:t>artigo.</w:t>
      </w:r>
    </w:p>
    <w:p w:rsidR="0088415B" w:rsidRDefault="0088415B" w:rsidP="0088415B">
      <w:pPr>
        <w:spacing w:before="8" w:line="240" w:lineRule="auto"/>
        <w:ind w:left="178" w:right="208" w:hanging="1"/>
        <w:rPr>
          <w:rFonts w:ascii="Times New Roman" w:eastAsia="Times New Roman" w:hAnsi="Times New Roman"/>
          <w:sz w:val="19"/>
          <w:szCs w:val="19"/>
        </w:rPr>
      </w:pPr>
      <w:bookmarkStart w:id="3" w:name="_bookmark3"/>
      <w:bookmarkEnd w:id="3"/>
      <w:r>
        <w:rPr>
          <w:rFonts w:ascii="Times New Roman" w:eastAsia="Times New Roman" w:hAnsi="Times New Roman"/>
          <w:position w:val="9"/>
          <w:sz w:val="13"/>
          <w:szCs w:val="13"/>
        </w:rPr>
        <w:t xml:space="preserve">4 </w:t>
      </w:r>
      <w:r>
        <w:rPr>
          <w:rFonts w:ascii="Times New Roman" w:eastAsia="Times New Roman" w:hAnsi="Times New Roman"/>
          <w:sz w:val="19"/>
          <w:szCs w:val="19"/>
        </w:rPr>
        <w:t>Para fins de simplificação, foram considerados “cargos políticos relevantes” os cinco seguintes: líder ou vice-líder do governo, líder partidário, membro da Mesa Diretora e presidente de</w:t>
      </w:r>
      <w:r>
        <w:rPr>
          <w:rFonts w:ascii="Times New Roman" w:eastAsia="Times New Roman" w:hAnsi="Times New Roman"/>
          <w:spacing w:val="-14"/>
          <w:sz w:val="19"/>
          <w:szCs w:val="19"/>
        </w:rPr>
        <w:t xml:space="preserve"> </w:t>
      </w:r>
      <w:r>
        <w:rPr>
          <w:rFonts w:ascii="Times New Roman" w:eastAsia="Times New Roman" w:hAnsi="Times New Roman"/>
          <w:sz w:val="19"/>
          <w:szCs w:val="19"/>
        </w:rPr>
        <w:t>Comissão.</w:t>
      </w:r>
    </w:p>
    <w:p w:rsidR="0088415B" w:rsidRDefault="0088415B" w:rsidP="0088415B">
      <w:pPr>
        <w:spacing w:line="222" w:lineRule="exact"/>
        <w:rPr>
          <w:rFonts w:ascii="Times New Roman" w:eastAsia="Times New Roman" w:hAnsi="Times New Roman"/>
          <w:sz w:val="19"/>
          <w:szCs w:val="19"/>
        </w:rPr>
        <w:sectPr w:rsidR="0088415B">
          <w:pgSz w:w="11910" w:h="16840"/>
          <w:pgMar w:top="920" w:right="1240" w:bottom="280" w:left="124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right="113"/>
        <w:jc w:val="both"/>
      </w:pPr>
      <w:r>
        <w:t xml:space="preserve">Buscando compreender o que distingue o alto clero no campo em que se inserem, comparou-se seus temas de preferência com os dos deputados do baixo claro. Assim, mais uma vez foi confirmada a vinculação do prestígio político com questões de </w:t>
      </w:r>
      <w:r>
        <w:rPr>
          <w:i/>
        </w:rPr>
        <w:t>hard politics</w:t>
      </w:r>
      <w:r>
        <w:t xml:space="preserve">. A inclinação dos medalhões por esses assuntos, de alguma maneira, mostra que à medida que o capital político do parlamentar “cresce” este passa a se dedicar mais à política </w:t>
      </w:r>
      <w:r>
        <w:rPr>
          <w:i/>
        </w:rPr>
        <w:t>hard</w:t>
      </w:r>
      <w:r>
        <w:t xml:space="preserve">. A hipótese que se levanta é que são estes temas que possuem maior potencial de conferir capital político, enquanto os temas sociais ou </w:t>
      </w:r>
      <w:r>
        <w:rPr>
          <w:i/>
        </w:rPr>
        <w:t xml:space="preserve">soft politics </w:t>
      </w:r>
      <w:r>
        <w:t>poderiam ser um nicho temático interessante para iniciantes ou, de maneira mais geral, para aqueles que, encontrando-se nas posições periféricas do campo político, buscam seu espaço de visibilidade em questões que são menos disputadas ou para as quais a disputa é menos</w:t>
      </w:r>
      <w:r>
        <w:rPr>
          <w:spacing w:val="-29"/>
        </w:rPr>
        <w:t xml:space="preserve"> </w:t>
      </w:r>
      <w:r>
        <w:t>qualificada.</w:t>
      </w:r>
    </w:p>
    <w:p w:rsidR="0088415B" w:rsidRDefault="0088415B" w:rsidP="0088415B">
      <w:pPr>
        <w:pStyle w:val="Corpodetexto"/>
        <w:spacing w:line="360" w:lineRule="auto"/>
        <w:ind w:right="112"/>
        <w:jc w:val="both"/>
      </w:pPr>
      <w:r>
        <w:t xml:space="preserve">A hipótese aventada é reforçada por meio da analise de cada “casta” por sexo e área temática (tabelas 8 e 9). As mulheres pertencentes ao baixo clero falam pouco menos que os homens sobre matérias da política </w:t>
      </w:r>
      <w:r>
        <w:rPr>
          <w:i/>
        </w:rPr>
        <w:t>hard</w:t>
      </w:r>
      <w:r>
        <w:t xml:space="preserve">, uma diferença de 6,6 pontos percentuais, sendo que, entres os medalhões, elas despontam com 4,1 pontos à frente dos deputados. As questões ligadas à </w:t>
      </w:r>
      <w:r>
        <w:rPr>
          <w:i/>
        </w:rPr>
        <w:t>soft politcs</w:t>
      </w:r>
      <w:r>
        <w:t>, apesar de decair mais de 10 pontos da casta de maior para a de menor hierarquia, têm a sua diferença entre os sexos conservada. Em ambos os grupos existe uma disparidade em torno de 16 pontos a mais para as parlamentares que abordam as políticas</w:t>
      </w:r>
      <w:r>
        <w:rPr>
          <w:spacing w:val="-19"/>
        </w:rPr>
        <w:t xml:space="preserve"> </w:t>
      </w:r>
      <w:r>
        <w:rPr>
          <w:i/>
        </w:rPr>
        <w:t>soft</w:t>
      </w:r>
      <w:r>
        <w:t>.</w:t>
      </w:r>
    </w:p>
    <w:p w:rsidR="0088415B" w:rsidRDefault="0088415B" w:rsidP="0088415B">
      <w:pPr>
        <w:spacing w:before="188" w:after="4"/>
        <w:ind w:left="908"/>
        <w:rPr>
          <w:rFonts w:ascii="Arial" w:eastAsia="Arial" w:hAnsi="Arial" w:cs="Arial"/>
          <w:sz w:val="18"/>
          <w:szCs w:val="18"/>
        </w:rPr>
      </w:pPr>
      <w:r>
        <w:rPr>
          <w:rFonts w:ascii="Arial" w:eastAsia="Arial" w:hAnsi="Arial" w:cs="Arial"/>
          <w:b/>
          <w:bCs/>
          <w:sz w:val="18"/>
          <w:szCs w:val="18"/>
        </w:rPr>
        <w:t>Tabela</w:t>
      </w:r>
      <w:r>
        <w:rPr>
          <w:rFonts w:ascii="Arial" w:eastAsia="Arial" w:hAnsi="Arial" w:cs="Arial"/>
          <w:b/>
          <w:bCs/>
          <w:spacing w:val="-4"/>
          <w:sz w:val="18"/>
          <w:szCs w:val="18"/>
        </w:rPr>
        <w:t xml:space="preserve"> </w:t>
      </w:r>
      <w:r>
        <w:rPr>
          <w:rFonts w:ascii="Arial" w:eastAsia="Arial" w:hAnsi="Arial" w:cs="Arial"/>
          <w:b/>
          <w:bCs/>
          <w:sz w:val="18"/>
          <w:szCs w:val="18"/>
        </w:rPr>
        <w:t>8</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z w:val="18"/>
          <w:szCs w:val="18"/>
        </w:rPr>
        <w:t>Área</w:t>
      </w:r>
      <w:r>
        <w:rPr>
          <w:rFonts w:ascii="Arial" w:eastAsia="Arial" w:hAnsi="Arial" w:cs="Arial"/>
          <w:spacing w:val="-4"/>
          <w:sz w:val="18"/>
          <w:szCs w:val="18"/>
        </w:rPr>
        <w:t xml:space="preserve"> </w:t>
      </w:r>
      <w:r>
        <w:rPr>
          <w:rFonts w:ascii="Arial" w:eastAsia="Arial" w:hAnsi="Arial" w:cs="Arial"/>
          <w:sz w:val="18"/>
          <w:szCs w:val="18"/>
        </w:rPr>
        <w:t>temática</w:t>
      </w:r>
      <w:r>
        <w:rPr>
          <w:rFonts w:ascii="Arial" w:eastAsia="Arial" w:hAnsi="Arial" w:cs="Arial"/>
          <w:spacing w:val="-4"/>
          <w:sz w:val="18"/>
          <w:szCs w:val="18"/>
        </w:rPr>
        <w:t xml:space="preserve"> </w:t>
      </w:r>
      <w:r>
        <w:rPr>
          <w:rFonts w:ascii="Arial" w:eastAsia="Arial" w:hAnsi="Arial" w:cs="Arial"/>
          <w:sz w:val="18"/>
          <w:szCs w:val="18"/>
        </w:rPr>
        <w:t>dos</w:t>
      </w:r>
      <w:r>
        <w:rPr>
          <w:rFonts w:ascii="Arial" w:eastAsia="Arial" w:hAnsi="Arial" w:cs="Arial"/>
          <w:spacing w:val="-4"/>
          <w:sz w:val="18"/>
          <w:szCs w:val="18"/>
        </w:rPr>
        <w:t xml:space="preserve"> </w:t>
      </w:r>
      <w:r>
        <w:rPr>
          <w:rFonts w:ascii="Arial" w:eastAsia="Arial" w:hAnsi="Arial" w:cs="Arial"/>
          <w:sz w:val="18"/>
          <w:szCs w:val="18"/>
        </w:rPr>
        <w:t>discursos</w:t>
      </w:r>
      <w:r>
        <w:rPr>
          <w:rFonts w:ascii="Arial" w:eastAsia="Arial" w:hAnsi="Arial" w:cs="Arial"/>
          <w:spacing w:val="-4"/>
          <w:sz w:val="18"/>
          <w:szCs w:val="18"/>
        </w:rPr>
        <w:t xml:space="preserve"> </w:t>
      </w:r>
      <w:r>
        <w:rPr>
          <w:rFonts w:ascii="Arial" w:eastAsia="Arial" w:hAnsi="Arial" w:cs="Arial"/>
          <w:sz w:val="18"/>
          <w:szCs w:val="18"/>
        </w:rPr>
        <w:t>dos</w:t>
      </w:r>
      <w:r>
        <w:rPr>
          <w:rFonts w:ascii="Arial" w:eastAsia="Arial" w:hAnsi="Arial" w:cs="Arial"/>
          <w:spacing w:val="-4"/>
          <w:sz w:val="18"/>
          <w:szCs w:val="18"/>
        </w:rPr>
        <w:t xml:space="preserve"> </w:t>
      </w:r>
      <w:r>
        <w:rPr>
          <w:rFonts w:ascii="Arial" w:eastAsia="Arial" w:hAnsi="Arial" w:cs="Arial"/>
          <w:sz w:val="18"/>
          <w:szCs w:val="18"/>
        </w:rPr>
        <w:t>oradores</w:t>
      </w:r>
      <w:r>
        <w:rPr>
          <w:rFonts w:ascii="Arial" w:eastAsia="Arial" w:hAnsi="Arial" w:cs="Arial"/>
          <w:spacing w:val="-4"/>
          <w:sz w:val="18"/>
          <w:szCs w:val="18"/>
        </w:rPr>
        <w:t xml:space="preserve"> </w:t>
      </w:r>
      <w:r>
        <w:rPr>
          <w:rFonts w:ascii="Arial" w:eastAsia="Arial" w:hAnsi="Arial" w:cs="Arial"/>
          <w:sz w:val="18"/>
          <w:szCs w:val="18"/>
        </w:rPr>
        <w:t>do</w:t>
      </w:r>
      <w:r>
        <w:rPr>
          <w:rFonts w:ascii="Arial" w:eastAsia="Arial" w:hAnsi="Arial" w:cs="Arial"/>
          <w:spacing w:val="-4"/>
          <w:sz w:val="18"/>
          <w:szCs w:val="18"/>
        </w:rPr>
        <w:t xml:space="preserve"> </w:t>
      </w:r>
      <w:r>
        <w:rPr>
          <w:rFonts w:ascii="Arial" w:eastAsia="Arial" w:hAnsi="Arial" w:cs="Arial"/>
          <w:sz w:val="18"/>
          <w:szCs w:val="18"/>
        </w:rPr>
        <w:t>“baixo</w:t>
      </w:r>
      <w:r>
        <w:rPr>
          <w:rFonts w:ascii="Arial" w:eastAsia="Arial" w:hAnsi="Arial" w:cs="Arial"/>
          <w:spacing w:val="-4"/>
          <w:sz w:val="18"/>
          <w:szCs w:val="18"/>
        </w:rPr>
        <w:t xml:space="preserve"> </w:t>
      </w:r>
      <w:r>
        <w:rPr>
          <w:rFonts w:ascii="Arial" w:eastAsia="Arial" w:hAnsi="Arial" w:cs="Arial"/>
          <w:sz w:val="18"/>
          <w:szCs w:val="18"/>
        </w:rPr>
        <w:t>clero”,</w:t>
      </w:r>
      <w:r>
        <w:rPr>
          <w:rFonts w:ascii="Arial" w:eastAsia="Arial" w:hAnsi="Arial" w:cs="Arial"/>
          <w:spacing w:val="-4"/>
          <w:sz w:val="18"/>
          <w:szCs w:val="18"/>
        </w:rPr>
        <w:t xml:space="preserve"> </w:t>
      </w:r>
      <w:r>
        <w:rPr>
          <w:rFonts w:ascii="Arial" w:eastAsia="Arial" w:hAnsi="Arial" w:cs="Arial"/>
          <w:sz w:val="18"/>
          <w:szCs w:val="18"/>
        </w:rPr>
        <w:t>por</w:t>
      </w:r>
      <w:r>
        <w:rPr>
          <w:rFonts w:ascii="Arial" w:eastAsia="Arial" w:hAnsi="Arial" w:cs="Arial"/>
          <w:spacing w:val="-4"/>
          <w:sz w:val="18"/>
          <w:szCs w:val="18"/>
        </w:rPr>
        <w:t xml:space="preserve"> </w:t>
      </w:r>
      <w:r>
        <w:rPr>
          <w:rFonts w:ascii="Arial" w:eastAsia="Arial" w:hAnsi="Arial" w:cs="Arial"/>
          <w:sz w:val="18"/>
          <w:szCs w:val="18"/>
        </w:rPr>
        <w:t>sexo</w:t>
      </w:r>
      <w:r>
        <w:rPr>
          <w:rFonts w:ascii="Arial" w:eastAsia="Arial" w:hAnsi="Arial" w:cs="Arial"/>
          <w:spacing w:val="-4"/>
          <w:sz w:val="18"/>
          <w:szCs w:val="18"/>
        </w:rPr>
        <w:t xml:space="preserve"> </w:t>
      </w:r>
      <w:r>
        <w:rPr>
          <w:rFonts w:ascii="Arial" w:eastAsia="Arial" w:hAnsi="Arial" w:cs="Arial"/>
          <w:sz w:val="18"/>
          <w:szCs w:val="18"/>
        </w:rPr>
        <w:t>do</w:t>
      </w:r>
      <w:r>
        <w:rPr>
          <w:rFonts w:ascii="Arial" w:eastAsia="Arial" w:hAnsi="Arial" w:cs="Arial"/>
          <w:spacing w:val="-4"/>
          <w:sz w:val="18"/>
          <w:szCs w:val="18"/>
        </w:rPr>
        <w:t xml:space="preserve"> </w:t>
      </w:r>
      <w:r>
        <w:rPr>
          <w:rFonts w:ascii="Arial" w:eastAsia="Arial" w:hAnsi="Arial" w:cs="Arial"/>
          <w:sz w:val="18"/>
          <w:szCs w:val="18"/>
        </w:rPr>
        <w:t>orador</w:t>
      </w:r>
    </w:p>
    <w:tbl>
      <w:tblPr>
        <w:tblW w:w="0" w:type="auto"/>
        <w:tblInd w:w="838" w:type="dxa"/>
        <w:tblLayout w:type="fixed"/>
        <w:tblCellMar>
          <w:left w:w="0" w:type="dxa"/>
          <w:right w:w="0" w:type="dxa"/>
        </w:tblCellMar>
        <w:tblLook w:val="01E0"/>
      </w:tblPr>
      <w:tblGrid>
        <w:gridCol w:w="2302"/>
        <w:gridCol w:w="1728"/>
        <w:gridCol w:w="1800"/>
        <w:gridCol w:w="1793"/>
      </w:tblGrid>
      <w:tr w:rsidR="0088415B" w:rsidTr="00505E82">
        <w:trPr>
          <w:trHeight w:hRule="exact" w:val="236"/>
        </w:trPr>
        <w:tc>
          <w:tcPr>
            <w:tcW w:w="2302"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728"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mulheres</w:t>
            </w:r>
          </w:p>
        </w:tc>
        <w:tc>
          <w:tcPr>
            <w:tcW w:w="180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homens</w:t>
            </w:r>
          </w:p>
        </w:tc>
        <w:tc>
          <w:tcPr>
            <w:tcW w:w="1793"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340" w:right="337"/>
              <w:jc w:val="center"/>
              <w:rPr>
                <w:rFonts w:ascii="Arial" w:eastAsia="Arial" w:hAnsi="Arial" w:cs="Arial"/>
                <w:sz w:val="18"/>
                <w:szCs w:val="18"/>
              </w:rPr>
            </w:pPr>
            <w:r w:rsidRPr="00505E82">
              <w:rPr>
                <w:rFonts w:ascii="Arial"/>
                <w:sz w:val="18"/>
              </w:rPr>
              <w:t>total</w:t>
            </w:r>
          </w:p>
        </w:tc>
      </w:tr>
      <w:tr w:rsidR="0088415B" w:rsidTr="00505E82">
        <w:trPr>
          <w:trHeight w:hRule="exact" w:val="227"/>
        </w:trPr>
        <w:tc>
          <w:tcPr>
            <w:tcW w:w="2302"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1728"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59,5%</w:t>
            </w:r>
            <w:r w:rsidRPr="00505E82">
              <w:rPr>
                <w:rFonts w:ascii="Arial"/>
                <w:spacing w:val="-9"/>
                <w:sz w:val="18"/>
              </w:rPr>
              <w:t xml:space="preserve"> </w:t>
            </w:r>
            <w:r w:rsidRPr="00505E82">
              <w:rPr>
                <w:rFonts w:ascii="Arial"/>
                <w:sz w:val="18"/>
              </w:rPr>
              <w:t>(362)</w:t>
            </w:r>
          </w:p>
        </w:tc>
        <w:tc>
          <w:tcPr>
            <w:tcW w:w="180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66,1%</w:t>
            </w:r>
            <w:r w:rsidRPr="00505E82">
              <w:rPr>
                <w:rFonts w:ascii="Arial"/>
                <w:spacing w:val="-9"/>
                <w:sz w:val="18"/>
              </w:rPr>
              <w:t xml:space="preserve"> </w:t>
            </w:r>
            <w:r w:rsidRPr="00505E82">
              <w:rPr>
                <w:rFonts w:ascii="Arial"/>
                <w:sz w:val="18"/>
              </w:rPr>
              <w:t>(4402)</w:t>
            </w:r>
          </w:p>
        </w:tc>
        <w:tc>
          <w:tcPr>
            <w:tcW w:w="179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1" w:right="337"/>
              <w:jc w:val="center"/>
              <w:rPr>
                <w:rFonts w:ascii="Arial" w:eastAsia="Arial" w:hAnsi="Arial" w:cs="Arial"/>
                <w:sz w:val="18"/>
                <w:szCs w:val="18"/>
              </w:rPr>
            </w:pPr>
            <w:r w:rsidRPr="00505E82">
              <w:rPr>
                <w:rFonts w:ascii="Arial"/>
                <w:sz w:val="18"/>
              </w:rPr>
              <w:t>65,5%</w:t>
            </w:r>
            <w:r w:rsidRPr="00505E82">
              <w:rPr>
                <w:rFonts w:ascii="Arial"/>
                <w:spacing w:val="-9"/>
                <w:sz w:val="18"/>
              </w:rPr>
              <w:t xml:space="preserve"> </w:t>
            </w:r>
            <w:r w:rsidRPr="00505E82">
              <w:rPr>
                <w:rFonts w:ascii="Arial"/>
                <w:sz w:val="18"/>
              </w:rPr>
              <w:t>(4764)</w:t>
            </w:r>
          </w:p>
        </w:tc>
      </w:tr>
      <w:tr w:rsidR="0088415B" w:rsidTr="00505E82">
        <w:trPr>
          <w:trHeight w:hRule="exact" w:val="217"/>
        </w:trPr>
        <w:tc>
          <w:tcPr>
            <w:tcW w:w="2302"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35,2%</w:t>
            </w:r>
            <w:r w:rsidRPr="00505E82">
              <w:rPr>
                <w:rFonts w:ascii="Arial"/>
                <w:spacing w:val="-9"/>
                <w:sz w:val="18"/>
              </w:rPr>
              <w:t xml:space="preserve"> </w:t>
            </w:r>
            <w:r w:rsidRPr="00505E82">
              <w:rPr>
                <w:rFonts w:ascii="Arial"/>
                <w:sz w:val="18"/>
              </w:rPr>
              <w:t>(214)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3"/>
              <w:jc w:val="center"/>
              <w:rPr>
                <w:rFonts w:ascii="Arial" w:eastAsia="Arial" w:hAnsi="Arial" w:cs="Arial"/>
                <w:sz w:val="18"/>
                <w:szCs w:val="18"/>
              </w:rPr>
            </w:pPr>
            <w:r w:rsidRPr="00505E82">
              <w:rPr>
                <w:rFonts w:ascii="Arial"/>
                <w:sz w:val="18"/>
              </w:rPr>
              <w:t>30,9%</w:t>
            </w:r>
            <w:r w:rsidRPr="00505E82">
              <w:rPr>
                <w:rFonts w:ascii="Arial"/>
                <w:spacing w:val="-8"/>
                <w:sz w:val="18"/>
              </w:rPr>
              <w:t xml:space="preserve"> </w:t>
            </w:r>
            <w:r w:rsidRPr="00505E82">
              <w:rPr>
                <w:rFonts w:ascii="Arial"/>
                <w:sz w:val="18"/>
              </w:rPr>
              <w:t>(2059)</w:t>
            </w:r>
          </w:p>
        </w:tc>
        <w:tc>
          <w:tcPr>
            <w:tcW w:w="17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0" w:right="337"/>
              <w:jc w:val="center"/>
              <w:rPr>
                <w:rFonts w:ascii="Arial" w:eastAsia="Arial" w:hAnsi="Arial" w:cs="Arial"/>
                <w:sz w:val="18"/>
                <w:szCs w:val="18"/>
              </w:rPr>
            </w:pPr>
            <w:r w:rsidRPr="00505E82">
              <w:rPr>
                <w:rFonts w:ascii="Arial"/>
                <w:sz w:val="18"/>
              </w:rPr>
              <w:t>31,3%</w:t>
            </w:r>
            <w:r w:rsidRPr="00505E82">
              <w:rPr>
                <w:rFonts w:ascii="Arial"/>
                <w:spacing w:val="-9"/>
                <w:sz w:val="18"/>
              </w:rPr>
              <w:t xml:space="preserve"> </w:t>
            </w:r>
            <w:r w:rsidRPr="00505E82">
              <w:rPr>
                <w:rFonts w:ascii="Arial"/>
                <w:sz w:val="18"/>
              </w:rPr>
              <w:t>(2273)</w:t>
            </w:r>
          </w:p>
        </w:tc>
      </w:tr>
      <w:tr w:rsidR="0088415B" w:rsidTr="00505E82">
        <w:trPr>
          <w:trHeight w:hRule="exact" w:val="217"/>
        </w:trPr>
        <w:tc>
          <w:tcPr>
            <w:tcW w:w="2302"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49,8%</w:t>
            </w:r>
            <w:r w:rsidRPr="00505E82">
              <w:rPr>
                <w:rFonts w:ascii="Arial"/>
                <w:spacing w:val="-9"/>
                <w:sz w:val="18"/>
              </w:rPr>
              <w:t xml:space="preserve"> </w:t>
            </w:r>
            <w:r w:rsidRPr="00505E82">
              <w:rPr>
                <w:rFonts w:ascii="Arial"/>
                <w:sz w:val="18"/>
              </w:rPr>
              <w:t>(303)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33,6%</w:t>
            </w:r>
            <w:r w:rsidRPr="00505E82">
              <w:rPr>
                <w:rFonts w:ascii="Arial"/>
                <w:spacing w:val="-9"/>
                <w:sz w:val="18"/>
              </w:rPr>
              <w:t xml:space="preserve"> </w:t>
            </w:r>
            <w:r w:rsidRPr="00505E82">
              <w:rPr>
                <w:rFonts w:ascii="Arial"/>
                <w:sz w:val="18"/>
              </w:rPr>
              <w:t>(2240)</w:t>
            </w:r>
          </w:p>
        </w:tc>
        <w:tc>
          <w:tcPr>
            <w:tcW w:w="17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2" w:right="336"/>
              <w:jc w:val="center"/>
              <w:rPr>
                <w:rFonts w:ascii="Arial" w:eastAsia="Arial" w:hAnsi="Arial" w:cs="Arial"/>
                <w:sz w:val="18"/>
                <w:szCs w:val="18"/>
              </w:rPr>
            </w:pPr>
            <w:r w:rsidRPr="00505E82">
              <w:rPr>
                <w:rFonts w:ascii="Arial"/>
                <w:sz w:val="18"/>
              </w:rPr>
              <w:t>35,0%</w:t>
            </w:r>
            <w:r w:rsidRPr="00505E82">
              <w:rPr>
                <w:rFonts w:ascii="Arial"/>
                <w:spacing w:val="-9"/>
                <w:sz w:val="18"/>
              </w:rPr>
              <w:t xml:space="preserve"> </w:t>
            </w:r>
            <w:r w:rsidRPr="00505E82">
              <w:rPr>
                <w:rFonts w:ascii="Arial"/>
                <w:sz w:val="18"/>
              </w:rPr>
              <w:t>(2543)</w:t>
            </w:r>
          </w:p>
        </w:tc>
      </w:tr>
      <w:tr w:rsidR="0088415B" w:rsidTr="00505E82">
        <w:trPr>
          <w:trHeight w:hRule="exact" w:val="216"/>
        </w:trPr>
        <w:tc>
          <w:tcPr>
            <w:tcW w:w="2302"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irrelevantes e</w:t>
            </w:r>
            <w:r w:rsidRPr="00505E82">
              <w:rPr>
                <w:rFonts w:ascii="Arial"/>
                <w:spacing w:val="-15"/>
                <w:sz w:val="18"/>
              </w:rPr>
              <w:t xml:space="preserve"> </w:t>
            </w:r>
            <w:r w:rsidRPr="00505E82">
              <w:rPr>
                <w:rFonts w:ascii="Arial"/>
                <w:sz w:val="18"/>
              </w:rPr>
              <w:t>outros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7"/>
              <w:jc w:val="center"/>
              <w:rPr>
                <w:rFonts w:ascii="Arial" w:eastAsia="Arial" w:hAnsi="Arial" w:cs="Arial"/>
                <w:sz w:val="18"/>
                <w:szCs w:val="18"/>
              </w:rPr>
            </w:pPr>
            <w:r w:rsidRPr="00505E82">
              <w:rPr>
                <w:rFonts w:ascii="Arial"/>
                <w:sz w:val="18"/>
              </w:rPr>
              <w:t>11,3%</w:t>
            </w:r>
            <w:r w:rsidRPr="00505E82">
              <w:rPr>
                <w:rFonts w:ascii="Arial"/>
                <w:spacing w:val="-8"/>
                <w:sz w:val="18"/>
              </w:rPr>
              <w:t xml:space="preserve"> </w:t>
            </w:r>
            <w:r w:rsidRPr="00505E82">
              <w:rPr>
                <w:rFonts w:ascii="Arial"/>
                <w:sz w:val="18"/>
              </w:rPr>
              <w:t>(69)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3"/>
              <w:jc w:val="center"/>
              <w:rPr>
                <w:rFonts w:ascii="Arial" w:eastAsia="Arial" w:hAnsi="Arial" w:cs="Arial"/>
                <w:sz w:val="18"/>
                <w:szCs w:val="18"/>
              </w:rPr>
            </w:pPr>
            <w:r w:rsidRPr="00505E82">
              <w:rPr>
                <w:rFonts w:ascii="Arial"/>
                <w:sz w:val="18"/>
              </w:rPr>
              <w:t>17,6%</w:t>
            </w:r>
            <w:r w:rsidRPr="00505E82">
              <w:rPr>
                <w:rFonts w:ascii="Arial"/>
                <w:spacing w:val="-9"/>
                <w:sz w:val="18"/>
              </w:rPr>
              <w:t xml:space="preserve"> </w:t>
            </w:r>
            <w:r w:rsidRPr="00505E82">
              <w:rPr>
                <w:rFonts w:ascii="Arial"/>
                <w:sz w:val="18"/>
              </w:rPr>
              <w:t>(1171)</w:t>
            </w:r>
          </w:p>
        </w:tc>
        <w:tc>
          <w:tcPr>
            <w:tcW w:w="17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0" w:right="337"/>
              <w:jc w:val="center"/>
              <w:rPr>
                <w:rFonts w:ascii="Arial" w:eastAsia="Arial" w:hAnsi="Arial" w:cs="Arial"/>
                <w:sz w:val="18"/>
                <w:szCs w:val="18"/>
              </w:rPr>
            </w:pPr>
            <w:r w:rsidRPr="00505E82">
              <w:rPr>
                <w:rFonts w:ascii="Arial"/>
                <w:sz w:val="18"/>
              </w:rPr>
              <w:t>17,1%</w:t>
            </w:r>
            <w:r w:rsidRPr="00505E82">
              <w:rPr>
                <w:rFonts w:ascii="Arial"/>
                <w:spacing w:val="-9"/>
                <w:sz w:val="18"/>
              </w:rPr>
              <w:t xml:space="preserve"> </w:t>
            </w:r>
            <w:r w:rsidRPr="00505E82">
              <w:rPr>
                <w:rFonts w:ascii="Arial"/>
                <w:sz w:val="18"/>
              </w:rPr>
              <w:t>(1240)</w:t>
            </w:r>
          </w:p>
        </w:tc>
      </w:tr>
      <w:tr w:rsidR="0088415B" w:rsidTr="00505E82">
        <w:trPr>
          <w:trHeight w:hRule="exact" w:val="435"/>
        </w:trPr>
        <w:tc>
          <w:tcPr>
            <w:tcW w:w="2302"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total</w:t>
            </w:r>
          </w:p>
        </w:tc>
        <w:tc>
          <w:tcPr>
            <w:tcW w:w="1728"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58" w:right="358"/>
              <w:jc w:val="center"/>
              <w:rPr>
                <w:rFonts w:ascii="Arial" w:eastAsia="Arial" w:hAnsi="Arial" w:cs="Arial"/>
                <w:sz w:val="18"/>
                <w:szCs w:val="18"/>
              </w:rPr>
            </w:pPr>
            <w:r w:rsidRPr="00505E82">
              <w:rPr>
                <w:rFonts w:ascii="Arial"/>
                <w:i/>
                <w:sz w:val="18"/>
              </w:rPr>
              <w:t>n =</w:t>
            </w:r>
            <w:r w:rsidRPr="00505E82">
              <w:rPr>
                <w:rFonts w:ascii="Arial"/>
                <w:i/>
                <w:spacing w:val="-5"/>
                <w:sz w:val="18"/>
              </w:rPr>
              <w:t xml:space="preserve"> </w:t>
            </w:r>
            <w:r w:rsidRPr="00505E82">
              <w:rPr>
                <w:rFonts w:ascii="Arial"/>
                <w:i/>
                <w:sz w:val="18"/>
              </w:rPr>
              <w:t>608</w:t>
            </w:r>
          </w:p>
        </w:tc>
        <w:tc>
          <w:tcPr>
            <w:tcW w:w="180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43" w:right="342"/>
              <w:jc w:val="center"/>
              <w:rPr>
                <w:rFonts w:ascii="Arial" w:eastAsia="Arial" w:hAnsi="Arial" w:cs="Arial"/>
                <w:sz w:val="18"/>
                <w:szCs w:val="18"/>
              </w:rPr>
            </w:pPr>
            <w:r w:rsidRPr="00505E82">
              <w:rPr>
                <w:rFonts w:ascii="Arial"/>
                <w:i/>
                <w:sz w:val="18"/>
              </w:rPr>
              <w:t>n =</w:t>
            </w:r>
            <w:r w:rsidRPr="00505E82">
              <w:rPr>
                <w:rFonts w:ascii="Arial"/>
                <w:i/>
                <w:spacing w:val="-6"/>
                <w:sz w:val="18"/>
              </w:rPr>
              <w:t xml:space="preserve"> </w:t>
            </w:r>
            <w:r w:rsidRPr="00505E82">
              <w:rPr>
                <w:rFonts w:ascii="Arial"/>
                <w:i/>
                <w:sz w:val="18"/>
              </w:rPr>
              <w:t>6660</w:t>
            </w:r>
          </w:p>
        </w:tc>
        <w:tc>
          <w:tcPr>
            <w:tcW w:w="179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341" w:right="337"/>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40" w:right="337"/>
              <w:jc w:val="center"/>
              <w:rPr>
                <w:rFonts w:ascii="Arial" w:eastAsia="Arial" w:hAnsi="Arial" w:cs="Arial"/>
                <w:sz w:val="18"/>
                <w:szCs w:val="18"/>
              </w:rPr>
            </w:pPr>
            <w:r w:rsidRPr="00505E82">
              <w:rPr>
                <w:rFonts w:ascii="Arial"/>
                <w:i/>
                <w:sz w:val="18"/>
              </w:rPr>
              <w:t>n =</w:t>
            </w:r>
            <w:r w:rsidRPr="00505E82">
              <w:rPr>
                <w:rFonts w:ascii="Arial"/>
                <w:i/>
                <w:spacing w:val="-6"/>
                <w:sz w:val="18"/>
              </w:rPr>
              <w:t xml:space="preserve"> </w:t>
            </w:r>
            <w:r w:rsidRPr="00505E82">
              <w:rPr>
                <w:rFonts w:ascii="Arial"/>
                <w:i/>
                <w:sz w:val="18"/>
              </w:rPr>
              <w:t>7268</w:t>
            </w:r>
          </w:p>
        </w:tc>
      </w:tr>
    </w:tbl>
    <w:p w:rsidR="0088415B" w:rsidRDefault="0088415B" w:rsidP="0088415B">
      <w:pPr>
        <w:spacing w:line="205" w:lineRule="exact"/>
        <w:ind w:left="908"/>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Era</w:t>
      </w:r>
      <w:r>
        <w:rPr>
          <w:rFonts w:ascii="Arial" w:hAnsi="Arial"/>
          <w:spacing w:val="-4"/>
          <w:sz w:val="18"/>
        </w:rPr>
        <w:t xml:space="preserve"> </w:t>
      </w:r>
      <w:r>
        <w:rPr>
          <w:rFonts w:ascii="Arial" w:hAnsi="Arial"/>
          <w:sz w:val="18"/>
        </w:rPr>
        <w:t>permitida</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indicação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uma</w:t>
      </w:r>
      <w:r>
        <w:rPr>
          <w:rFonts w:ascii="Arial" w:hAnsi="Arial"/>
          <w:spacing w:val="-4"/>
          <w:sz w:val="18"/>
        </w:rPr>
        <w:t xml:space="preserve"> </w:t>
      </w:r>
      <w:r>
        <w:rPr>
          <w:rFonts w:ascii="Arial" w:hAnsi="Arial"/>
          <w:sz w:val="18"/>
        </w:rPr>
        <w:t>área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discurso.</w:t>
      </w:r>
    </w:p>
    <w:p w:rsidR="0088415B" w:rsidRDefault="0088415B" w:rsidP="0088415B">
      <w:pPr>
        <w:ind w:left="908" w:right="1087"/>
        <w:rPr>
          <w:rFonts w:ascii="Arial" w:eastAsia="Arial" w:hAnsi="Arial" w:cs="Arial"/>
          <w:sz w:val="18"/>
          <w:szCs w:val="18"/>
        </w:rPr>
      </w:pPr>
      <w:r>
        <w:rPr>
          <w:rFonts w:ascii="Arial" w:eastAsia="Arial" w:hAnsi="Arial" w:cs="Arial"/>
          <w:sz w:val="18"/>
          <w:szCs w:val="18"/>
        </w:rPr>
        <w:t>A dependência entre as variáveis é muito significativa. Qui2 = 56,76, gl = 3, 1-p =&gt; 99,99%.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spacing w:before="2"/>
        <w:rPr>
          <w:rFonts w:ascii="Arial" w:eastAsia="Arial" w:hAnsi="Arial" w:cs="Arial"/>
          <w:sz w:val="17"/>
          <w:szCs w:val="17"/>
        </w:rPr>
      </w:pPr>
    </w:p>
    <w:p w:rsidR="0088415B" w:rsidRDefault="0088415B" w:rsidP="0088415B">
      <w:pPr>
        <w:spacing w:before="77" w:after="4"/>
        <w:ind w:left="908"/>
        <w:rPr>
          <w:rFonts w:ascii="Arial" w:eastAsia="Arial" w:hAnsi="Arial" w:cs="Arial"/>
          <w:sz w:val="18"/>
          <w:szCs w:val="18"/>
        </w:rPr>
      </w:pPr>
      <w:r>
        <w:rPr>
          <w:rFonts w:ascii="Arial" w:eastAsia="Arial" w:hAnsi="Arial" w:cs="Arial"/>
          <w:b/>
          <w:bCs/>
          <w:sz w:val="18"/>
          <w:szCs w:val="18"/>
        </w:rPr>
        <w:t>Tabela</w:t>
      </w:r>
      <w:r>
        <w:rPr>
          <w:rFonts w:ascii="Arial" w:eastAsia="Arial" w:hAnsi="Arial" w:cs="Arial"/>
          <w:b/>
          <w:bCs/>
          <w:spacing w:val="-5"/>
          <w:sz w:val="18"/>
          <w:szCs w:val="18"/>
        </w:rPr>
        <w:t xml:space="preserve"> </w:t>
      </w:r>
      <w:r>
        <w:rPr>
          <w:rFonts w:ascii="Arial" w:eastAsia="Arial" w:hAnsi="Arial" w:cs="Arial"/>
          <w:b/>
          <w:bCs/>
          <w:sz w:val="18"/>
          <w:szCs w:val="18"/>
        </w:rPr>
        <w:t>9</w:t>
      </w:r>
      <w:r>
        <w:rPr>
          <w:rFonts w:ascii="Arial" w:eastAsia="Arial" w:hAnsi="Arial" w:cs="Arial"/>
          <w:b/>
          <w:bCs/>
          <w:spacing w:val="-5"/>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z w:val="18"/>
          <w:szCs w:val="18"/>
        </w:rPr>
        <w:t>Área</w:t>
      </w:r>
      <w:r>
        <w:rPr>
          <w:rFonts w:ascii="Arial" w:eastAsia="Arial" w:hAnsi="Arial" w:cs="Arial"/>
          <w:spacing w:val="-4"/>
          <w:sz w:val="18"/>
          <w:szCs w:val="18"/>
        </w:rPr>
        <w:t xml:space="preserve"> </w:t>
      </w:r>
      <w:r>
        <w:rPr>
          <w:rFonts w:ascii="Arial" w:eastAsia="Arial" w:hAnsi="Arial" w:cs="Arial"/>
          <w:sz w:val="18"/>
          <w:szCs w:val="18"/>
        </w:rPr>
        <w:t>temática</w:t>
      </w:r>
      <w:r>
        <w:rPr>
          <w:rFonts w:ascii="Arial" w:eastAsia="Arial" w:hAnsi="Arial" w:cs="Arial"/>
          <w:spacing w:val="-4"/>
          <w:sz w:val="18"/>
          <w:szCs w:val="18"/>
        </w:rPr>
        <w:t xml:space="preserve"> </w:t>
      </w:r>
      <w:r>
        <w:rPr>
          <w:rFonts w:ascii="Arial" w:eastAsia="Arial" w:hAnsi="Arial" w:cs="Arial"/>
          <w:sz w:val="18"/>
          <w:szCs w:val="18"/>
        </w:rPr>
        <w:t>dos</w:t>
      </w:r>
      <w:r>
        <w:rPr>
          <w:rFonts w:ascii="Arial" w:eastAsia="Arial" w:hAnsi="Arial" w:cs="Arial"/>
          <w:spacing w:val="-3"/>
          <w:sz w:val="18"/>
          <w:szCs w:val="18"/>
        </w:rPr>
        <w:t xml:space="preserve"> </w:t>
      </w:r>
      <w:r>
        <w:rPr>
          <w:rFonts w:ascii="Arial" w:eastAsia="Arial" w:hAnsi="Arial" w:cs="Arial"/>
          <w:sz w:val="18"/>
          <w:szCs w:val="18"/>
        </w:rPr>
        <w:t>discursos</w:t>
      </w:r>
      <w:r>
        <w:rPr>
          <w:rFonts w:ascii="Arial" w:eastAsia="Arial" w:hAnsi="Arial" w:cs="Arial"/>
          <w:spacing w:val="-4"/>
          <w:sz w:val="18"/>
          <w:szCs w:val="18"/>
        </w:rPr>
        <w:t xml:space="preserve"> </w:t>
      </w:r>
      <w:r>
        <w:rPr>
          <w:rFonts w:ascii="Arial" w:eastAsia="Arial" w:hAnsi="Arial" w:cs="Arial"/>
          <w:sz w:val="18"/>
          <w:szCs w:val="18"/>
        </w:rPr>
        <w:t>dos</w:t>
      </w:r>
      <w:r>
        <w:rPr>
          <w:rFonts w:ascii="Arial" w:eastAsia="Arial" w:hAnsi="Arial" w:cs="Arial"/>
          <w:spacing w:val="-4"/>
          <w:sz w:val="18"/>
          <w:szCs w:val="18"/>
        </w:rPr>
        <w:t xml:space="preserve"> </w:t>
      </w:r>
      <w:r>
        <w:rPr>
          <w:rFonts w:ascii="Arial" w:eastAsia="Arial" w:hAnsi="Arial" w:cs="Arial"/>
          <w:sz w:val="18"/>
          <w:szCs w:val="18"/>
        </w:rPr>
        <w:t>“medalhões”,</w:t>
      </w:r>
      <w:r>
        <w:rPr>
          <w:rFonts w:ascii="Arial" w:eastAsia="Arial" w:hAnsi="Arial" w:cs="Arial"/>
          <w:spacing w:val="-4"/>
          <w:sz w:val="18"/>
          <w:szCs w:val="18"/>
        </w:rPr>
        <w:t xml:space="preserve"> </w:t>
      </w:r>
      <w:r>
        <w:rPr>
          <w:rFonts w:ascii="Arial" w:eastAsia="Arial" w:hAnsi="Arial" w:cs="Arial"/>
          <w:sz w:val="18"/>
          <w:szCs w:val="18"/>
        </w:rPr>
        <w:t>por</w:t>
      </w:r>
      <w:r>
        <w:rPr>
          <w:rFonts w:ascii="Arial" w:eastAsia="Arial" w:hAnsi="Arial" w:cs="Arial"/>
          <w:spacing w:val="-4"/>
          <w:sz w:val="18"/>
          <w:szCs w:val="18"/>
        </w:rPr>
        <w:t xml:space="preserve"> </w:t>
      </w:r>
      <w:r>
        <w:rPr>
          <w:rFonts w:ascii="Arial" w:eastAsia="Arial" w:hAnsi="Arial" w:cs="Arial"/>
          <w:sz w:val="18"/>
          <w:szCs w:val="18"/>
        </w:rPr>
        <w:t>sexo</w:t>
      </w:r>
      <w:r>
        <w:rPr>
          <w:rFonts w:ascii="Arial" w:eastAsia="Arial" w:hAnsi="Arial" w:cs="Arial"/>
          <w:spacing w:val="-4"/>
          <w:sz w:val="18"/>
          <w:szCs w:val="18"/>
        </w:rPr>
        <w:t xml:space="preserve"> </w:t>
      </w:r>
      <w:r>
        <w:rPr>
          <w:rFonts w:ascii="Arial" w:eastAsia="Arial" w:hAnsi="Arial" w:cs="Arial"/>
          <w:sz w:val="18"/>
          <w:szCs w:val="18"/>
        </w:rPr>
        <w:t>do</w:t>
      </w:r>
      <w:r>
        <w:rPr>
          <w:rFonts w:ascii="Arial" w:eastAsia="Arial" w:hAnsi="Arial" w:cs="Arial"/>
          <w:spacing w:val="-4"/>
          <w:sz w:val="18"/>
          <w:szCs w:val="18"/>
        </w:rPr>
        <w:t xml:space="preserve"> </w:t>
      </w:r>
      <w:r>
        <w:rPr>
          <w:rFonts w:ascii="Arial" w:eastAsia="Arial" w:hAnsi="Arial" w:cs="Arial"/>
          <w:sz w:val="18"/>
          <w:szCs w:val="18"/>
        </w:rPr>
        <w:t>orador</w:t>
      </w:r>
    </w:p>
    <w:tbl>
      <w:tblPr>
        <w:tblW w:w="0" w:type="auto"/>
        <w:tblInd w:w="838" w:type="dxa"/>
        <w:tblLayout w:type="fixed"/>
        <w:tblCellMar>
          <w:left w:w="0" w:type="dxa"/>
          <w:right w:w="0" w:type="dxa"/>
        </w:tblCellMar>
        <w:tblLook w:val="01E0"/>
      </w:tblPr>
      <w:tblGrid>
        <w:gridCol w:w="2302"/>
        <w:gridCol w:w="1728"/>
        <w:gridCol w:w="1800"/>
        <w:gridCol w:w="1793"/>
      </w:tblGrid>
      <w:tr w:rsidR="0088415B" w:rsidTr="00505E82">
        <w:trPr>
          <w:trHeight w:hRule="exact" w:val="236"/>
        </w:trPr>
        <w:tc>
          <w:tcPr>
            <w:tcW w:w="2302"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728"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mulheres</w:t>
            </w:r>
          </w:p>
        </w:tc>
        <w:tc>
          <w:tcPr>
            <w:tcW w:w="1800"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homens</w:t>
            </w:r>
          </w:p>
        </w:tc>
        <w:tc>
          <w:tcPr>
            <w:tcW w:w="1793"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340" w:right="337"/>
              <w:jc w:val="center"/>
              <w:rPr>
                <w:rFonts w:ascii="Arial" w:eastAsia="Arial" w:hAnsi="Arial" w:cs="Arial"/>
                <w:sz w:val="18"/>
                <w:szCs w:val="18"/>
              </w:rPr>
            </w:pPr>
            <w:r w:rsidRPr="00505E82">
              <w:rPr>
                <w:rFonts w:ascii="Arial"/>
                <w:sz w:val="18"/>
              </w:rPr>
              <w:t>total</w:t>
            </w:r>
          </w:p>
        </w:tc>
      </w:tr>
      <w:tr w:rsidR="0088415B" w:rsidTr="00505E82">
        <w:trPr>
          <w:trHeight w:hRule="exact" w:val="227"/>
        </w:trPr>
        <w:tc>
          <w:tcPr>
            <w:tcW w:w="2302"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1728"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6"/>
              <w:jc w:val="center"/>
              <w:rPr>
                <w:rFonts w:ascii="Arial" w:eastAsia="Arial" w:hAnsi="Arial" w:cs="Arial"/>
                <w:sz w:val="18"/>
                <w:szCs w:val="18"/>
              </w:rPr>
            </w:pPr>
            <w:r w:rsidRPr="00505E82">
              <w:rPr>
                <w:rFonts w:ascii="Arial"/>
                <w:sz w:val="18"/>
              </w:rPr>
              <w:t>79,7%</w:t>
            </w:r>
            <w:r w:rsidRPr="00505E82">
              <w:rPr>
                <w:rFonts w:ascii="Arial"/>
                <w:spacing w:val="-8"/>
                <w:sz w:val="18"/>
              </w:rPr>
              <w:t xml:space="preserve"> </w:t>
            </w:r>
            <w:r w:rsidRPr="00505E82">
              <w:rPr>
                <w:rFonts w:ascii="Arial"/>
                <w:sz w:val="18"/>
              </w:rPr>
              <w:t>(55)</w:t>
            </w:r>
          </w:p>
        </w:tc>
        <w:tc>
          <w:tcPr>
            <w:tcW w:w="1800"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1"/>
              <w:jc w:val="center"/>
              <w:rPr>
                <w:rFonts w:ascii="Arial" w:eastAsia="Arial" w:hAnsi="Arial" w:cs="Arial"/>
                <w:sz w:val="18"/>
                <w:szCs w:val="18"/>
              </w:rPr>
            </w:pPr>
            <w:r w:rsidRPr="00505E82">
              <w:rPr>
                <w:rFonts w:ascii="Arial"/>
                <w:sz w:val="18"/>
              </w:rPr>
              <w:t>75,6%</w:t>
            </w:r>
            <w:r w:rsidRPr="00505E82">
              <w:rPr>
                <w:rFonts w:ascii="Arial"/>
                <w:spacing w:val="-9"/>
                <w:sz w:val="18"/>
              </w:rPr>
              <w:t xml:space="preserve"> </w:t>
            </w:r>
            <w:r w:rsidRPr="00505E82">
              <w:rPr>
                <w:rFonts w:ascii="Arial"/>
                <w:sz w:val="18"/>
              </w:rPr>
              <w:t>(746)</w:t>
            </w:r>
          </w:p>
        </w:tc>
        <w:tc>
          <w:tcPr>
            <w:tcW w:w="1793"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2" w:right="336"/>
              <w:jc w:val="center"/>
              <w:rPr>
                <w:rFonts w:ascii="Arial" w:eastAsia="Arial" w:hAnsi="Arial" w:cs="Arial"/>
                <w:sz w:val="18"/>
                <w:szCs w:val="18"/>
              </w:rPr>
            </w:pPr>
            <w:r w:rsidRPr="00505E82">
              <w:rPr>
                <w:rFonts w:ascii="Arial"/>
                <w:sz w:val="18"/>
              </w:rPr>
              <w:t>75,9%</w:t>
            </w:r>
            <w:r w:rsidRPr="00505E82">
              <w:rPr>
                <w:rFonts w:ascii="Arial"/>
                <w:spacing w:val="-9"/>
                <w:sz w:val="18"/>
              </w:rPr>
              <w:t xml:space="preserve"> </w:t>
            </w:r>
            <w:r w:rsidRPr="00505E82">
              <w:rPr>
                <w:rFonts w:ascii="Arial"/>
                <w:sz w:val="18"/>
              </w:rPr>
              <w:t>(801)</w:t>
            </w:r>
          </w:p>
        </w:tc>
      </w:tr>
      <w:tr w:rsidR="0088415B" w:rsidTr="00505E82">
        <w:trPr>
          <w:trHeight w:hRule="exact" w:val="216"/>
        </w:trPr>
        <w:tc>
          <w:tcPr>
            <w:tcW w:w="2302"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6"/>
              <w:jc w:val="center"/>
              <w:rPr>
                <w:rFonts w:ascii="Arial" w:eastAsia="Arial" w:hAnsi="Arial" w:cs="Arial"/>
                <w:sz w:val="18"/>
                <w:szCs w:val="18"/>
              </w:rPr>
            </w:pPr>
            <w:r w:rsidRPr="00505E82">
              <w:rPr>
                <w:rFonts w:ascii="Arial"/>
                <w:sz w:val="18"/>
              </w:rPr>
              <w:t>23,2%</w:t>
            </w:r>
            <w:r w:rsidRPr="00505E82">
              <w:rPr>
                <w:rFonts w:ascii="Arial"/>
                <w:spacing w:val="-8"/>
                <w:sz w:val="18"/>
              </w:rPr>
              <w:t xml:space="preserve"> </w:t>
            </w:r>
            <w:r w:rsidRPr="00505E82">
              <w:rPr>
                <w:rFonts w:ascii="Arial"/>
                <w:sz w:val="18"/>
              </w:rPr>
              <w:t>(16)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28,1%</w:t>
            </w:r>
            <w:r w:rsidRPr="00505E82">
              <w:rPr>
                <w:rFonts w:ascii="Arial"/>
                <w:spacing w:val="-9"/>
                <w:sz w:val="18"/>
              </w:rPr>
              <w:t xml:space="preserve"> </w:t>
            </w:r>
            <w:r w:rsidRPr="00505E82">
              <w:rPr>
                <w:rFonts w:ascii="Arial"/>
                <w:sz w:val="18"/>
              </w:rPr>
              <w:t>(277)</w:t>
            </w:r>
          </w:p>
        </w:tc>
        <w:tc>
          <w:tcPr>
            <w:tcW w:w="17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2" w:right="337"/>
              <w:jc w:val="center"/>
              <w:rPr>
                <w:rFonts w:ascii="Arial" w:eastAsia="Arial" w:hAnsi="Arial" w:cs="Arial"/>
                <w:sz w:val="18"/>
                <w:szCs w:val="18"/>
              </w:rPr>
            </w:pPr>
            <w:r w:rsidRPr="00505E82">
              <w:rPr>
                <w:rFonts w:ascii="Arial"/>
                <w:sz w:val="18"/>
              </w:rPr>
              <w:t>27,7%</w:t>
            </w:r>
            <w:r w:rsidRPr="00505E82">
              <w:rPr>
                <w:rFonts w:ascii="Arial"/>
                <w:spacing w:val="-9"/>
                <w:sz w:val="18"/>
              </w:rPr>
              <w:t xml:space="preserve"> </w:t>
            </w:r>
            <w:r w:rsidRPr="00505E82">
              <w:rPr>
                <w:rFonts w:ascii="Arial"/>
                <w:sz w:val="18"/>
              </w:rPr>
              <w:t>(293)</w:t>
            </w:r>
          </w:p>
        </w:tc>
      </w:tr>
      <w:tr w:rsidR="0088415B" w:rsidTr="00505E82">
        <w:trPr>
          <w:trHeight w:hRule="exact" w:val="217"/>
        </w:trPr>
        <w:tc>
          <w:tcPr>
            <w:tcW w:w="2302"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7"/>
              <w:jc w:val="center"/>
              <w:rPr>
                <w:rFonts w:ascii="Arial" w:eastAsia="Arial" w:hAnsi="Arial" w:cs="Arial"/>
                <w:sz w:val="18"/>
                <w:szCs w:val="18"/>
              </w:rPr>
            </w:pPr>
            <w:r w:rsidRPr="00505E82">
              <w:rPr>
                <w:rFonts w:ascii="Arial"/>
                <w:sz w:val="18"/>
              </w:rPr>
              <w:t>37,7%</w:t>
            </w:r>
            <w:r w:rsidRPr="00505E82">
              <w:rPr>
                <w:rFonts w:ascii="Arial"/>
                <w:spacing w:val="-8"/>
                <w:sz w:val="18"/>
              </w:rPr>
              <w:t xml:space="preserve"> </w:t>
            </w:r>
            <w:r w:rsidRPr="00505E82">
              <w:rPr>
                <w:rFonts w:ascii="Arial"/>
                <w:sz w:val="18"/>
              </w:rPr>
              <w:t>(26)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1"/>
              <w:jc w:val="center"/>
              <w:rPr>
                <w:rFonts w:ascii="Arial" w:eastAsia="Arial" w:hAnsi="Arial" w:cs="Arial"/>
                <w:sz w:val="18"/>
                <w:szCs w:val="18"/>
              </w:rPr>
            </w:pPr>
            <w:r w:rsidRPr="00505E82">
              <w:rPr>
                <w:rFonts w:ascii="Arial"/>
                <w:sz w:val="18"/>
              </w:rPr>
              <w:t>21,7%</w:t>
            </w:r>
            <w:r w:rsidRPr="00505E82">
              <w:rPr>
                <w:rFonts w:ascii="Arial"/>
                <w:spacing w:val="-9"/>
                <w:sz w:val="18"/>
              </w:rPr>
              <w:t xml:space="preserve"> </w:t>
            </w:r>
            <w:r w:rsidRPr="00505E82">
              <w:rPr>
                <w:rFonts w:ascii="Arial"/>
                <w:sz w:val="18"/>
              </w:rPr>
              <w:t>(214)</w:t>
            </w:r>
          </w:p>
        </w:tc>
        <w:tc>
          <w:tcPr>
            <w:tcW w:w="17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2" w:right="336"/>
              <w:jc w:val="center"/>
              <w:rPr>
                <w:rFonts w:ascii="Arial" w:eastAsia="Arial" w:hAnsi="Arial" w:cs="Arial"/>
                <w:sz w:val="18"/>
                <w:szCs w:val="18"/>
              </w:rPr>
            </w:pPr>
            <w:r w:rsidRPr="00505E82">
              <w:rPr>
                <w:rFonts w:ascii="Arial"/>
                <w:sz w:val="18"/>
              </w:rPr>
              <w:t>22,7%</w:t>
            </w:r>
            <w:r w:rsidRPr="00505E82">
              <w:rPr>
                <w:rFonts w:ascii="Arial"/>
                <w:spacing w:val="-9"/>
                <w:sz w:val="18"/>
              </w:rPr>
              <w:t xml:space="preserve"> </w:t>
            </w:r>
            <w:r w:rsidRPr="00505E82">
              <w:rPr>
                <w:rFonts w:ascii="Arial"/>
                <w:sz w:val="18"/>
              </w:rPr>
              <w:t>(240)</w:t>
            </w:r>
          </w:p>
        </w:tc>
      </w:tr>
      <w:tr w:rsidR="0088415B" w:rsidTr="00505E82">
        <w:trPr>
          <w:trHeight w:hRule="exact" w:val="217"/>
        </w:trPr>
        <w:tc>
          <w:tcPr>
            <w:tcW w:w="2302"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irrelevantes e</w:t>
            </w:r>
            <w:r w:rsidRPr="00505E82">
              <w:rPr>
                <w:rFonts w:ascii="Arial"/>
                <w:spacing w:val="-15"/>
                <w:sz w:val="18"/>
              </w:rPr>
              <w:t xml:space="preserve"> </w:t>
            </w:r>
            <w:r w:rsidRPr="00505E82">
              <w:rPr>
                <w:rFonts w:ascii="Arial"/>
                <w:sz w:val="18"/>
              </w:rPr>
              <w:t>outros</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58" w:right="356"/>
              <w:jc w:val="center"/>
              <w:rPr>
                <w:rFonts w:ascii="Arial" w:eastAsia="Arial" w:hAnsi="Arial" w:cs="Arial"/>
                <w:sz w:val="18"/>
                <w:szCs w:val="18"/>
              </w:rPr>
            </w:pPr>
            <w:r w:rsidRPr="00505E82">
              <w:rPr>
                <w:rFonts w:ascii="Arial"/>
                <w:sz w:val="18"/>
              </w:rPr>
              <w:t>8,7%</w:t>
            </w:r>
            <w:r w:rsidRPr="00505E82">
              <w:rPr>
                <w:rFonts w:ascii="Arial"/>
                <w:spacing w:val="-7"/>
                <w:sz w:val="18"/>
              </w:rPr>
              <w:t xml:space="preserve"> </w:t>
            </w:r>
            <w:r w:rsidRPr="00505E82">
              <w:rPr>
                <w:rFonts w:ascii="Arial"/>
                <w:sz w:val="18"/>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43" w:right="340"/>
              <w:jc w:val="center"/>
              <w:rPr>
                <w:rFonts w:ascii="Arial" w:eastAsia="Arial" w:hAnsi="Arial" w:cs="Arial"/>
                <w:sz w:val="18"/>
                <w:szCs w:val="18"/>
              </w:rPr>
            </w:pPr>
            <w:r w:rsidRPr="00505E82">
              <w:rPr>
                <w:rFonts w:ascii="Arial"/>
                <w:sz w:val="18"/>
              </w:rPr>
              <w:t>18,0%</w:t>
            </w:r>
            <w:r w:rsidRPr="00505E82">
              <w:rPr>
                <w:rFonts w:ascii="Arial"/>
                <w:spacing w:val="-9"/>
                <w:sz w:val="18"/>
              </w:rPr>
              <w:t xml:space="preserve"> </w:t>
            </w:r>
            <w:r w:rsidRPr="00505E82">
              <w:rPr>
                <w:rFonts w:ascii="Arial"/>
                <w:sz w:val="18"/>
              </w:rPr>
              <w:t>(178)</w:t>
            </w:r>
          </w:p>
        </w:tc>
        <w:tc>
          <w:tcPr>
            <w:tcW w:w="1793"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42" w:right="336"/>
              <w:jc w:val="center"/>
              <w:rPr>
                <w:rFonts w:ascii="Arial" w:eastAsia="Arial" w:hAnsi="Arial" w:cs="Arial"/>
                <w:sz w:val="18"/>
                <w:szCs w:val="18"/>
              </w:rPr>
            </w:pPr>
            <w:r w:rsidRPr="00505E82">
              <w:rPr>
                <w:rFonts w:ascii="Arial"/>
                <w:sz w:val="18"/>
              </w:rPr>
              <w:t>17,4%</w:t>
            </w:r>
            <w:r w:rsidRPr="00505E82">
              <w:rPr>
                <w:rFonts w:ascii="Arial"/>
                <w:spacing w:val="-9"/>
                <w:sz w:val="18"/>
              </w:rPr>
              <w:t xml:space="preserve"> </w:t>
            </w:r>
            <w:r w:rsidRPr="00505E82">
              <w:rPr>
                <w:rFonts w:ascii="Arial"/>
                <w:sz w:val="18"/>
              </w:rPr>
              <w:t>(184)</w:t>
            </w:r>
          </w:p>
        </w:tc>
      </w:tr>
      <w:tr w:rsidR="0088415B" w:rsidTr="00505E82">
        <w:trPr>
          <w:trHeight w:hRule="exact" w:val="434"/>
        </w:trPr>
        <w:tc>
          <w:tcPr>
            <w:tcW w:w="2302" w:type="dxa"/>
            <w:tcBorders>
              <w:top w:val="single" w:sz="4" w:space="0" w:color="000000"/>
              <w:left w:val="nil"/>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total</w:t>
            </w:r>
          </w:p>
        </w:tc>
        <w:tc>
          <w:tcPr>
            <w:tcW w:w="1728"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58" w:right="358"/>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58" w:right="357"/>
              <w:jc w:val="center"/>
              <w:rPr>
                <w:rFonts w:ascii="Arial" w:eastAsia="Arial" w:hAnsi="Arial" w:cs="Arial"/>
                <w:sz w:val="18"/>
                <w:szCs w:val="18"/>
              </w:rPr>
            </w:pPr>
            <w:r w:rsidRPr="00505E82">
              <w:rPr>
                <w:rFonts w:ascii="Arial"/>
                <w:i/>
                <w:sz w:val="18"/>
              </w:rPr>
              <w:t>n =</w:t>
            </w:r>
            <w:r w:rsidRPr="00505E82">
              <w:rPr>
                <w:rFonts w:ascii="Arial"/>
                <w:i/>
                <w:spacing w:val="-4"/>
                <w:sz w:val="18"/>
              </w:rPr>
              <w:t xml:space="preserve"> </w:t>
            </w:r>
            <w:r w:rsidRPr="00505E82">
              <w:rPr>
                <w:rFonts w:ascii="Arial"/>
                <w:i/>
                <w:sz w:val="18"/>
              </w:rPr>
              <w:t>69</w:t>
            </w:r>
          </w:p>
        </w:tc>
        <w:tc>
          <w:tcPr>
            <w:tcW w:w="1800" w:type="dxa"/>
            <w:tcBorders>
              <w:top w:val="single" w:sz="4"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43" w:right="342"/>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43" w:right="343"/>
              <w:jc w:val="center"/>
              <w:rPr>
                <w:rFonts w:ascii="Arial" w:eastAsia="Arial" w:hAnsi="Arial" w:cs="Arial"/>
                <w:sz w:val="18"/>
                <w:szCs w:val="18"/>
              </w:rPr>
            </w:pPr>
            <w:r w:rsidRPr="00505E82">
              <w:rPr>
                <w:rFonts w:ascii="Arial"/>
                <w:i/>
                <w:sz w:val="18"/>
              </w:rPr>
              <w:t>n =</w:t>
            </w:r>
            <w:r w:rsidRPr="00505E82">
              <w:rPr>
                <w:rFonts w:ascii="Arial"/>
                <w:i/>
                <w:spacing w:val="-5"/>
                <w:sz w:val="18"/>
              </w:rPr>
              <w:t xml:space="preserve"> </w:t>
            </w:r>
            <w:r w:rsidRPr="00505E82">
              <w:rPr>
                <w:rFonts w:ascii="Arial"/>
                <w:i/>
                <w:sz w:val="18"/>
              </w:rPr>
              <w:t>987</w:t>
            </w:r>
          </w:p>
        </w:tc>
        <w:tc>
          <w:tcPr>
            <w:tcW w:w="1793" w:type="dxa"/>
            <w:tcBorders>
              <w:top w:val="single" w:sz="4"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341" w:right="337"/>
              <w:jc w:val="center"/>
              <w:rPr>
                <w:rFonts w:ascii="Arial" w:eastAsia="Arial" w:hAnsi="Arial" w:cs="Arial"/>
                <w:sz w:val="18"/>
                <w:szCs w:val="18"/>
              </w:rPr>
            </w:pPr>
            <w:r w:rsidRPr="00505E82">
              <w:rPr>
                <w:rFonts w:ascii="Arial"/>
                <w:sz w:val="18"/>
              </w:rPr>
              <w:t>100%</w:t>
            </w:r>
          </w:p>
          <w:p w:rsidR="0088415B" w:rsidRPr="00505E82" w:rsidRDefault="0088415B" w:rsidP="00505E82">
            <w:pPr>
              <w:pStyle w:val="TableParagraph"/>
              <w:spacing w:before="2"/>
              <w:ind w:left="340" w:right="337"/>
              <w:jc w:val="center"/>
              <w:rPr>
                <w:rFonts w:ascii="Arial" w:eastAsia="Arial" w:hAnsi="Arial" w:cs="Arial"/>
                <w:sz w:val="18"/>
                <w:szCs w:val="18"/>
              </w:rPr>
            </w:pPr>
            <w:r w:rsidRPr="00505E82">
              <w:rPr>
                <w:rFonts w:ascii="Arial"/>
                <w:i/>
                <w:sz w:val="18"/>
              </w:rPr>
              <w:t>n =</w:t>
            </w:r>
            <w:r w:rsidRPr="00505E82">
              <w:rPr>
                <w:rFonts w:ascii="Arial"/>
                <w:i/>
                <w:spacing w:val="-6"/>
                <w:sz w:val="18"/>
              </w:rPr>
              <w:t xml:space="preserve"> </w:t>
            </w:r>
            <w:r w:rsidRPr="00505E82">
              <w:rPr>
                <w:rFonts w:ascii="Arial"/>
                <w:i/>
                <w:sz w:val="18"/>
              </w:rPr>
              <w:t>1056</w:t>
            </w:r>
          </w:p>
        </w:tc>
      </w:tr>
    </w:tbl>
    <w:p w:rsidR="0088415B" w:rsidRDefault="0088415B" w:rsidP="0088415B">
      <w:pPr>
        <w:spacing w:line="205" w:lineRule="exact"/>
        <w:ind w:left="908"/>
        <w:rPr>
          <w:rFonts w:ascii="Arial" w:eastAsia="Arial" w:hAnsi="Arial" w:cs="Arial"/>
          <w:sz w:val="18"/>
          <w:szCs w:val="18"/>
        </w:rPr>
      </w:pPr>
      <w:r>
        <w:rPr>
          <w:rFonts w:ascii="Arial" w:hAnsi="Arial"/>
          <w:sz w:val="18"/>
        </w:rPr>
        <w:t>Obs.</w:t>
      </w:r>
      <w:r>
        <w:rPr>
          <w:rFonts w:ascii="Arial" w:hAnsi="Arial"/>
          <w:spacing w:val="-4"/>
          <w:sz w:val="18"/>
        </w:rPr>
        <w:t xml:space="preserve"> </w:t>
      </w:r>
      <w:r>
        <w:rPr>
          <w:rFonts w:ascii="Arial" w:hAnsi="Arial"/>
          <w:sz w:val="18"/>
        </w:rPr>
        <w:t>Era</w:t>
      </w:r>
      <w:r>
        <w:rPr>
          <w:rFonts w:ascii="Arial" w:hAnsi="Arial"/>
          <w:spacing w:val="-4"/>
          <w:sz w:val="18"/>
        </w:rPr>
        <w:t xml:space="preserve"> </w:t>
      </w:r>
      <w:r>
        <w:rPr>
          <w:rFonts w:ascii="Arial" w:hAnsi="Arial"/>
          <w:sz w:val="18"/>
        </w:rPr>
        <w:t>permitida</w:t>
      </w:r>
      <w:r>
        <w:rPr>
          <w:rFonts w:ascii="Arial" w:hAnsi="Arial"/>
          <w:spacing w:val="-4"/>
          <w:sz w:val="18"/>
        </w:rPr>
        <w:t xml:space="preserve"> </w:t>
      </w:r>
      <w:r>
        <w:rPr>
          <w:rFonts w:ascii="Arial" w:hAnsi="Arial"/>
          <w:sz w:val="18"/>
        </w:rPr>
        <w:t>a</w:t>
      </w:r>
      <w:r>
        <w:rPr>
          <w:rFonts w:ascii="Arial" w:hAnsi="Arial"/>
          <w:spacing w:val="-4"/>
          <w:sz w:val="18"/>
        </w:rPr>
        <w:t xml:space="preserve"> </w:t>
      </w:r>
      <w:r>
        <w:rPr>
          <w:rFonts w:ascii="Arial" w:hAnsi="Arial"/>
          <w:sz w:val="18"/>
        </w:rPr>
        <w:t>indicação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mais</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uma</w:t>
      </w:r>
      <w:r>
        <w:rPr>
          <w:rFonts w:ascii="Arial" w:hAnsi="Arial"/>
          <w:spacing w:val="-4"/>
          <w:sz w:val="18"/>
        </w:rPr>
        <w:t xml:space="preserve"> </w:t>
      </w:r>
      <w:r>
        <w:rPr>
          <w:rFonts w:ascii="Arial" w:hAnsi="Arial"/>
          <w:sz w:val="18"/>
        </w:rPr>
        <w:t>área</w:t>
      </w:r>
      <w:r>
        <w:rPr>
          <w:rFonts w:ascii="Arial" w:hAnsi="Arial"/>
          <w:spacing w:val="-4"/>
          <w:sz w:val="18"/>
        </w:rPr>
        <w:t xml:space="preserve"> </w:t>
      </w:r>
      <w:r>
        <w:rPr>
          <w:rFonts w:ascii="Arial" w:hAnsi="Arial"/>
          <w:sz w:val="18"/>
        </w:rPr>
        <w:t>temática</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discurso.</w:t>
      </w:r>
    </w:p>
    <w:p w:rsidR="0088415B" w:rsidRDefault="0088415B" w:rsidP="0088415B">
      <w:pPr>
        <w:ind w:left="908" w:right="1577"/>
        <w:rPr>
          <w:rFonts w:ascii="Arial" w:eastAsia="Arial" w:hAnsi="Arial" w:cs="Arial"/>
          <w:sz w:val="18"/>
          <w:szCs w:val="18"/>
        </w:rPr>
      </w:pPr>
      <w:r>
        <w:rPr>
          <w:rFonts w:ascii="Arial" w:eastAsia="Arial" w:hAnsi="Arial" w:cs="Arial"/>
          <w:sz w:val="18"/>
          <w:szCs w:val="18"/>
        </w:rPr>
        <w:t>A dependência entre as variáveis é significativa. Qui2 = 10,65, gl = 3, 1-p =&gt; 98,62%.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771796" w:rsidRDefault="00771796" w:rsidP="0088415B">
      <w:pPr>
        <w:pStyle w:val="Corpodetexto"/>
        <w:spacing w:before="137" w:line="360" w:lineRule="auto"/>
        <w:ind w:right="112"/>
        <w:jc w:val="both"/>
      </w:pPr>
    </w:p>
    <w:p w:rsidR="00771796" w:rsidRDefault="00771796" w:rsidP="0088415B">
      <w:pPr>
        <w:pStyle w:val="Corpodetexto"/>
        <w:spacing w:before="137" w:line="360" w:lineRule="auto"/>
        <w:ind w:right="112"/>
        <w:jc w:val="both"/>
      </w:pPr>
    </w:p>
    <w:p w:rsidR="00771796" w:rsidRDefault="00771796" w:rsidP="0088415B">
      <w:pPr>
        <w:pStyle w:val="Corpodetexto"/>
        <w:spacing w:before="137" w:line="360" w:lineRule="auto"/>
        <w:ind w:right="112"/>
        <w:jc w:val="both"/>
      </w:pPr>
    </w:p>
    <w:p w:rsidR="0088415B" w:rsidRDefault="0088415B" w:rsidP="0088415B">
      <w:pPr>
        <w:pStyle w:val="Corpodetexto"/>
        <w:spacing w:before="137" w:line="360" w:lineRule="auto"/>
        <w:ind w:right="112"/>
        <w:jc w:val="both"/>
      </w:pPr>
      <w:r>
        <w:t xml:space="preserve">Tais dados evidenciam que à medida que as mulheres aumentam seu capital político, conquistando cargos e tendo mais visibilidade dentro e fora do campo, elas passam a se dedicar às </w:t>
      </w:r>
      <w:r>
        <w:rPr>
          <w:i/>
        </w:rPr>
        <w:t>hard politics</w:t>
      </w:r>
      <w:r>
        <w:t xml:space="preserve">, corroborando a hipótese de que </w:t>
      </w:r>
      <w:r>
        <w:rPr>
          <w:i/>
        </w:rPr>
        <w:t xml:space="preserve">soft politics </w:t>
      </w:r>
      <w:r>
        <w:t>são arenas discursivas onde</w:t>
      </w:r>
      <w:r>
        <w:rPr>
          <w:spacing w:val="24"/>
        </w:rPr>
        <w:t xml:space="preserve"> </w:t>
      </w:r>
      <w:r>
        <w:t>“as</w:t>
      </w:r>
      <w:r>
        <w:rPr>
          <w:spacing w:val="24"/>
        </w:rPr>
        <w:t xml:space="preserve"> </w:t>
      </w:r>
      <w:r>
        <w:t>iniciantes”</w:t>
      </w:r>
      <w:r>
        <w:rPr>
          <w:spacing w:val="24"/>
        </w:rPr>
        <w:t xml:space="preserve"> </w:t>
      </w:r>
      <w:r>
        <w:t>podem</w:t>
      </w:r>
      <w:r>
        <w:rPr>
          <w:spacing w:val="22"/>
        </w:rPr>
        <w:t xml:space="preserve"> </w:t>
      </w:r>
      <w:r>
        <w:t>se</w:t>
      </w:r>
      <w:r>
        <w:rPr>
          <w:spacing w:val="23"/>
        </w:rPr>
        <w:t xml:space="preserve"> </w:t>
      </w:r>
      <w:r>
        <w:t>encaixar</w:t>
      </w:r>
      <w:r>
        <w:rPr>
          <w:spacing w:val="23"/>
        </w:rPr>
        <w:t xml:space="preserve"> </w:t>
      </w:r>
      <w:r>
        <w:t>e</w:t>
      </w:r>
      <w:r>
        <w:rPr>
          <w:spacing w:val="24"/>
        </w:rPr>
        <w:t xml:space="preserve"> </w:t>
      </w:r>
      <w:r>
        <w:t>acumular</w:t>
      </w:r>
      <w:r>
        <w:rPr>
          <w:spacing w:val="24"/>
        </w:rPr>
        <w:t xml:space="preserve"> </w:t>
      </w:r>
      <w:r>
        <w:t>capital</w:t>
      </w:r>
      <w:r>
        <w:rPr>
          <w:spacing w:val="24"/>
        </w:rPr>
        <w:t xml:space="preserve"> </w:t>
      </w:r>
      <w:r>
        <w:t>político</w:t>
      </w:r>
      <w:r>
        <w:rPr>
          <w:spacing w:val="24"/>
        </w:rPr>
        <w:t xml:space="preserve"> </w:t>
      </w:r>
      <w:r>
        <w:t>primário.</w:t>
      </w:r>
      <w:r>
        <w:rPr>
          <w:spacing w:val="24"/>
        </w:rPr>
        <w:t xml:space="preserve"> </w:t>
      </w:r>
      <w:r>
        <w:t>À</w:t>
      </w:r>
      <w:r>
        <w:rPr>
          <w:spacing w:val="24"/>
        </w:rPr>
        <w:t xml:space="preserve"> </w:t>
      </w:r>
      <w:r>
        <w:t>medida</w:t>
      </w:r>
      <w:r>
        <w:rPr>
          <w:spacing w:val="24"/>
        </w:rPr>
        <w:t xml:space="preserve"> </w:t>
      </w:r>
      <w:r>
        <w:t>que</w:t>
      </w:r>
    </w:p>
    <w:p w:rsidR="0088415B" w:rsidRDefault="0088415B" w:rsidP="0088415B">
      <w:pPr>
        <w:pStyle w:val="Corpodetexto"/>
        <w:spacing w:before="69" w:line="360" w:lineRule="auto"/>
        <w:ind w:right="114" w:firstLine="0"/>
        <w:jc w:val="both"/>
      </w:pPr>
      <w:r>
        <w:t xml:space="preserve">ascendem se dedicando à </w:t>
      </w:r>
      <w:r>
        <w:rPr>
          <w:i/>
        </w:rPr>
        <w:t>soft politics</w:t>
      </w:r>
      <w:r>
        <w:t>, elas não precisam mais se restringir aos “temas femininos”, apesar de continuarem formalmente vinculadas aos espaços decisórios ligados a eles.</w:t>
      </w:r>
    </w:p>
    <w:p w:rsidR="0088415B" w:rsidRDefault="0088415B" w:rsidP="0088415B">
      <w:pPr>
        <w:pStyle w:val="Corpodetexto"/>
        <w:spacing w:line="360" w:lineRule="auto"/>
        <w:ind w:right="110"/>
        <w:jc w:val="both"/>
      </w:pPr>
      <w:r>
        <w:t xml:space="preserve">Resta saber se as preferências temáticas das parlamentares com grande capital político acumulado são acompanhadas da participação efetiva delas nas arenas de decisão formais consideradas relevantes. Os dados citados acerca das Comissões Permanentes da Câmara Federal indicaram uma nítida inclinação das mulheres para os campos de decisão relativos às </w:t>
      </w:r>
      <w:r>
        <w:rPr>
          <w:i/>
        </w:rPr>
        <w:t>soft</w:t>
      </w:r>
      <w:r>
        <w:rPr>
          <w:i/>
          <w:spacing w:val="-2"/>
        </w:rPr>
        <w:t xml:space="preserve"> </w:t>
      </w:r>
      <w:r>
        <w:rPr>
          <w:i/>
        </w:rPr>
        <w:t>politics</w:t>
      </w:r>
      <w:r>
        <w:t>.</w:t>
      </w:r>
    </w:p>
    <w:p w:rsidR="0088415B" w:rsidRDefault="0088415B" w:rsidP="0088415B">
      <w:pPr>
        <w:pStyle w:val="Corpodetexto"/>
        <w:spacing w:line="360" w:lineRule="auto"/>
        <w:ind w:right="113"/>
        <w:jc w:val="both"/>
      </w:pPr>
      <w:r>
        <w:t xml:space="preserve">Segundo a tabela 10, entre os indicados do DIAP, a quantidade de mulheres titulares nas comissões atreladas às </w:t>
      </w:r>
      <w:r>
        <w:rPr>
          <w:i/>
        </w:rPr>
        <w:t xml:space="preserve">hard politics </w:t>
      </w:r>
      <w:r>
        <w:t xml:space="preserve">se aproxima da de homens. Isso confirma a hipótese de que as mulheres transitam para esta área temática à medida que ocupam posições mais centrais no campo político, mesmo que tais posições sejam advindas do seu trabalho em prol das políticas </w:t>
      </w:r>
      <w:r>
        <w:rPr>
          <w:i/>
        </w:rPr>
        <w:t>soft</w:t>
      </w:r>
      <w:r>
        <w:t xml:space="preserve">. Isto é, existe uma maior participação das mulheres em comissões de </w:t>
      </w:r>
      <w:r>
        <w:rPr>
          <w:i/>
        </w:rPr>
        <w:t xml:space="preserve">hard </w:t>
      </w:r>
      <w:r>
        <w:rPr>
          <w:i/>
        </w:rPr>
        <w:lastRenderedPageBreak/>
        <w:t xml:space="preserve">politics </w:t>
      </w:r>
      <w:r>
        <w:t>quando elas ocupam posições de destaque no campo</w:t>
      </w:r>
      <w:r>
        <w:rPr>
          <w:spacing w:val="-5"/>
        </w:rPr>
        <w:t xml:space="preserve"> </w:t>
      </w:r>
      <w:r>
        <w:t>político.</w:t>
      </w:r>
    </w:p>
    <w:p w:rsidR="0088415B" w:rsidRDefault="0088415B" w:rsidP="0088415B">
      <w:pPr>
        <w:spacing w:before="5" w:after="4"/>
        <w:ind w:left="609"/>
        <w:rPr>
          <w:rFonts w:ascii="Arial" w:eastAsia="Arial" w:hAnsi="Arial" w:cs="Arial"/>
          <w:sz w:val="18"/>
          <w:szCs w:val="18"/>
        </w:rPr>
      </w:pPr>
      <w:r>
        <w:rPr>
          <w:rFonts w:ascii="Arial" w:hAnsi="Arial"/>
          <w:b/>
          <w:sz w:val="18"/>
        </w:rPr>
        <w:t>Tabela</w:t>
      </w:r>
      <w:r>
        <w:rPr>
          <w:rFonts w:ascii="Arial" w:hAnsi="Arial"/>
          <w:b/>
          <w:spacing w:val="-5"/>
          <w:sz w:val="18"/>
        </w:rPr>
        <w:t xml:space="preserve"> </w:t>
      </w:r>
      <w:r>
        <w:rPr>
          <w:rFonts w:ascii="Arial" w:hAnsi="Arial"/>
          <w:b/>
          <w:sz w:val="18"/>
        </w:rPr>
        <w:t>10</w:t>
      </w:r>
      <w:r>
        <w:rPr>
          <w:rFonts w:ascii="Arial" w:hAnsi="Arial"/>
          <w:b/>
          <w:spacing w:val="-5"/>
          <w:sz w:val="18"/>
        </w:rPr>
        <w:t xml:space="preserve"> </w:t>
      </w:r>
      <w:r>
        <w:rPr>
          <w:rFonts w:ascii="Arial" w:hAnsi="Arial"/>
          <w:sz w:val="18"/>
        </w:rPr>
        <w:t>:</w:t>
      </w:r>
      <w:r>
        <w:rPr>
          <w:rFonts w:ascii="Arial" w:hAnsi="Arial"/>
          <w:spacing w:val="-4"/>
          <w:sz w:val="18"/>
        </w:rPr>
        <w:t xml:space="preserve"> </w:t>
      </w:r>
      <w:r>
        <w:rPr>
          <w:rFonts w:ascii="Arial" w:hAnsi="Arial"/>
          <w:sz w:val="18"/>
        </w:rPr>
        <w:t>Participação</w:t>
      </w:r>
      <w:r>
        <w:rPr>
          <w:rFonts w:ascii="Arial" w:hAnsi="Arial"/>
          <w:spacing w:val="-4"/>
          <w:sz w:val="18"/>
        </w:rPr>
        <w:t xml:space="preserve"> </w:t>
      </w:r>
      <w:r>
        <w:rPr>
          <w:rFonts w:ascii="Arial" w:hAnsi="Arial"/>
          <w:sz w:val="18"/>
        </w:rPr>
        <w:t>em</w:t>
      </w:r>
      <w:r>
        <w:rPr>
          <w:rFonts w:ascii="Arial" w:hAnsi="Arial"/>
          <w:spacing w:val="-4"/>
          <w:sz w:val="18"/>
        </w:rPr>
        <w:t xml:space="preserve"> </w:t>
      </w:r>
      <w:r>
        <w:rPr>
          <w:rFonts w:ascii="Arial" w:hAnsi="Arial"/>
          <w:sz w:val="18"/>
        </w:rPr>
        <w:t>comissões,</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sexo,</w:t>
      </w:r>
      <w:r>
        <w:rPr>
          <w:rFonts w:ascii="Arial" w:hAnsi="Arial"/>
          <w:spacing w:val="-4"/>
          <w:sz w:val="18"/>
        </w:rPr>
        <w:t xml:space="preserve"> </w:t>
      </w:r>
      <w:r>
        <w:rPr>
          <w:rFonts w:ascii="Arial" w:hAnsi="Arial"/>
          <w:sz w:val="18"/>
        </w:rPr>
        <w:t>entre</w:t>
      </w:r>
      <w:r>
        <w:rPr>
          <w:rFonts w:ascii="Arial" w:hAnsi="Arial"/>
          <w:spacing w:val="-4"/>
          <w:sz w:val="18"/>
        </w:rPr>
        <w:t xml:space="preserve"> </w:t>
      </w:r>
      <w:r>
        <w:rPr>
          <w:rFonts w:ascii="Arial" w:hAnsi="Arial"/>
          <w:sz w:val="18"/>
        </w:rPr>
        <w:t>os</w:t>
      </w:r>
      <w:r>
        <w:rPr>
          <w:rFonts w:ascii="Arial" w:hAnsi="Arial"/>
          <w:spacing w:val="-5"/>
          <w:sz w:val="18"/>
        </w:rPr>
        <w:t xml:space="preserve"> </w:t>
      </w:r>
      <w:r>
        <w:rPr>
          <w:rFonts w:ascii="Arial" w:hAnsi="Arial"/>
          <w:sz w:val="18"/>
        </w:rPr>
        <w:t>parlamentares</w:t>
      </w:r>
      <w:r>
        <w:rPr>
          <w:rFonts w:ascii="Arial" w:hAnsi="Arial"/>
          <w:spacing w:val="-4"/>
          <w:sz w:val="18"/>
        </w:rPr>
        <w:t xml:space="preserve"> </w:t>
      </w:r>
      <w:r>
        <w:rPr>
          <w:rFonts w:ascii="Arial" w:hAnsi="Arial"/>
          <w:sz w:val="18"/>
        </w:rPr>
        <w:t>incluídos</w:t>
      </w:r>
      <w:r>
        <w:rPr>
          <w:rFonts w:ascii="Arial" w:hAnsi="Arial"/>
          <w:spacing w:val="-4"/>
          <w:sz w:val="18"/>
        </w:rPr>
        <w:t xml:space="preserve"> </w:t>
      </w:r>
      <w:r>
        <w:rPr>
          <w:rFonts w:ascii="Arial" w:hAnsi="Arial"/>
          <w:sz w:val="18"/>
        </w:rPr>
        <w:t>na</w:t>
      </w:r>
      <w:r>
        <w:rPr>
          <w:rFonts w:ascii="Arial" w:hAnsi="Arial"/>
          <w:spacing w:val="-5"/>
          <w:sz w:val="18"/>
        </w:rPr>
        <w:t xml:space="preserve"> </w:t>
      </w:r>
      <w:r>
        <w:rPr>
          <w:rFonts w:ascii="Arial" w:hAnsi="Arial"/>
          <w:sz w:val="18"/>
        </w:rPr>
        <w:t>lista</w:t>
      </w:r>
      <w:r>
        <w:rPr>
          <w:rFonts w:ascii="Arial" w:hAnsi="Arial"/>
          <w:spacing w:val="-4"/>
          <w:sz w:val="18"/>
        </w:rPr>
        <w:t xml:space="preserve"> </w:t>
      </w:r>
      <w:r>
        <w:rPr>
          <w:rFonts w:ascii="Arial" w:hAnsi="Arial"/>
          <w:sz w:val="18"/>
        </w:rPr>
        <w:t>do</w:t>
      </w:r>
      <w:r>
        <w:rPr>
          <w:rFonts w:ascii="Arial" w:hAnsi="Arial"/>
          <w:spacing w:val="-4"/>
          <w:sz w:val="18"/>
        </w:rPr>
        <w:t xml:space="preserve"> </w:t>
      </w:r>
      <w:r>
        <w:rPr>
          <w:rFonts w:ascii="Arial" w:hAnsi="Arial"/>
          <w:sz w:val="18"/>
        </w:rPr>
        <w:t>DIAP.</w:t>
      </w:r>
    </w:p>
    <w:tbl>
      <w:tblPr>
        <w:tblW w:w="0" w:type="auto"/>
        <w:tblInd w:w="539" w:type="dxa"/>
        <w:tblLayout w:type="fixed"/>
        <w:tblCellMar>
          <w:left w:w="0" w:type="dxa"/>
          <w:right w:w="0" w:type="dxa"/>
        </w:tblCellMar>
        <w:tblLook w:val="01E0"/>
      </w:tblPr>
      <w:tblGrid>
        <w:gridCol w:w="3047"/>
        <w:gridCol w:w="1618"/>
        <w:gridCol w:w="1782"/>
        <w:gridCol w:w="1775"/>
      </w:tblGrid>
      <w:tr w:rsidR="0088415B" w:rsidTr="00505E82">
        <w:trPr>
          <w:trHeight w:hRule="exact" w:val="236"/>
        </w:trPr>
        <w:tc>
          <w:tcPr>
            <w:tcW w:w="3047" w:type="dxa"/>
            <w:tcBorders>
              <w:top w:val="single" w:sz="12" w:space="0" w:color="000000"/>
              <w:left w:val="nil"/>
              <w:bottom w:val="single" w:sz="12" w:space="0" w:color="000000"/>
              <w:right w:val="single" w:sz="4" w:space="0" w:color="000000"/>
            </w:tcBorders>
            <w:shd w:val="clear" w:color="auto" w:fill="auto"/>
          </w:tcPr>
          <w:p w:rsidR="0088415B" w:rsidRDefault="0088415B" w:rsidP="00505E82">
            <w:pPr>
              <w:widowControl w:val="0"/>
            </w:pPr>
          </w:p>
        </w:tc>
        <w:tc>
          <w:tcPr>
            <w:tcW w:w="1618"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377" w:right="377"/>
              <w:jc w:val="center"/>
              <w:rPr>
                <w:rFonts w:ascii="Arial" w:eastAsia="Arial" w:hAnsi="Arial" w:cs="Arial"/>
                <w:sz w:val="18"/>
                <w:szCs w:val="18"/>
              </w:rPr>
            </w:pPr>
            <w:r w:rsidRPr="00505E82">
              <w:rPr>
                <w:rFonts w:ascii="Arial"/>
                <w:sz w:val="18"/>
              </w:rPr>
              <w:t>feminino</w:t>
            </w:r>
          </w:p>
        </w:tc>
        <w:tc>
          <w:tcPr>
            <w:tcW w:w="1782" w:type="dxa"/>
            <w:tcBorders>
              <w:top w:val="single" w:sz="12" w:space="0" w:color="000000"/>
              <w:left w:val="single" w:sz="4" w:space="0" w:color="000000"/>
              <w:bottom w:val="single" w:sz="12" w:space="0" w:color="000000"/>
              <w:right w:val="single" w:sz="4" w:space="0" w:color="000000"/>
            </w:tcBorders>
            <w:shd w:val="clear" w:color="auto" w:fill="auto"/>
          </w:tcPr>
          <w:p w:rsidR="0088415B" w:rsidRPr="00505E82" w:rsidRDefault="0088415B" w:rsidP="00505E82">
            <w:pPr>
              <w:pStyle w:val="TableParagraph"/>
              <w:spacing w:line="205" w:lineRule="exact"/>
              <w:ind w:left="481"/>
              <w:rPr>
                <w:rFonts w:ascii="Arial" w:eastAsia="Arial" w:hAnsi="Arial" w:cs="Arial"/>
                <w:sz w:val="18"/>
                <w:szCs w:val="18"/>
              </w:rPr>
            </w:pPr>
            <w:r w:rsidRPr="00505E82">
              <w:rPr>
                <w:rFonts w:ascii="Arial"/>
                <w:sz w:val="18"/>
              </w:rPr>
              <w:t>masculino</w:t>
            </w:r>
          </w:p>
        </w:tc>
        <w:tc>
          <w:tcPr>
            <w:tcW w:w="1775" w:type="dxa"/>
            <w:tcBorders>
              <w:top w:val="single" w:sz="12" w:space="0" w:color="000000"/>
              <w:left w:val="single" w:sz="4" w:space="0" w:color="000000"/>
              <w:bottom w:val="single" w:sz="12" w:space="0" w:color="000000"/>
              <w:right w:val="nil"/>
            </w:tcBorders>
            <w:shd w:val="clear" w:color="auto" w:fill="auto"/>
          </w:tcPr>
          <w:p w:rsidR="0088415B" w:rsidRPr="00505E82" w:rsidRDefault="0088415B" w:rsidP="00505E82">
            <w:pPr>
              <w:pStyle w:val="TableParagraph"/>
              <w:spacing w:line="205" w:lineRule="exact"/>
              <w:ind w:left="378" w:right="379"/>
              <w:jc w:val="center"/>
              <w:rPr>
                <w:rFonts w:ascii="Arial" w:eastAsia="Arial" w:hAnsi="Arial" w:cs="Arial"/>
                <w:sz w:val="18"/>
                <w:szCs w:val="18"/>
              </w:rPr>
            </w:pPr>
            <w:r w:rsidRPr="00505E82">
              <w:rPr>
                <w:rFonts w:ascii="Arial"/>
                <w:sz w:val="18"/>
              </w:rPr>
              <w:t>total</w:t>
            </w:r>
          </w:p>
        </w:tc>
      </w:tr>
      <w:tr w:rsidR="0088415B" w:rsidTr="00505E82">
        <w:trPr>
          <w:trHeight w:hRule="exact" w:val="227"/>
        </w:trPr>
        <w:tc>
          <w:tcPr>
            <w:tcW w:w="3047" w:type="dxa"/>
            <w:tcBorders>
              <w:top w:val="single" w:sz="12"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soft</w:t>
            </w:r>
            <w:r w:rsidRPr="00505E82">
              <w:rPr>
                <w:rFonts w:ascii="Arial"/>
                <w:spacing w:val="-12"/>
                <w:sz w:val="18"/>
              </w:rPr>
              <w:t xml:space="preserve"> </w:t>
            </w:r>
            <w:r w:rsidRPr="00505E82">
              <w:rPr>
                <w:rFonts w:ascii="Arial"/>
                <w:sz w:val="18"/>
              </w:rPr>
              <w:t>politics</w:t>
            </w:r>
          </w:p>
        </w:tc>
        <w:tc>
          <w:tcPr>
            <w:tcW w:w="1618"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7" w:right="377"/>
              <w:jc w:val="center"/>
              <w:rPr>
                <w:rFonts w:ascii="Arial" w:eastAsia="Arial" w:hAnsi="Arial" w:cs="Arial"/>
                <w:sz w:val="18"/>
                <w:szCs w:val="18"/>
              </w:rPr>
            </w:pPr>
            <w:r w:rsidRPr="00505E82">
              <w:rPr>
                <w:rFonts w:ascii="Arial"/>
                <w:sz w:val="18"/>
              </w:rPr>
              <w:t>50,0% (</w:t>
            </w:r>
            <w:r w:rsidRPr="00505E82">
              <w:rPr>
                <w:rFonts w:ascii="Arial"/>
                <w:spacing w:val="-7"/>
                <w:sz w:val="18"/>
              </w:rPr>
              <w:t xml:space="preserve"> </w:t>
            </w:r>
            <w:r w:rsidRPr="00505E82">
              <w:rPr>
                <w:rFonts w:ascii="Arial"/>
                <w:sz w:val="18"/>
              </w:rPr>
              <w:t>3)</w:t>
            </w:r>
          </w:p>
        </w:tc>
        <w:tc>
          <w:tcPr>
            <w:tcW w:w="1782" w:type="dxa"/>
            <w:tcBorders>
              <w:top w:val="single" w:sz="12"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418"/>
              <w:jc w:val="right"/>
              <w:rPr>
                <w:rFonts w:ascii="Arial" w:eastAsia="Arial" w:hAnsi="Arial" w:cs="Arial"/>
                <w:sz w:val="18"/>
                <w:szCs w:val="18"/>
              </w:rPr>
            </w:pPr>
            <w:r w:rsidRPr="00505E82">
              <w:rPr>
                <w:rFonts w:ascii="Arial"/>
                <w:sz w:val="18"/>
              </w:rPr>
              <w:t>39,9% (</w:t>
            </w:r>
            <w:r w:rsidRPr="00505E82">
              <w:rPr>
                <w:rFonts w:ascii="Arial"/>
                <w:spacing w:val="-8"/>
                <w:sz w:val="18"/>
              </w:rPr>
              <w:t xml:space="preserve"> </w:t>
            </w:r>
            <w:r w:rsidRPr="00505E82">
              <w:rPr>
                <w:rFonts w:ascii="Arial"/>
                <w:sz w:val="18"/>
              </w:rPr>
              <w:t>55)</w:t>
            </w:r>
          </w:p>
        </w:tc>
        <w:tc>
          <w:tcPr>
            <w:tcW w:w="1775" w:type="dxa"/>
            <w:tcBorders>
              <w:top w:val="single" w:sz="12"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84" w:right="379"/>
              <w:jc w:val="center"/>
              <w:rPr>
                <w:rFonts w:ascii="Arial" w:eastAsia="Arial" w:hAnsi="Arial" w:cs="Arial"/>
                <w:sz w:val="18"/>
                <w:szCs w:val="18"/>
              </w:rPr>
            </w:pPr>
            <w:r w:rsidRPr="00505E82">
              <w:rPr>
                <w:rFonts w:ascii="Arial"/>
                <w:sz w:val="18"/>
              </w:rPr>
              <w:t>40,3% (</w:t>
            </w:r>
            <w:r w:rsidRPr="00505E82">
              <w:rPr>
                <w:rFonts w:ascii="Arial"/>
                <w:spacing w:val="-8"/>
                <w:sz w:val="18"/>
              </w:rPr>
              <w:t xml:space="preserve"> </w:t>
            </w:r>
            <w:r w:rsidRPr="00505E82">
              <w:rPr>
                <w:rFonts w:ascii="Arial"/>
                <w:sz w:val="18"/>
              </w:rPr>
              <w:t>58)</w:t>
            </w:r>
          </w:p>
        </w:tc>
      </w:tr>
      <w:tr w:rsidR="0088415B" w:rsidTr="00505E82">
        <w:trPr>
          <w:trHeight w:hRule="exact" w:val="217"/>
        </w:trPr>
        <w:tc>
          <w:tcPr>
            <w:tcW w:w="3047"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hard</w:t>
            </w:r>
            <w:r w:rsidRPr="00505E82">
              <w:rPr>
                <w:rFonts w:ascii="Arial"/>
                <w:spacing w:val="-11"/>
                <w:sz w:val="18"/>
              </w:rPr>
              <w:t xml:space="preserve"> </w:t>
            </w:r>
            <w:r w:rsidRPr="00505E82">
              <w:rPr>
                <w:rFonts w:ascii="Arial"/>
                <w:sz w:val="18"/>
              </w:rPr>
              <w:t>politics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7" w:right="377"/>
              <w:jc w:val="center"/>
              <w:rPr>
                <w:rFonts w:ascii="Arial" w:eastAsia="Arial" w:hAnsi="Arial" w:cs="Arial"/>
                <w:sz w:val="18"/>
                <w:szCs w:val="18"/>
              </w:rPr>
            </w:pPr>
            <w:r w:rsidRPr="00505E82">
              <w:rPr>
                <w:rFonts w:ascii="Arial"/>
                <w:sz w:val="18"/>
              </w:rPr>
              <w:t>50,0% (</w:t>
            </w:r>
            <w:r w:rsidRPr="00505E82">
              <w:rPr>
                <w:rFonts w:ascii="Arial"/>
                <w:spacing w:val="-7"/>
                <w:sz w:val="18"/>
              </w:rPr>
              <w:t xml:space="preserve"> </w:t>
            </w:r>
            <w:r w:rsidRPr="00505E82">
              <w:rPr>
                <w:rFonts w:ascii="Arial"/>
                <w:sz w:val="18"/>
              </w:rPr>
              <w:t>3)</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393"/>
              <w:jc w:val="right"/>
              <w:rPr>
                <w:rFonts w:ascii="Arial" w:eastAsia="Arial" w:hAnsi="Arial" w:cs="Arial"/>
                <w:sz w:val="18"/>
                <w:szCs w:val="18"/>
              </w:rPr>
            </w:pPr>
            <w:r w:rsidRPr="00505E82">
              <w:rPr>
                <w:rFonts w:ascii="Arial"/>
                <w:sz w:val="18"/>
              </w:rPr>
              <w:t>76,1%</w:t>
            </w:r>
            <w:r w:rsidRPr="00505E82">
              <w:rPr>
                <w:rFonts w:ascii="Arial"/>
                <w:spacing w:val="-9"/>
                <w:sz w:val="18"/>
              </w:rPr>
              <w:t xml:space="preserve"> </w:t>
            </w:r>
            <w:r w:rsidRPr="00505E82">
              <w:rPr>
                <w:rFonts w:ascii="Arial"/>
                <w:sz w:val="18"/>
              </w:rPr>
              <w:t>(105)</w:t>
            </w:r>
          </w:p>
        </w:tc>
        <w:tc>
          <w:tcPr>
            <w:tcW w:w="1775"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84" w:right="379"/>
              <w:jc w:val="center"/>
              <w:rPr>
                <w:rFonts w:ascii="Arial" w:eastAsia="Arial" w:hAnsi="Arial" w:cs="Arial"/>
                <w:sz w:val="18"/>
                <w:szCs w:val="18"/>
              </w:rPr>
            </w:pPr>
            <w:r w:rsidRPr="00505E82">
              <w:rPr>
                <w:rFonts w:ascii="Arial"/>
                <w:sz w:val="18"/>
              </w:rPr>
              <w:t>75,0%</w:t>
            </w:r>
            <w:r w:rsidRPr="00505E82">
              <w:rPr>
                <w:rFonts w:ascii="Arial"/>
                <w:spacing w:val="-9"/>
                <w:sz w:val="18"/>
              </w:rPr>
              <w:t xml:space="preserve"> </w:t>
            </w:r>
            <w:r w:rsidRPr="00505E82">
              <w:rPr>
                <w:rFonts w:ascii="Arial"/>
                <w:sz w:val="18"/>
              </w:rPr>
              <w:t>(108)</w:t>
            </w:r>
          </w:p>
        </w:tc>
      </w:tr>
      <w:tr w:rsidR="0088415B" w:rsidTr="00505E82">
        <w:trPr>
          <w:trHeight w:hRule="exact" w:val="216"/>
        </w:trPr>
        <w:tc>
          <w:tcPr>
            <w:tcW w:w="3047"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middle</w:t>
            </w:r>
            <w:r w:rsidRPr="00505E82">
              <w:rPr>
                <w:rFonts w:ascii="Arial"/>
                <w:spacing w:val="-12"/>
                <w:sz w:val="18"/>
              </w:rPr>
              <w:t xml:space="preserve"> </w:t>
            </w:r>
            <w:r w:rsidRPr="00505E82">
              <w:rPr>
                <w:rFonts w:ascii="Arial"/>
                <w:sz w:val="18"/>
              </w:rPr>
              <w:t>politics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7" w:right="377"/>
              <w:jc w:val="center"/>
              <w:rPr>
                <w:rFonts w:ascii="Arial" w:eastAsia="Arial" w:hAnsi="Arial" w:cs="Arial"/>
                <w:sz w:val="18"/>
                <w:szCs w:val="18"/>
              </w:rPr>
            </w:pPr>
            <w:r w:rsidRPr="00505E82">
              <w:rPr>
                <w:rFonts w:ascii="Arial"/>
                <w:sz w:val="18"/>
              </w:rPr>
              <w:t>16,7% (</w:t>
            </w:r>
            <w:r w:rsidRPr="00505E82">
              <w:rPr>
                <w:rFonts w:ascii="Arial"/>
                <w:spacing w:val="-7"/>
                <w:sz w:val="18"/>
              </w:rPr>
              <w:t xml:space="preserve"> </w:t>
            </w:r>
            <w:r w:rsidRPr="00505E82">
              <w:rPr>
                <w:rFonts w:ascii="Arial"/>
                <w:sz w:val="18"/>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419"/>
              <w:jc w:val="right"/>
              <w:rPr>
                <w:rFonts w:ascii="Arial" w:eastAsia="Arial" w:hAnsi="Arial" w:cs="Arial"/>
                <w:sz w:val="18"/>
                <w:szCs w:val="18"/>
              </w:rPr>
            </w:pPr>
            <w:r w:rsidRPr="00505E82">
              <w:rPr>
                <w:rFonts w:ascii="Arial"/>
                <w:sz w:val="18"/>
              </w:rPr>
              <w:t>34,1% (</w:t>
            </w:r>
            <w:r w:rsidRPr="00505E82">
              <w:rPr>
                <w:rFonts w:ascii="Arial"/>
                <w:spacing w:val="-8"/>
                <w:sz w:val="18"/>
              </w:rPr>
              <w:t xml:space="preserve"> </w:t>
            </w:r>
            <w:r w:rsidRPr="00505E82">
              <w:rPr>
                <w:rFonts w:ascii="Arial"/>
                <w:sz w:val="18"/>
              </w:rPr>
              <w:t>47)</w:t>
            </w:r>
          </w:p>
        </w:tc>
        <w:tc>
          <w:tcPr>
            <w:tcW w:w="1775"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83" w:right="379"/>
              <w:jc w:val="center"/>
              <w:rPr>
                <w:rFonts w:ascii="Arial" w:eastAsia="Arial" w:hAnsi="Arial" w:cs="Arial"/>
                <w:sz w:val="18"/>
                <w:szCs w:val="18"/>
              </w:rPr>
            </w:pPr>
            <w:r w:rsidRPr="00505E82">
              <w:rPr>
                <w:rFonts w:ascii="Arial"/>
                <w:sz w:val="18"/>
              </w:rPr>
              <w:t>33,3% (</w:t>
            </w:r>
            <w:r w:rsidRPr="00505E82">
              <w:rPr>
                <w:rFonts w:ascii="Arial"/>
                <w:spacing w:val="-8"/>
                <w:sz w:val="18"/>
              </w:rPr>
              <w:t xml:space="preserve"> </w:t>
            </w:r>
            <w:r w:rsidRPr="00505E82">
              <w:rPr>
                <w:rFonts w:ascii="Arial"/>
                <w:sz w:val="18"/>
              </w:rPr>
              <w:t>48)</w:t>
            </w:r>
          </w:p>
        </w:tc>
      </w:tr>
      <w:tr w:rsidR="0088415B" w:rsidTr="00505E82">
        <w:trPr>
          <w:trHeight w:hRule="exact" w:val="217"/>
        </w:trPr>
        <w:tc>
          <w:tcPr>
            <w:tcW w:w="3047" w:type="dxa"/>
            <w:tcBorders>
              <w:top w:val="single" w:sz="4" w:space="0" w:color="000000"/>
              <w:left w:val="nil"/>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69"/>
              <w:rPr>
                <w:rFonts w:ascii="Arial" w:eastAsia="Arial" w:hAnsi="Arial" w:cs="Arial"/>
                <w:sz w:val="18"/>
                <w:szCs w:val="18"/>
              </w:rPr>
            </w:pPr>
            <w:r w:rsidRPr="00505E82">
              <w:rPr>
                <w:rFonts w:ascii="Arial"/>
                <w:sz w:val="18"/>
              </w:rPr>
              <w:t>Total</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left="377" w:right="377"/>
              <w:jc w:val="center"/>
              <w:rPr>
                <w:rFonts w:ascii="Arial" w:eastAsia="Arial" w:hAnsi="Arial" w:cs="Arial"/>
                <w:sz w:val="18"/>
                <w:szCs w:val="18"/>
              </w:rPr>
            </w:pPr>
            <w:r w:rsidRPr="00505E82">
              <w:rPr>
                <w:rFonts w:ascii="Arial"/>
                <w:sz w:val="18"/>
              </w:rPr>
              <w:t>100%</w:t>
            </w:r>
            <w:r w:rsidRPr="00505E82">
              <w:rPr>
                <w:rFonts w:ascii="Arial"/>
                <w:spacing w:val="-7"/>
                <w:sz w:val="18"/>
              </w:rPr>
              <w:t xml:space="preserve"> </w:t>
            </w:r>
            <w:r w:rsidRPr="00505E82">
              <w:rPr>
                <w:rFonts w:ascii="Arial"/>
                <w:sz w:val="18"/>
              </w:rPr>
              <w:t>(6)</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88415B" w:rsidRPr="00505E82" w:rsidRDefault="0088415B" w:rsidP="00505E82">
            <w:pPr>
              <w:pStyle w:val="TableParagraph"/>
              <w:spacing w:line="205" w:lineRule="exact"/>
              <w:ind w:right="420"/>
              <w:jc w:val="right"/>
              <w:rPr>
                <w:rFonts w:ascii="Arial" w:eastAsia="Arial" w:hAnsi="Arial" w:cs="Arial"/>
                <w:sz w:val="18"/>
                <w:szCs w:val="18"/>
              </w:rPr>
            </w:pPr>
            <w:r w:rsidRPr="00505E82">
              <w:rPr>
                <w:rFonts w:ascii="Arial"/>
                <w:sz w:val="18"/>
              </w:rPr>
              <w:t>100%</w:t>
            </w:r>
            <w:r w:rsidRPr="00505E82">
              <w:rPr>
                <w:rFonts w:ascii="Arial"/>
                <w:spacing w:val="-9"/>
                <w:sz w:val="18"/>
              </w:rPr>
              <w:t xml:space="preserve"> </w:t>
            </w:r>
            <w:r w:rsidRPr="00505E82">
              <w:rPr>
                <w:rFonts w:ascii="Arial"/>
                <w:sz w:val="18"/>
              </w:rPr>
              <w:t>(138)</w:t>
            </w:r>
          </w:p>
        </w:tc>
        <w:tc>
          <w:tcPr>
            <w:tcW w:w="1775" w:type="dxa"/>
            <w:tcBorders>
              <w:top w:val="single" w:sz="4" w:space="0" w:color="000000"/>
              <w:left w:val="single" w:sz="4" w:space="0" w:color="000000"/>
              <w:bottom w:val="single" w:sz="4" w:space="0" w:color="000000"/>
              <w:right w:val="nil"/>
            </w:tcBorders>
            <w:shd w:val="clear" w:color="auto" w:fill="auto"/>
          </w:tcPr>
          <w:p w:rsidR="0088415B" w:rsidRPr="00505E82" w:rsidRDefault="0088415B" w:rsidP="00505E82">
            <w:pPr>
              <w:pStyle w:val="TableParagraph"/>
              <w:spacing w:line="205" w:lineRule="exact"/>
              <w:ind w:left="379" w:right="379"/>
              <w:jc w:val="center"/>
              <w:rPr>
                <w:rFonts w:ascii="Arial" w:eastAsia="Arial" w:hAnsi="Arial" w:cs="Arial"/>
                <w:sz w:val="18"/>
                <w:szCs w:val="18"/>
              </w:rPr>
            </w:pPr>
            <w:r w:rsidRPr="00505E82">
              <w:rPr>
                <w:rFonts w:ascii="Arial"/>
                <w:sz w:val="18"/>
              </w:rPr>
              <w:t>100%</w:t>
            </w:r>
            <w:r w:rsidRPr="00505E82">
              <w:rPr>
                <w:rFonts w:ascii="Arial"/>
                <w:spacing w:val="-9"/>
                <w:sz w:val="18"/>
              </w:rPr>
              <w:t xml:space="preserve"> </w:t>
            </w:r>
            <w:r w:rsidRPr="00505E82">
              <w:rPr>
                <w:rFonts w:ascii="Arial"/>
                <w:sz w:val="18"/>
              </w:rPr>
              <w:t>(144)</w:t>
            </w:r>
          </w:p>
        </w:tc>
      </w:tr>
    </w:tbl>
    <w:p w:rsidR="0088415B" w:rsidRDefault="0088415B" w:rsidP="0088415B">
      <w:pPr>
        <w:ind w:left="609" w:right="3087"/>
        <w:rPr>
          <w:rFonts w:ascii="Arial" w:eastAsia="Arial" w:hAnsi="Arial" w:cs="Arial"/>
          <w:sz w:val="18"/>
          <w:szCs w:val="18"/>
        </w:rPr>
      </w:pPr>
      <w:r>
        <w:rPr>
          <w:rFonts w:ascii="Arial" w:eastAsia="Arial" w:hAnsi="Arial" w:cs="Arial"/>
          <w:sz w:val="18"/>
          <w:szCs w:val="18"/>
        </w:rPr>
        <w:t>A dependência não é significativa. Qui2 = 1,26, gl = 3, 1-p =&gt; 26,25%. Fonte: pesquisa “Discurso e gênero na Câmara dos</w:t>
      </w:r>
      <w:r>
        <w:rPr>
          <w:rFonts w:ascii="Arial" w:eastAsia="Arial" w:hAnsi="Arial" w:cs="Arial"/>
          <w:spacing w:val="-33"/>
          <w:sz w:val="18"/>
          <w:szCs w:val="18"/>
        </w:rPr>
        <w:t xml:space="preserve"> </w:t>
      </w:r>
      <w:r>
        <w:rPr>
          <w:rFonts w:ascii="Arial" w:eastAsia="Arial" w:hAnsi="Arial" w:cs="Arial"/>
          <w:sz w:val="18"/>
          <w:szCs w:val="18"/>
        </w:rPr>
        <w:t>Deputados”</w:t>
      </w:r>
    </w:p>
    <w:p w:rsidR="0088415B" w:rsidRDefault="0088415B" w:rsidP="0088415B">
      <w:pPr>
        <w:spacing w:before="1"/>
        <w:rPr>
          <w:rFonts w:ascii="Arial" w:eastAsia="Arial" w:hAnsi="Arial" w:cs="Arial"/>
          <w:sz w:val="20"/>
          <w:szCs w:val="20"/>
        </w:rPr>
      </w:pPr>
    </w:p>
    <w:p w:rsidR="0088415B" w:rsidRDefault="0088415B" w:rsidP="0088415B">
      <w:pPr>
        <w:pStyle w:val="Ttulo1"/>
        <w:ind w:left="827"/>
        <w:rPr>
          <w:b w:val="0"/>
          <w:bCs w:val="0"/>
        </w:rPr>
      </w:pPr>
      <w:r>
        <w:t>Conclusões</w:t>
      </w:r>
    </w:p>
    <w:p w:rsidR="0088415B" w:rsidRDefault="0088415B" w:rsidP="0088415B">
      <w:pPr>
        <w:pStyle w:val="Corpodetexto"/>
        <w:spacing w:before="228" w:line="360" w:lineRule="auto"/>
        <w:ind w:right="112" w:firstLine="708"/>
        <w:jc w:val="both"/>
      </w:pPr>
      <w:r>
        <w:t>A história de dominação patriarcal acabou por imprimir representações e condutas predominantemente masculinas ao mundo da política, desqualificando o feminino. A sub- representação feminina decorrente desse processo de violência simbólica ocorreu em parte pela própria introjeção por partes das mulheres de que elas não reuniriam as características próprias para a atuação pública. A partir do momento em que foram estendidos os direitos às minorias e utilizado o argumento da superioridade moral feminina como fundamento para a defesa da ampliação de sua presença na arena política, solapou-se a possibilidade de expansão feminina dentro das próprias instituições. Compreendendo a lógica política como uma lógica competitiva, definir previamente qual é a forma, por excelência, de atuação feminina é precisamente</w:t>
      </w:r>
      <w:r>
        <w:rPr>
          <w:spacing w:val="-6"/>
        </w:rPr>
        <w:t xml:space="preserve"> </w:t>
      </w:r>
      <w:r>
        <w:t>limitá-la.</w:t>
      </w:r>
    </w:p>
    <w:p w:rsidR="00771796" w:rsidRDefault="00771796" w:rsidP="0088415B">
      <w:pPr>
        <w:pStyle w:val="Corpodetexto"/>
        <w:spacing w:before="125" w:line="360" w:lineRule="auto"/>
        <w:ind w:right="112" w:firstLine="708"/>
        <w:jc w:val="both"/>
      </w:pPr>
    </w:p>
    <w:p w:rsidR="00771796" w:rsidRDefault="00771796" w:rsidP="0088415B">
      <w:pPr>
        <w:pStyle w:val="Corpodetexto"/>
        <w:spacing w:before="125" w:line="360" w:lineRule="auto"/>
        <w:ind w:right="112" w:firstLine="708"/>
        <w:jc w:val="both"/>
      </w:pPr>
    </w:p>
    <w:p w:rsidR="0088415B" w:rsidRDefault="0088415B" w:rsidP="0088415B">
      <w:pPr>
        <w:pStyle w:val="Corpodetexto"/>
        <w:spacing w:before="125" w:line="360" w:lineRule="auto"/>
        <w:ind w:right="112" w:firstLine="708"/>
        <w:jc w:val="both"/>
      </w:pPr>
      <w:r>
        <w:t xml:space="preserve">Após uma reflexão teórica e empírica das relações entre gênero, representação e práticas políticas e seus principais determinantes, foi possível esboçar as estratégias de  atuação feminina. Pode-se dizer que existe uma estreita correlação entre as posições de </w:t>
      </w:r>
      <w:r>
        <w:rPr>
          <w:spacing w:val="23"/>
        </w:rPr>
        <w:t xml:space="preserve"> </w:t>
      </w:r>
      <w:r>
        <w:rPr>
          <w:i/>
        </w:rPr>
        <w:t>status</w:t>
      </w:r>
    </w:p>
    <w:p w:rsidR="0088415B" w:rsidRDefault="0088415B" w:rsidP="0088415B">
      <w:pPr>
        <w:pStyle w:val="Corpodetexto"/>
        <w:spacing w:before="69" w:line="360" w:lineRule="auto"/>
        <w:ind w:right="111" w:firstLine="0"/>
        <w:jc w:val="both"/>
      </w:pPr>
      <w:r>
        <w:t xml:space="preserve">das mulheres dentro do campo político e a inclinação temática destas para os temas dos discursos proferidos, bem como a participação em comissões temáticas específicas da Câmara dos Deputados. Verificou-se a proeminência de </w:t>
      </w:r>
      <w:r>
        <w:rPr>
          <w:i/>
        </w:rPr>
        <w:t xml:space="preserve">soft politcs </w:t>
      </w:r>
      <w:r>
        <w:t xml:space="preserve">em todas as dimensões da ação </w:t>
      </w:r>
      <w:r>
        <w:lastRenderedPageBreak/>
        <w:t xml:space="preserve">política feminina analisadas neste trabalho e a transição paulatina para o debate de </w:t>
      </w:r>
      <w:r>
        <w:rPr>
          <w:i/>
        </w:rPr>
        <w:t xml:space="preserve">hard politics </w:t>
      </w:r>
      <w:r>
        <w:t>à medida que acumulam cargos e/ou ganham visibilidade política.  Evidencia-se, assim, a associação entre privilegiar determinados temas na atuação parlamentar e a impulsão da carreira política. Assim como foi atestado com o mapeamento temático, constatou-se que poucas foram as mulheres que conseguiram espaço nas comissões de peso da Casa, poucas ocuparam alguma posição de prestígio e</w:t>
      </w:r>
      <w:r>
        <w:rPr>
          <w:spacing w:val="-4"/>
        </w:rPr>
        <w:t xml:space="preserve"> </w:t>
      </w:r>
      <w:r>
        <w:t>poder.</w:t>
      </w:r>
    </w:p>
    <w:p w:rsidR="0088415B" w:rsidRDefault="0088415B" w:rsidP="0088415B">
      <w:pPr>
        <w:pStyle w:val="Corpodetexto"/>
        <w:spacing w:before="125" w:line="360" w:lineRule="auto"/>
        <w:ind w:right="111" w:firstLine="708"/>
        <w:jc w:val="both"/>
      </w:pPr>
      <w:r>
        <w:t>Contudo, alguns problemas ainda permaneceriam, qual seja o reduzido número de mulheres no parlamento nos últimos anos e, daí, a dificuldade de generalizar as regularidades porventura detectadas. Independentemente de ser “causa” ou “efeito”, a mudança das inclinações políticas das mulheres à medida que acumulam capital político é um fato que merece análise. Demonstra a efetiva seleção de determinados discursos em detrimento de outros, a alocação de temas importantes nas bordas do campo e o aprofundamento de uma marginalização histórica de uma minoria política majoritária quantitativamente no</w:t>
      </w:r>
      <w:r>
        <w:rPr>
          <w:spacing w:val="-16"/>
        </w:rPr>
        <w:t xml:space="preserve"> </w:t>
      </w:r>
      <w:r>
        <w:t>eleitorado.</w:t>
      </w:r>
    </w:p>
    <w:p w:rsidR="0088415B" w:rsidRDefault="0088415B" w:rsidP="0088415B">
      <w:pPr>
        <w:pStyle w:val="Corpodetexto"/>
        <w:spacing w:before="125" w:line="360" w:lineRule="auto"/>
        <w:ind w:right="111"/>
        <w:jc w:val="both"/>
      </w:pPr>
      <w:r>
        <w:t>Evidentemente que a discrepância existente nas instituições legislativas concernente à ínfima presença feminina nos centros decisórios deve ser combatida. Todavia, fundamentar a adoção de cotas, por exemplo, ou qualquer outra ação afirmativa no sentido de ampliar a participação das mulheres na esfera pública na argumentação de características intrínsecas e, dessa forma, naturalizadas de homens e mulheres, é sabotar as possibilidades da igualdade de representação</w:t>
      </w:r>
      <w:r>
        <w:rPr>
          <w:spacing w:val="-3"/>
        </w:rPr>
        <w:t xml:space="preserve"> </w:t>
      </w:r>
      <w:r>
        <w:t>política.</w:t>
      </w:r>
    </w:p>
    <w:p w:rsidR="00771796" w:rsidRDefault="0088415B" w:rsidP="0088415B">
      <w:pPr>
        <w:pStyle w:val="Corpodetexto"/>
        <w:spacing w:before="125" w:line="360" w:lineRule="auto"/>
        <w:ind w:right="110"/>
        <w:jc w:val="both"/>
      </w:pPr>
      <w:r>
        <w:t xml:space="preserve">Em grande medida, as mulheres ainda são vistas como “penetras” em um espaço estruturado sob a ótica masculina, entretanto, a presença delas é tão legítima quanto a dos homens, mesmo não sendo ainda efetiva. A necessidade de mecanismos que propiciem uma melhor distribuição do poder político entre grupos minoritários, como as cotas, são um indício da subalternidade. Se os homens podem estabelecer suas estratégias mais ou menos livremente, as mulheres na política se vêem, antes de mais nada, diante de um dilema, comum a todas elas (Miguel e Biroli, 2005): se enfrentam os estereótipos, ignorando as expectativas </w:t>
      </w:r>
      <w:r>
        <w:lastRenderedPageBreak/>
        <w:t xml:space="preserve">sociais construídas sobre a postura “adequada” para elas, sofrem o estigma de serem consideradas desviantes ou masculinizadas; se, ao contrário, optam por se adaptar a eles, </w:t>
      </w:r>
    </w:p>
    <w:p w:rsidR="00771796" w:rsidRDefault="00771796" w:rsidP="0088415B">
      <w:pPr>
        <w:pStyle w:val="Corpodetexto"/>
        <w:spacing w:before="125" w:line="360" w:lineRule="auto"/>
        <w:ind w:right="110"/>
        <w:jc w:val="both"/>
      </w:pPr>
    </w:p>
    <w:p w:rsidR="00771796" w:rsidRDefault="00771796" w:rsidP="0088415B">
      <w:pPr>
        <w:pStyle w:val="Corpodetexto"/>
        <w:spacing w:before="125" w:line="360" w:lineRule="auto"/>
        <w:ind w:right="110"/>
        <w:jc w:val="both"/>
      </w:pPr>
    </w:p>
    <w:p w:rsidR="00771796" w:rsidRDefault="00771796" w:rsidP="0088415B">
      <w:pPr>
        <w:pStyle w:val="Corpodetexto"/>
        <w:spacing w:before="125" w:line="360" w:lineRule="auto"/>
        <w:ind w:right="110"/>
        <w:jc w:val="both"/>
      </w:pPr>
    </w:p>
    <w:p w:rsidR="0088415B" w:rsidRDefault="0088415B" w:rsidP="0088415B">
      <w:pPr>
        <w:pStyle w:val="Corpodetexto"/>
        <w:spacing w:before="125" w:line="360" w:lineRule="auto"/>
        <w:ind w:right="110"/>
        <w:jc w:val="both"/>
      </w:pPr>
      <w:r>
        <w:t xml:space="preserve">acabam por se confinar em posições de menor prestígio no campo. Isto é, criam uma espécie de “clube da Luluzinha”, o gueto feminino na política masculina, que reforça os   </w:t>
      </w:r>
      <w:r>
        <w:rPr>
          <w:spacing w:val="3"/>
        </w:rPr>
        <w:t xml:space="preserve"> </w:t>
      </w:r>
      <w:r>
        <w:t>tradicionais</w:t>
      </w:r>
    </w:p>
    <w:p w:rsidR="0088415B" w:rsidRDefault="0088415B" w:rsidP="0088415B">
      <w:pPr>
        <w:sectPr w:rsidR="0088415B">
          <w:pgSz w:w="11910" w:h="16840"/>
          <w:pgMar w:top="920" w:right="1300" w:bottom="280" w:left="1300" w:header="733" w:footer="0" w:gutter="0"/>
          <w:cols w:space="720"/>
        </w:sectPr>
      </w:pPr>
    </w:p>
    <w:p w:rsidR="0088415B" w:rsidRDefault="0088415B" w:rsidP="0088415B">
      <w:pPr>
        <w:rPr>
          <w:rFonts w:ascii="Times New Roman" w:eastAsia="Times New Roman" w:hAnsi="Times New Roman"/>
          <w:sz w:val="20"/>
          <w:szCs w:val="20"/>
        </w:rPr>
      </w:pPr>
    </w:p>
    <w:p w:rsidR="0088415B" w:rsidRDefault="0088415B" w:rsidP="0088415B">
      <w:pPr>
        <w:spacing w:before="10"/>
        <w:rPr>
          <w:rFonts w:ascii="Times New Roman" w:eastAsia="Times New Roman" w:hAnsi="Times New Roman"/>
          <w:sz w:val="15"/>
          <w:szCs w:val="15"/>
        </w:rPr>
      </w:pPr>
    </w:p>
    <w:p w:rsidR="0088415B" w:rsidRDefault="0088415B" w:rsidP="0088415B">
      <w:pPr>
        <w:pStyle w:val="Corpodetexto"/>
        <w:spacing w:before="69" w:line="360" w:lineRule="auto"/>
        <w:ind w:firstLine="0"/>
      </w:pPr>
      <w:r>
        <w:t>papéis de gênero, colocando as mulheres como as únicas responsáveis por lidar com assuntos relacionados às preocupações de caráter social ou à esfera</w:t>
      </w:r>
      <w:r>
        <w:rPr>
          <w:spacing w:val="-7"/>
        </w:rPr>
        <w:t xml:space="preserve"> </w:t>
      </w:r>
      <w:r>
        <w:t>privada.</w:t>
      </w:r>
    </w:p>
    <w:p w:rsidR="0088415B" w:rsidRDefault="0088415B" w:rsidP="0088415B">
      <w:pPr>
        <w:pStyle w:val="Ttulo1"/>
        <w:spacing w:before="127"/>
        <w:ind w:left="827"/>
        <w:rPr>
          <w:b w:val="0"/>
          <w:bCs w:val="0"/>
        </w:rPr>
      </w:pPr>
      <w:r>
        <w:t>Referências</w:t>
      </w:r>
      <w:r>
        <w:rPr>
          <w:spacing w:val="-5"/>
        </w:rPr>
        <w:t xml:space="preserve"> </w:t>
      </w:r>
      <w:r>
        <w:t>bibliográficas</w:t>
      </w:r>
    </w:p>
    <w:p w:rsidR="0088415B" w:rsidRDefault="0088415B" w:rsidP="0088415B">
      <w:pPr>
        <w:pStyle w:val="Corpodetexto"/>
        <w:spacing w:before="158"/>
        <w:ind w:left="686" w:right="114" w:hanging="568"/>
        <w:jc w:val="both"/>
      </w:pPr>
      <w:r>
        <w:t xml:space="preserve">ARAÚJO, Clara. (2001), “As Cotas por Sexo para a Competição Legislativa: o Caso Brasileiro em Comparação com Experiências Internacionais”. </w:t>
      </w:r>
      <w:r>
        <w:rPr>
          <w:i/>
        </w:rPr>
        <w:t>Dados</w:t>
      </w:r>
      <w:r>
        <w:t>, vol. 44, nº 1. Rio de Janeiro, pp. 155-194.</w:t>
      </w:r>
    </w:p>
    <w:p w:rsidR="0088415B" w:rsidRDefault="0088415B" w:rsidP="0088415B">
      <w:pPr>
        <w:pStyle w:val="Corpodetexto"/>
        <w:spacing w:before="120"/>
        <w:ind w:left="686" w:right="113" w:hanging="568"/>
        <w:jc w:val="both"/>
      </w:pPr>
      <w:r>
        <w:t>CÂMARA DOS DEPUTADOS. (1999-2006), Discursos proferidos em plenário. Disponível no site www2.camara.gov.br/plenario/discursos/notas.html. Acessos entre agosto de 2005 e março de</w:t>
      </w:r>
      <w:r>
        <w:rPr>
          <w:spacing w:val="-2"/>
        </w:rPr>
        <w:t xml:space="preserve"> </w:t>
      </w:r>
      <w:r>
        <w:t>2007.</w:t>
      </w:r>
    </w:p>
    <w:p w:rsidR="0088415B" w:rsidRDefault="0088415B" w:rsidP="0088415B">
      <w:pPr>
        <w:spacing w:before="120"/>
        <w:ind w:left="686" w:right="112" w:hanging="568"/>
        <w:rPr>
          <w:rFonts w:ascii="Times New Roman" w:eastAsia="Times New Roman" w:hAnsi="Times New Roman"/>
          <w:sz w:val="24"/>
          <w:szCs w:val="24"/>
        </w:rPr>
      </w:pPr>
      <w:r>
        <w:rPr>
          <w:rFonts w:ascii="Times New Roman" w:hAnsi="Times New Roman"/>
          <w:sz w:val="24"/>
        </w:rPr>
        <w:t xml:space="preserve">CARNEIRO DE CAMPOS, Luiz Augusto. (2006), </w:t>
      </w:r>
      <w:r>
        <w:rPr>
          <w:rFonts w:ascii="Times New Roman" w:hAnsi="Times New Roman"/>
          <w:i/>
          <w:sz w:val="24"/>
        </w:rPr>
        <w:t>Ação no Congresso e Gênero</w:t>
      </w:r>
      <w:r>
        <w:rPr>
          <w:rFonts w:ascii="Times New Roman" w:hAnsi="Times New Roman"/>
          <w:sz w:val="24"/>
        </w:rPr>
        <w:t>. Relatório final de Iniciação Científica. Brasília:</w:t>
      </w:r>
      <w:r>
        <w:rPr>
          <w:rFonts w:ascii="Times New Roman" w:hAnsi="Times New Roman"/>
          <w:spacing w:val="-4"/>
          <w:sz w:val="24"/>
        </w:rPr>
        <w:t xml:space="preserve"> </w:t>
      </w:r>
      <w:r>
        <w:rPr>
          <w:rFonts w:ascii="Times New Roman" w:hAnsi="Times New Roman"/>
          <w:sz w:val="24"/>
        </w:rPr>
        <w:t>UnB.</w:t>
      </w:r>
    </w:p>
    <w:p w:rsidR="0088415B" w:rsidRDefault="0088415B" w:rsidP="0088415B">
      <w:pPr>
        <w:pStyle w:val="Corpodetexto"/>
        <w:spacing w:before="120"/>
        <w:ind w:left="686" w:right="113" w:hanging="568"/>
        <w:jc w:val="both"/>
      </w:pPr>
      <w:r>
        <w:t xml:space="preserve">DIAP (Departamento Intersindical de Assessoria Parlamentar). (1999-2006), </w:t>
      </w:r>
      <w:r>
        <w:rPr>
          <w:i/>
        </w:rPr>
        <w:t>Os Cabeças do Congresso Nacional</w:t>
      </w:r>
      <w:r>
        <w:t xml:space="preserve">. Disponível no site </w:t>
      </w:r>
      <w:hyperlink r:id="rId9">
        <w:r>
          <w:t>www.diap.org.br/cabeças/cabecas.asp.</w:t>
        </w:r>
      </w:hyperlink>
      <w:r>
        <w:t xml:space="preserve"> Acessos entre agosto de 2005 e maio de</w:t>
      </w:r>
      <w:r>
        <w:rPr>
          <w:spacing w:val="-7"/>
        </w:rPr>
        <w:t xml:space="preserve"> </w:t>
      </w:r>
      <w:r>
        <w:t>2007.</w:t>
      </w:r>
    </w:p>
    <w:p w:rsidR="0088415B" w:rsidRDefault="0088415B" w:rsidP="0088415B">
      <w:pPr>
        <w:pStyle w:val="Corpodetexto"/>
        <w:spacing w:before="120"/>
        <w:ind w:left="686" w:right="113" w:hanging="568"/>
        <w:jc w:val="both"/>
      </w:pPr>
      <w:r>
        <w:t xml:space="preserve">DOLAN, Kathleen A. (2004), “The Impact of Candidate Sex on Evaluations of Candidates  for the U.S. House of Representatives”. </w:t>
      </w:r>
      <w:r>
        <w:rPr>
          <w:i/>
        </w:rPr>
        <w:t>Social Science Quarterly</w:t>
      </w:r>
      <w:r>
        <w:t>, vol. 85, nº 1. Malden, pp. 206-17.</w:t>
      </w:r>
    </w:p>
    <w:p w:rsidR="0088415B" w:rsidRDefault="0088415B" w:rsidP="0088415B">
      <w:pPr>
        <w:spacing w:before="120"/>
        <w:ind w:left="686" w:right="113" w:hanging="568"/>
        <w:rPr>
          <w:rFonts w:ascii="Times New Roman" w:eastAsia="Times New Roman" w:hAnsi="Times New Roman"/>
          <w:sz w:val="24"/>
          <w:szCs w:val="24"/>
        </w:rPr>
      </w:pPr>
      <w:r>
        <w:rPr>
          <w:rFonts w:ascii="Times New Roman" w:eastAsia="Times New Roman" w:hAnsi="Times New Roman"/>
          <w:sz w:val="24"/>
          <w:szCs w:val="24"/>
        </w:rPr>
        <w:t xml:space="preserve">GILLIGAN, Carol. (1982), </w:t>
      </w:r>
      <w:r>
        <w:rPr>
          <w:rFonts w:ascii="Times New Roman" w:eastAsia="Times New Roman" w:hAnsi="Times New Roman"/>
          <w:i/>
          <w:sz w:val="24"/>
          <w:szCs w:val="24"/>
        </w:rPr>
        <w:t>In a Different Voice: Psychological Theory and Women’s Development</w:t>
      </w:r>
      <w:r>
        <w:rPr>
          <w:rFonts w:ascii="Times New Roman" w:eastAsia="Times New Roman" w:hAnsi="Times New Roman"/>
          <w:sz w:val="24"/>
          <w:szCs w:val="24"/>
        </w:rPr>
        <w:t>. Cambridge (MA): Harvard University</w:t>
      </w:r>
      <w:r>
        <w:rPr>
          <w:rFonts w:ascii="Times New Roman" w:eastAsia="Times New Roman" w:hAnsi="Times New Roman"/>
          <w:spacing w:val="-4"/>
          <w:sz w:val="24"/>
          <w:szCs w:val="24"/>
        </w:rPr>
        <w:t xml:space="preserve"> </w:t>
      </w:r>
      <w:r>
        <w:rPr>
          <w:rFonts w:ascii="Times New Roman" w:eastAsia="Times New Roman" w:hAnsi="Times New Roman"/>
          <w:sz w:val="24"/>
          <w:szCs w:val="24"/>
        </w:rPr>
        <w:t>Press.</w:t>
      </w:r>
    </w:p>
    <w:p w:rsidR="0088415B" w:rsidRDefault="0088415B" w:rsidP="0088415B">
      <w:pPr>
        <w:spacing w:before="120"/>
        <w:ind w:left="686" w:right="113" w:hanging="568"/>
        <w:rPr>
          <w:rFonts w:ascii="Times New Roman" w:eastAsia="Times New Roman" w:hAnsi="Times New Roman"/>
          <w:sz w:val="24"/>
          <w:szCs w:val="24"/>
        </w:rPr>
      </w:pPr>
      <w:r>
        <w:rPr>
          <w:rFonts w:ascii="Times New Roman" w:eastAsia="Times New Roman" w:hAnsi="Times New Roman"/>
          <w:sz w:val="24"/>
          <w:szCs w:val="24"/>
        </w:rPr>
        <w:t xml:space="preserve">MIGUEL, Luis Felipe. (2000), “Teoria Política Feminista e Liberalismo: o Caso das Cotas de Representação”. </w:t>
      </w:r>
      <w:r>
        <w:rPr>
          <w:rFonts w:ascii="Times New Roman" w:eastAsia="Times New Roman" w:hAnsi="Times New Roman"/>
          <w:i/>
          <w:sz w:val="24"/>
          <w:szCs w:val="24"/>
        </w:rPr>
        <w:t>Revista Brasileira de Ciências Sociais</w:t>
      </w:r>
      <w:r>
        <w:rPr>
          <w:rFonts w:ascii="Times New Roman" w:eastAsia="Times New Roman" w:hAnsi="Times New Roman"/>
          <w:sz w:val="24"/>
          <w:szCs w:val="24"/>
        </w:rPr>
        <w:t>, nº 44. São Paulo, pp.</w:t>
      </w:r>
      <w:r>
        <w:rPr>
          <w:rFonts w:ascii="Times New Roman" w:eastAsia="Times New Roman" w:hAnsi="Times New Roman"/>
          <w:spacing w:val="-6"/>
          <w:sz w:val="24"/>
          <w:szCs w:val="24"/>
        </w:rPr>
        <w:t xml:space="preserve"> </w:t>
      </w:r>
      <w:r>
        <w:rPr>
          <w:rFonts w:ascii="Times New Roman" w:eastAsia="Times New Roman" w:hAnsi="Times New Roman"/>
          <w:sz w:val="24"/>
          <w:szCs w:val="24"/>
        </w:rPr>
        <w:t>91-102.</w:t>
      </w:r>
    </w:p>
    <w:p w:rsidR="0088415B" w:rsidRDefault="0088415B" w:rsidP="0088415B">
      <w:pPr>
        <w:pStyle w:val="Corpodetexto"/>
        <w:spacing w:before="120"/>
        <w:ind w:left="0" w:right="114" w:firstLine="0"/>
        <w:jc w:val="right"/>
      </w:pPr>
      <w:r>
        <w:t>MIGUEL, Luis Felipe. (2001), “Política de Interesses, Política do Desvelo:</w:t>
      </w:r>
      <w:r>
        <w:rPr>
          <w:spacing w:val="14"/>
        </w:rPr>
        <w:t xml:space="preserve"> </w:t>
      </w:r>
      <w:r>
        <w:t>Representação</w:t>
      </w:r>
      <w:r>
        <w:rPr>
          <w:spacing w:val="19"/>
        </w:rPr>
        <w:t xml:space="preserve"> </w:t>
      </w:r>
      <w:r>
        <w:t xml:space="preserve">e ‘Singularidade Feminina’”. </w:t>
      </w:r>
      <w:r>
        <w:rPr>
          <w:i/>
        </w:rPr>
        <w:t>Estudos Feministas</w:t>
      </w:r>
      <w:r>
        <w:t>, vol. 9, nº 1. Florianópolis, pp.</w:t>
      </w:r>
      <w:r>
        <w:rPr>
          <w:spacing w:val="-21"/>
        </w:rPr>
        <w:t xml:space="preserve"> </w:t>
      </w:r>
      <w:r>
        <w:t>253-267.</w:t>
      </w:r>
    </w:p>
    <w:p w:rsidR="0088415B" w:rsidRDefault="0088415B" w:rsidP="0088415B">
      <w:pPr>
        <w:spacing w:before="120"/>
        <w:ind w:left="686" w:right="114" w:hanging="568"/>
        <w:rPr>
          <w:rFonts w:ascii="Times New Roman" w:eastAsia="Times New Roman" w:hAnsi="Times New Roman"/>
          <w:sz w:val="24"/>
          <w:szCs w:val="24"/>
        </w:rPr>
      </w:pPr>
      <w:r>
        <w:rPr>
          <w:rFonts w:ascii="Times New Roman" w:hAnsi="Times New Roman"/>
          <w:sz w:val="24"/>
        </w:rPr>
        <w:t xml:space="preserve">MIGUEL, Luis Felipe e BIROLI, Flávia (2005). </w:t>
      </w:r>
      <w:r>
        <w:rPr>
          <w:rFonts w:ascii="Times New Roman" w:hAnsi="Times New Roman"/>
          <w:i/>
          <w:sz w:val="24"/>
        </w:rPr>
        <w:t>Determinantes de Gênero, Visibilidade Midiática</w:t>
      </w:r>
      <w:r>
        <w:rPr>
          <w:rFonts w:ascii="Times New Roman" w:hAnsi="Times New Roman"/>
          <w:i/>
          <w:spacing w:val="-5"/>
          <w:sz w:val="24"/>
        </w:rPr>
        <w:t xml:space="preserve"> </w:t>
      </w:r>
      <w:r>
        <w:rPr>
          <w:rFonts w:ascii="Times New Roman" w:hAnsi="Times New Roman"/>
          <w:i/>
          <w:sz w:val="24"/>
        </w:rPr>
        <w:t>e</w:t>
      </w:r>
      <w:r>
        <w:rPr>
          <w:rFonts w:ascii="Times New Roman" w:hAnsi="Times New Roman"/>
          <w:i/>
          <w:spacing w:val="-5"/>
          <w:sz w:val="24"/>
        </w:rPr>
        <w:t xml:space="preserve"> </w:t>
      </w:r>
      <w:r>
        <w:rPr>
          <w:rFonts w:ascii="Times New Roman" w:hAnsi="Times New Roman"/>
          <w:i/>
          <w:sz w:val="24"/>
        </w:rPr>
        <w:t>Carreira</w:t>
      </w:r>
      <w:r>
        <w:rPr>
          <w:rFonts w:ascii="Times New Roman" w:hAnsi="Times New Roman"/>
          <w:i/>
          <w:spacing w:val="-5"/>
          <w:sz w:val="24"/>
        </w:rPr>
        <w:t xml:space="preserve"> </w:t>
      </w:r>
      <w:r>
        <w:rPr>
          <w:rFonts w:ascii="Times New Roman" w:hAnsi="Times New Roman"/>
          <w:i/>
          <w:sz w:val="24"/>
        </w:rPr>
        <w:t>Política</w:t>
      </w:r>
      <w:r>
        <w:rPr>
          <w:rFonts w:ascii="Times New Roman" w:hAnsi="Times New Roman"/>
          <w:i/>
          <w:spacing w:val="-5"/>
          <w:sz w:val="24"/>
        </w:rPr>
        <w:t xml:space="preserve"> </w:t>
      </w:r>
      <w:r>
        <w:rPr>
          <w:rFonts w:ascii="Times New Roman" w:hAnsi="Times New Roman"/>
          <w:i/>
          <w:sz w:val="24"/>
        </w:rPr>
        <w:t>no</w:t>
      </w:r>
      <w:r>
        <w:rPr>
          <w:rFonts w:ascii="Times New Roman" w:hAnsi="Times New Roman"/>
          <w:i/>
          <w:spacing w:val="-5"/>
          <w:sz w:val="24"/>
        </w:rPr>
        <w:t xml:space="preserve"> </w:t>
      </w:r>
      <w:r>
        <w:rPr>
          <w:rFonts w:ascii="Times New Roman" w:hAnsi="Times New Roman"/>
          <w:i/>
          <w:sz w:val="24"/>
        </w:rPr>
        <w:t>Brasil</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Projeto</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pesquisa</w:t>
      </w:r>
      <w:r>
        <w:rPr>
          <w:rFonts w:ascii="Times New Roman" w:hAnsi="Times New Roman"/>
          <w:spacing w:val="-4"/>
          <w:sz w:val="24"/>
        </w:rPr>
        <w:t xml:space="preserve"> </w:t>
      </w:r>
      <w:r>
        <w:rPr>
          <w:rFonts w:ascii="Times New Roman" w:hAnsi="Times New Roman"/>
          <w:sz w:val="24"/>
        </w:rPr>
        <w:t>apresentado</w:t>
      </w:r>
      <w:r>
        <w:rPr>
          <w:rFonts w:ascii="Times New Roman" w:hAnsi="Times New Roman"/>
          <w:spacing w:val="-5"/>
          <w:sz w:val="24"/>
        </w:rPr>
        <w:t xml:space="preserve"> </w:t>
      </w:r>
      <w:r>
        <w:rPr>
          <w:rFonts w:ascii="Times New Roman" w:hAnsi="Times New Roman"/>
          <w:sz w:val="24"/>
        </w:rPr>
        <w:t>ao</w:t>
      </w:r>
      <w:r>
        <w:rPr>
          <w:rFonts w:ascii="Times New Roman" w:hAnsi="Times New Roman"/>
          <w:spacing w:val="-5"/>
          <w:sz w:val="24"/>
        </w:rPr>
        <w:t xml:space="preserve"> </w:t>
      </w:r>
      <w:r>
        <w:rPr>
          <w:rFonts w:ascii="Times New Roman" w:hAnsi="Times New Roman"/>
          <w:sz w:val="24"/>
        </w:rPr>
        <w:t>CNPq.</w:t>
      </w:r>
    </w:p>
    <w:p w:rsidR="0088415B" w:rsidRDefault="0088415B" w:rsidP="0088415B">
      <w:pPr>
        <w:pStyle w:val="Corpodetexto"/>
        <w:spacing w:before="120"/>
        <w:ind w:left="686" w:right="115" w:hanging="568"/>
        <w:jc w:val="both"/>
      </w:pPr>
      <w:r>
        <w:t xml:space="preserve">MIGUEL, Luis Felipe, OHIRA, Aline Marques, FEITOSA, Fernanda e CARNEIRO DE CAMPOS, Luiz Augusto. (2006), “Falas Femininas no Congresso: Gênero e Nichos Discursivos na Câmara dos Deputados”. </w:t>
      </w:r>
      <w:r>
        <w:rPr>
          <w:i/>
        </w:rPr>
        <w:t xml:space="preserve">Paper </w:t>
      </w:r>
      <w:r>
        <w:t>apresentado no Seminário Internacional Fazendo Gênero 7. Florianópolis, 28 a 30 de agosto.</w:t>
      </w:r>
    </w:p>
    <w:p w:rsidR="0088415B" w:rsidRDefault="0088415B" w:rsidP="0088415B">
      <w:pPr>
        <w:spacing w:before="120"/>
        <w:ind w:left="686" w:right="111" w:hanging="568"/>
        <w:rPr>
          <w:rFonts w:ascii="Times New Roman" w:eastAsia="Times New Roman" w:hAnsi="Times New Roman"/>
          <w:sz w:val="24"/>
          <w:szCs w:val="24"/>
        </w:rPr>
      </w:pPr>
      <w:r>
        <w:rPr>
          <w:rFonts w:ascii="Times New Roman" w:hAnsi="Times New Roman"/>
          <w:sz w:val="24"/>
        </w:rPr>
        <w:lastRenderedPageBreak/>
        <w:t xml:space="preserve">PINHEIRO, Luana S. (2007), </w:t>
      </w:r>
      <w:r>
        <w:rPr>
          <w:rFonts w:ascii="Times New Roman" w:hAnsi="Times New Roman"/>
          <w:i/>
          <w:sz w:val="24"/>
        </w:rPr>
        <w:t>Vozes Femininas na Política: uma Análise sobre Mulheres Parlamentares no Pós-Constituinte</w:t>
      </w:r>
      <w:r>
        <w:rPr>
          <w:rFonts w:ascii="Times New Roman" w:hAnsi="Times New Roman"/>
          <w:sz w:val="24"/>
        </w:rPr>
        <w:t>. Brasília: Secretaria Especial de Políticas para as Mulheres.</w:t>
      </w:r>
    </w:p>
    <w:p w:rsidR="0088415B" w:rsidRDefault="0088415B" w:rsidP="0088415B">
      <w:pPr>
        <w:spacing w:before="120" w:line="275" w:lineRule="exact"/>
        <w:ind w:left="118"/>
        <w:rPr>
          <w:rFonts w:ascii="Times New Roman" w:eastAsia="Times New Roman" w:hAnsi="Times New Roman"/>
          <w:sz w:val="24"/>
          <w:szCs w:val="24"/>
        </w:rPr>
      </w:pPr>
      <w:r>
        <w:rPr>
          <w:rFonts w:ascii="Times New Roman"/>
          <w:sz w:val="24"/>
        </w:rPr>
        <w:t xml:space="preserve">NORRIS, Pippa (ed.). (2000), </w:t>
      </w:r>
      <w:r>
        <w:rPr>
          <w:rFonts w:ascii="Times New Roman"/>
          <w:i/>
          <w:sz w:val="24"/>
        </w:rPr>
        <w:t xml:space="preserve">Critical Citizens: Global Support for Democratic </w:t>
      </w:r>
      <w:r>
        <w:rPr>
          <w:rFonts w:ascii="Times New Roman"/>
          <w:i/>
          <w:spacing w:val="13"/>
          <w:sz w:val="24"/>
        </w:rPr>
        <w:t xml:space="preserve"> </w:t>
      </w:r>
      <w:r>
        <w:rPr>
          <w:rFonts w:ascii="Times New Roman"/>
          <w:i/>
          <w:sz w:val="24"/>
        </w:rPr>
        <w:t>Governance</w:t>
      </w:r>
      <w:r>
        <w:rPr>
          <w:rFonts w:ascii="Times New Roman"/>
          <w:sz w:val="24"/>
        </w:rPr>
        <w:t>.</w:t>
      </w:r>
    </w:p>
    <w:p w:rsidR="0088415B" w:rsidRDefault="0088415B" w:rsidP="0088415B">
      <w:pPr>
        <w:pStyle w:val="Corpodetexto"/>
        <w:spacing w:before="0" w:line="275" w:lineRule="exact"/>
        <w:ind w:left="686" w:firstLine="0"/>
      </w:pPr>
      <w:r>
        <w:t>Oxford: Oxford University</w:t>
      </w:r>
      <w:r>
        <w:rPr>
          <w:spacing w:val="-4"/>
        </w:rPr>
        <w:t xml:space="preserve"> </w:t>
      </w:r>
      <w:r>
        <w:t>Press.</w:t>
      </w:r>
    </w:p>
    <w:p w:rsidR="0088415B" w:rsidRDefault="0088415B" w:rsidP="0088415B">
      <w:pPr>
        <w:spacing w:before="120"/>
        <w:ind w:left="118"/>
        <w:rPr>
          <w:rFonts w:ascii="Times New Roman" w:eastAsia="Times New Roman" w:hAnsi="Times New Roman"/>
          <w:sz w:val="24"/>
          <w:szCs w:val="24"/>
        </w:rPr>
      </w:pPr>
      <w:r>
        <w:rPr>
          <w:rFonts w:ascii="Times New Roman"/>
          <w:sz w:val="24"/>
        </w:rPr>
        <w:t xml:space="preserve">PATEMAN, Carole. (1993), </w:t>
      </w:r>
      <w:r>
        <w:rPr>
          <w:rFonts w:ascii="Times New Roman"/>
          <w:i/>
          <w:sz w:val="24"/>
        </w:rPr>
        <w:t>O Contrato Sexual</w:t>
      </w:r>
      <w:r>
        <w:rPr>
          <w:rFonts w:ascii="Times New Roman"/>
          <w:sz w:val="24"/>
        </w:rPr>
        <w:t>. Rio de Janeiro: Paz e</w:t>
      </w:r>
      <w:r>
        <w:rPr>
          <w:rFonts w:ascii="Times New Roman"/>
          <w:spacing w:val="-20"/>
          <w:sz w:val="24"/>
        </w:rPr>
        <w:t xml:space="preserve"> </w:t>
      </w:r>
      <w:r>
        <w:rPr>
          <w:rFonts w:ascii="Times New Roman"/>
          <w:sz w:val="24"/>
        </w:rPr>
        <w:t>Terra.</w:t>
      </w:r>
    </w:p>
    <w:p w:rsidR="0088415B" w:rsidRDefault="0088415B" w:rsidP="0088415B">
      <w:pPr>
        <w:spacing w:before="120"/>
        <w:ind w:left="686" w:right="114" w:hanging="568"/>
        <w:rPr>
          <w:rFonts w:ascii="Times New Roman" w:eastAsia="Times New Roman" w:hAnsi="Times New Roman"/>
          <w:sz w:val="24"/>
          <w:szCs w:val="24"/>
        </w:rPr>
      </w:pPr>
      <w:r>
        <w:rPr>
          <w:rFonts w:ascii="Times New Roman" w:eastAsia="Times New Roman" w:hAnsi="Times New Roman"/>
          <w:sz w:val="24"/>
          <w:szCs w:val="24"/>
        </w:rPr>
        <w:t xml:space="preserve">PHARR, Susan J. e PUTNAM, Robert D. (eds.). (1998), </w:t>
      </w:r>
      <w:r>
        <w:rPr>
          <w:rFonts w:ascii="Times New Roman" w:eastAsia="Times New Roman" w:hAnsi="Times New Roman"/>
          <w:i/>
          <w:sz w:val="24"/>
          <w:szCs w:val="24"/>
        </w:rPr>
        <w:t>Disaffected Democracies: What’s Troubling the Trilateral Countries</w:t>
      </w:r>
      <w:r>
        <w:rPr>
          <w:rFonts w:ascii="Times New Roman" w:eastAsia="Times New Roman" w:hAnsi="Times New Roman"/>
          <w:sz w:val="24"/>
          <w:szCs w:val="24"/>
        </w:rPr>
        <w:t>. Princeton: Princeton University</w:t>
      </w:r>
      <w:r>
        <w:rPr>
          <w:rFonts w:ascii="Times New Roman" w:eastAsia="Times New Roman" w:hAnsi="Times New Roman"/>
          <w:spacing w:val="-8"/>
          <w:sz w:val="24"/>
          <w:szCs w:val="24"/>
        </w:rPr>
        <w:t xml:space="preserve"> </w:t>
      </w:r>
      <w:r>
        <w:rPr>
          <w:rFonts w:ascii="Times New Roman" w:eastAsia="Times New Roman" w:hAnsi="Times New Roman"/>
          <w:sz w:val="24"/>
          <w:szCs w:val="24"/>
        </w:rPr>
        <w:t>Press.</w:t>
      </w:r>
    </w:p>
    <w:p w:rsidR="0088415B" w:rsidRDefault="0088415B" w:rsidP="0088415B">
      <w:pPr>
        <w:pStyle w:val="Corpodetexto"/>
        <w:spacing w:before="120"/>
        <w:ind w:left="686" w:right="114" w:hanging="568"/>
        <w:jc w:val="both"/>
      </w:pPr>
      <w:r>
        <w:t xml:space="preserve">PHILLIPS, Anne. (2001), “De uma Política de Idéias a uma Política de Presença?” </w:t>
      </w:r>
      <w:r>
        <w:rPr>
          <w:i/>
        </w:rPr>
        <w:t>Estudos Feministas</w:t>
      </w:r>
      <w:r>
        <w:t>, vol. 9, nº 1. Florianópolis, pp.</w:t>
      </w:r>
      <w:r>
        <w:rPr>
          <w:spacing w:val="-17"/>
        </w:rPr>
        <w:t xml:space="preserve"> </w:t>
      </w:r>
      <w:r>
        <w:t>268-290.</w:t>
      </w:r>
    </w:p>
    <w:p w:rsidR="0088415B" w:rsidRDefault="0088415B" w:rsidP="0088415B">
      <w:pPr>
        <w:pStyle w:val="Corpodetexto"/>
        <w:spacing w:before="120"/>
        <w:ind w:firstLine="0"/>
      </w:pPr>
      <w:r>
        <w:t xml:space="preserve">YOUNG, Iris Marion. (2006), “Representação Política, Identidade e Minorias”. </w:t>
      </w:r>
      <w:r>
        <w:rPr>
          <w:i/>
        </w:rPr>
        <w:t>Lua Nova</w:t>
      </w:r>
      <w:r>
        <w:t xml:space="preserve">, </w:t>
      </w:r>
      <w:r>
        <w:rPr>
          <w:spacing w:val="32"/>
        </w:rPr>
        <w:t xml:space="preserve"> </w:t>
      </w:r>
      <w:r>
        <w:t>nº</w:t>
      </w:r>
    </w:p>
    <w:p w:rsidR="0088415B" w:rsidRDefault="0088415B" w:rsidP="0088415B">
      <w:pPr>
        <w:pStyle w:val="Corpodetexto"/>
        <w:spacing w:before="0"/>
        <w:ind w:left="686" w:firstLine="0"/>
      </w:pPr>
      <w:r>
        <w:t>67. São Paulo, pp.</w:t>
      </w:r>
      <w:r>
        <w:rPr>
          <w:spacing w:val="-1"/>
        </w:rPr>
        <w:t xml:space="preserve"> </w:t>
      </w:r>
      <w:r>
        <w:t>139-190.</w:t>
      </w:r>
    </w:p>
    <w:p w:rsidR="0088415B" w:rsidRDefault="0088415B" w:rsidP="009741F1"/>
    <w:p w:rsidR="0088415B" w:rsidRDefault="0088415B" w:rsidP="009741F1"/>
    <w:p w:rsidR="005B6676" w:rsidRDefault="005B6676" w:rsidP="009741F1"/>
    <w:p w:rsidR="00771796" w:rsidRDefault="00771796" w:rsidP="009741F1"/>
    <w:p w:rsidR="00771796" w:rsidRDefault="00771796" w:rsidP="009741F1"/>
    <w:p w:rsidR="00771796" w:rsidRDefault="00771796" w:rsidP="009741F1"/>
    <w:p w:rsidR="00771796" w:rsidRDefault="00771796" w:rsidP="009741F1"/>
    <w:p w:rsidR="00771796" w:rsidRDefault="00771796" w:rsidP="009741F1"/>
    <w:p w:rsidR="00771796" w:rsidRDefault="00771796" w:rsidP="009741F1"/>
    <w:p w:rsidR="00771796" w:rsidRDefault="00771796" w:rsidP="009741F1"/>
    <w:p w:rsidR="00771796" w:rsidRDefault="00771796"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5B6676" w:rsidRPr="001E2C63" w:rsidTr="001E2C63">
        <w:tc>
          <w:tcPr>
            <w:tcW w:w="6771" w:type="dxa"/>
            <w:shd w:val="clear" w:color="auto" w:fill="auto"/>
          </w:tcPr>
          <w:p w:rsidR="00771796" w:rsidRDefault="005B6676" w:rsidP="00771796">
            <w:pPr>
              <w:spacing w:line="240" w:lineRule="auto"/>
              <w:jc w:val="left"/>
              <w:rPr>
                <w:b/>
              </w:rPr>
            </w:pPr>
            <w:r w:rsidRPr="001E2C63">
              <w:rPr>
                <w:rFonts w:ascii="Times New Roman" w:hAnsi="Times New Roman"/>
                <w:sz w:val="24"/>
                <w:szCs w:val="24"/>
              </w:rPr>
              <w:t>Nome</w:t>
            </w:r>
            <w:r w:rsidR="00771796">
              <w:rPr>
                <w:b/>
                <w:caps/>
              </w:rPr>
              <w:t xml:space="preserve"> Participação Política e as relações de gênero</w:t>
            </w:r>
            <w:r w:rsidR="00771796">
              <w:rPr>
                <w:b/>
              </w:rPr>
              <w:t xml:space="preserve">: </w:t>
            </w:r>
          </w:p>
          <w:p w:rsidR="005B6676" w:rsidRPr="001E2C63" w:rsidRDefault="00771796" w:rsidP="00771796">
            <w:pPr>
              <w:spacing w:line="240" w:lineRule="auto"/>
              <w:jc w:val="left"/>
              <w:rPr>
                <w:rFonts w:ascii="Times New Roman" w:hAnsi="Times New Roman"/>
                <w:sz w:val="24"/>
                <w:szCs w:val="24"/>
              </w:rPr>
            </w:pPr>
            <w:r>
              <w:rPr>
                <w:i/>
              </w:rPr>
              <w:t>O caso do Orçamento Participativo de Belo Horizonte</w:t>
            </w:r>
            <w:r>
              <w:rPr>
                <w:i/>
                <w:sz w:val="28"/>
                <w:szCs w:val="28"/>
              </w:rPr>
              <w:t xml:space="preserve"> </w:t>
            </w:r>
          </w:p>
        </w:tc>
        <w:tc>
          <w:tcPr>
            <w:tcW w:w="1873" w:type="dxa"/>
            <w:vMerge w:val="restart"/>
            <w:shd w:val="clear" w:color="auto" w:fill="auto"/>
          </w:tcPr>
          <w:p w:rsidR="005B6676" w:rsidRPr="001E2C63" w:rsidRDefault="005B6676" w:rsidP="001E2C63">
            <w:pPr>
              <w:spacing w:line="240" w:lineRule="auto"/>
              <w:rPr>
                <w:rFonts w:ascii="Times New Roman" w:hAnsi="Times New Roman"/>
                <w:b/>
                <w:sz w:val="36"/>
                <w:szCs w:val="36"/>
              </w:rPr>
            </w:pPr>
            <w:r w:rsidRPr="001E2C63">
              <w:rPr>
                <w:rFonts w:ascii="Times New Roman" w:hAnsi="Times New Roman"/>
                <w:b/>
                <w:sz w:val="36"/>
                <w:szCs w:val="36"/>
              </w:rPr>
              <w:t>A 002</w:t>
            </w:r>
          </w:p>
          <w:p w:rsidR="005B6676" w:rsidRPr="001E2C63" w:rsidRDefault="00771796" w:rsidP="00771796">
            <w:pPr>
              <w:spacing w:line="240" w:lineRule="auto"/>
              <w:rPr>
                <w:rFonts w:ascii="Times New Roman" w:hAnsi="Times New Roman"/>
                <w:sz w:val="24"/>
                <w:szCs w:val="24"/>
              </w:rPr>
            </w:pPr>
            <w:r>
              <w:rPr>
                <w:rFonts w:ascii="Times New Roman" w:hAnsi="Times New Roman"/>
                <w:b/>
                <w:sz w:val="36"/>
                <w:szCs w:val="36"/>
              </w:rPr>
              <w:t>Premiado</w:t>
            </w:r>
          </w:p>
        </w:tc>
      </w:tr>
      <w:tr w:rsidR="005B6676" w:rsidRPr="001E2C63" w:rsidTr="001E2C63">
        <w:tc>
          <w:tcPr>
            <w:tcW w:w="6771" w:type="dxa"/>
            <w:shd w:val="clear" w:color="auto" w:fill="auto"/>
          </w:tcPr>
          <w:p w:rsidR="005B6676" w:rsidRPr="001E2C63" w:rsidRDefault="005B6676" w:rsidP="001E2C63">
            <w:pPr>
              <w:spacing w:line="240" w:lineRule="auto"/>
              <w:rPr>
                <w:rFonts w:ascii="Times New Roman" w:hAnsi="Times New Roman"/>
                <w:sz w:val="24"/>
                <w:szCs w:val="24"/>
              </w:rPr>
            </w:pPr>
            <w:r w:rsidRPr="001E2C63">
              <w:rPr>
                <w:rFonts w:ascii="Times New Roman" w:hAnsi="Times New Roman"/>
                <w:sz w:val="24"/>
                <w:szCs w:val="24"/>
              </w:rPr>
              <w:t>Autora/o</w:t>
            </w:r>
            <w:r w:rsidR="00771796">
              <w:rPr>
                <w:rFonts w:ascii="Times New Roman" w:hAnsi="Times New Roman"/>
              </w:rPr>
              <w:t xml:space="preserve"> Uriella Coelho Ribeiro</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1E2C63" w:rsidRDefault="005B6676" w:rsidP="001E2C63">
            <w:pPr>
              <w:spacing w:line="240" w:lineRule="auto"/>
              <w:rPr>
                <w:rFonts w:ascii="Times New Roman" w:hAnsi="Times New Roman"/>
                <w:sz w:val="24"/>
                <w:szCs w:val="24"/>
              </w:rPr>
            </w:pPr>
            <w:r w:rsidRPr="001E2C63">
              <w:rPr>
                <w:rFonts w:ascii="Times New Roman" w:hAnsi="Times New Roman"/>
                <w:sz w:val="24"/>
                <w:szCs w:val="24"/>
              </w:rPr>
              <w:t>Orientadora/o</w:t>
            </w:r>
            <w:r w:rsidR="00771796">
              <w:rPr>
                <w:bCs/>
              </w:rPr>
              <w:t xml:space="preserve"> Dra. Marlise Miriam Matos.</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1E2C63" w:rsidRDefault="005B6676" w:rsidP="001E2C63">
            <w:pPr>
              <w:spacing w:line="240" w:lineRule="auto"/>
              <w:rPr>
                <w:rFonts w:ascii="Times New Roman" w:hAnsi="Times New Roman"/>
                <w:sz w:val="24"/>
                <w:szCs w:val="24"/>
              </w:rPr>
            </w:pPr>
            <w:r w:rsidRPr="001E2C63">
              <w:rPr>
                <w:rFonts w:ascii="Times New Roman" w:hAnsi="Times New Roman"/>
                <w:sz w:val="24"/>
                <w:szCs w:val="24"/>
              </w:rPr>
              <w:t>IES:</w:t>
            </w:r>
            <w:r w:rsidR="00771796">
              <w:rPr>
                <w:rFonts w:ascii="Times New Roman" w:hAnsi="Times New Roman"/>
                <w:sz w:val="24"/>
                <w:szCs w:val="24"/>
              </w:rPr>
              <w:t>Universidade Federal de Minas Gerais</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1E2C63" w:rsidRDefault="005B6676" w:rsidP="001E2C63">
            <w:pPr>
              <w:spacing w:line="240" w:lineRule="auto"/>
              <w:rPr>
                <w:rFonts w:ascii="Times New Roman" w:hAnsi="Times New Roman"/>
                <w:sz w:val="24"/>
                <w:szCs w:val="24"/>
              </w:rPr>
            </w:pPr>
            <w:r w:rsidRPr="001E2C63">
              <w:rPr>
                <w:rFonts w:ascii="Times New Roman" w:hAnsi="Times New Roman"/>
                <w:sz w:val="24"/>
                <w:szCs w:val="24"/>
              </w:rPr>
              <w:t>Cidade/Estado:</w:t>
            </w:r>
            <w:r w:rsidR="00771796">
              <w:rPr>
                <w:rFonts w:ascii="Times New Roman" w:hAnsi="Times New Roman"/>
                <w:sz w:val="24"/>
                <w:szCs w:val="24"/>
              </w:rPr>
              <w:t xml:space="preserve"> MG</w:t>
            </w: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r w:rsidR="005B6676" w:rsidRPr="001E2C63" w:rsidTr="001E2C63">
        <w:tc>
          <w:tcPr>
            <w:tcW w:w="6771" w:type="dxa"/>
            <w:shd w:val="clear" w:color="auto" w:fill="auto"/>
          </w:tcPr>
          <w:p w:rsidR="005B6676" w:rsidRPr="001E2C63" w:rsidRDefault="005B6676" w:rsidP="001E2C63">
            <w:pPr>
              <w:spacing w:line="240" w:lineRule="auto"/>
              <w:rPr>
                <w:rFonts w:ascii="Times New Roman" w:hAnsi="Times New Roman"/>
                <w:sz w:val="24"/>
                <w:szCs w:val="24"/>
              </w:rPr>
            </w:pPr>
            <w:r w:rsidRPr="001E2C63">
              <w:rPr>
                <w:rFonts w:ascii="Times New Roman" w:hAnsi="Times New Roman"/>
                <w:sz w:val="24"/>
                <w:szCs w:val="24"/>
              </w:rPr>
              <w:t>Outras Informações:</w:t>
            </w:r>
            <w:r w:rsidR="00771796">
              <w:rPr>
                <w:rFonts w:ascii="Times New Roman" w:hAnsi="Times New Roman"/>
                <w:sz w:val="24"/>
                <w:szCs w:val="24"/>
              </w:rPr>
              <w:t xml:space="preserve"> Estudante de Graduação</w:t>
            </w:r>
            <w:r w:rsidR="00771796">
              <w:t xml:space="preserve"> Aluna do curso de Ciências Sociais da UFMG</w:t>
            </w:r>
          </w:p>
          <w:p w:rsidR="005B6676" w:rsidRPr="001E2C63" w:rsidRDefault="005B6676" w:rsidP="001E2C63">
            <w:pPr>
              <w:spacing w:line="240" w:lineRule="auto"/>
              <w:rPr>
                <w:rFonts w:ascii="Times New Roman" w:hAnsi="Times New Roman"/>
                <w:sz w:val="24"/>
                <w:szCs w:val="24"/>
              </w:rPr>
            </w:pPr>
          </w:p>
        </w:tc>
        <w:tc>
          <w:tcPr>
            <w:tcW w:w="1873" w:type="dxa"/>
            <w:vMerge/>
            <w:shd w:val="clear" w:color="auto" w:fill="auto"/>
          </w:tcPr>
          <w:p w:rsidR="005B6676" w:rsidRPr="001E2C63" w:rsidRDefault="005B6676" w:rsidP="001E2C63">
            <w:pPr>
              <w:spacing w:line="240" w:lineRule="auto"/>
              <w:rPr>
                <w:rFonts w:ascii="Times New Roman" w:hAnsi="Times New Roman"/>
                <w:sz w:val="24"/>
                <w:szCs w:val="24"/>
              </w:rPr>
            </w:pPr>
          </w:p>
        </w:tc>
      </w:tr>
    </w:tbl>
    <w:p w:rsidR="00771796" w:rsidRDefault="00771796" w:rsidP="00771796"/>
    <w:p w:rsidR="00771796" w:rsidRDefault="00771796" w:rsidP="00771796">
      <w:pPr>
        <w:jc w:val="center"/>
      </w:pPr>
      <w:r>
        <w:rPr>
          <w:b/>
        </w:rPr>
        <w:t>Introdução</w:t>
      </w:r>
    </w:p>
    <w:p w:rsidR="00771796" w:rsidRDefault="00771796" w:rsidP="00771796">
      <w:pPr>
        <w:rPr>
          <w:u w:val="single"/>
        </w:rPr>
      </w:pPr>
      <w:r>
        <w:t xml:space="preserve">Desde a década de 1970, num movimento crescente e consistente de pressão social rumo ao processo de democratização da política brasileira, o Brasil </w:t>
      </w:r>
      <w:r>
        <w:rPr>
          <w:bCs/>
        </w:rPr>
        <w:t>vivencia um amplo crescimento nos diversos arranjos e mecanismos de participação popular</w:t>
      </w:r>
      <w:r>
        <w:rPr>
          <w:rStyle w:val="Refdenotaderodap"/>
          <w:bCs/>
        </w:rPr>
        <w:footnoteReference w:customMarkFollows="1" w:id="1"/>
        <w:t>1</w:t>
      </w:r>
      <w:r>
        <w:t>. Tal fenômeno certamente se consolida com a intensa participação de setores populares e civis que apoiaram de forma sistemática (a exemplo do movimento feminista) à nova Constituição de 1988. A partir de então, o que se tem constatado no Brasil, é a discussão, proposição, implantação e implementação de diversos arranjos e mecanismos de participação popular. Este crescimento da participação é sustentado pela aposta na sua potencialidade inclusiva e, portanto, no seu impulso à consolidação democrática no Brasil. Porém, estes arranjos tendem a reproduzir desigualdades mais amplas presentes na estrutura social, porque, segundo Avritzer, o “associativismo se organiza obedecendo a padrões de desigualdade”</w:t>
      </w:r>
      <w:r>
        <w:rPr>
          <w:rStyle w:val="Refdenotaderodap"/>
        </w:rPr>
        <w:footnoteReference w:id="2"/>
      </w:r>
      <w:r>
        <w:t xml:space="preserve">. Partindo desta assertiva, cabe a este trabalho investigar como que, e se, as desigualdades de gênero presentes na estrutura social brasileira estão sendo reproduzidas nessas esferas políticas brasileiras a partir da experiência do Orçamento Participativo de Belo Horizonte (OP-BH). </w:t>
      </w:r>
    </w:p>
    <w:p w:rsidR="00771796" w:rsidRDefault="00771796" w:rsidP="00771796">
      <w:r>
        <w:t xml:space="preserve"> </w:t>
      </w:r>
    </w:p>
    <w:p w:rsidR="00771796" w:rsidRDefault="00771796" w:rsidP="00771796">
      <w:r>
        <w:t>Nossa discussão parte da constatação de que, em diversos Orçamentos Participativos (OPs), existe uma presença predominantemente feminina nas primeiras plenárias e uma ocupação majoritariamente masculina das posições de liderança na Comforça</w:t>
      </w:r>
      <w:r>
        <w:rPr>
          <w:rStyle w:val="Refdenotaderodap"/>
        </w:rPr>
        <w:footnoteReference w:id="3"/>
      </w:r>
      <w:r>
        <w:t xml:space="preserve"> do OP-BH e nos COPs (conselhos fiscalizadores) de outros OPs</w:t>
      </w:r>
      <w:r>
        <w:rPr>
          <w:rStyle w:val="Refdenotaderodap"/>
        </w:rPr>
        <w:footnoteReference w:id="4"/>
      </w:r>
      <w:r>
        <w:t xml:space="preserve">. Neste sentido, já existem indícios de que as desigualdades de gênero podem estar sendo reproduzidas nestes espaços, ao passo que as mulheres não ocupam a ponta da pirâmide que estrutura as relações de poder como ocupam a base.  </w:t>
      </w:r>
    </w:p>
    <w:p w:rsidR="00771796" w:rsidRDefault="00771796" w:rsidP="00771796"/>
    <w:p w:rsidR="00771796" w:rsidRDefault="00771796" w:rsidP="00771796">
      <w:pPr>
        <w:rPr>
          <w:bCs/>
        </w:rPr>
      </w:pPr>
      <w:r>
        <w:t xml:space="preserve">O nosso trabalho é </w:t>
      </w:r>
      <w:r>
        <w:rPr>
          <w:bCs/>
        </w:rPr>
        <w:t xml:space="preserve">guiado pelo princípio da paridade na participação (Fraser, 2001) que, por sua vez, requer arranjos sociais e institucionais que permitam uma interação mais simétrica entre membros: uma paridade de condições materiais e simbólicas. Ou seja, uma eqüitativa distribuição de recursos materiais e um </w:t>
      </w:r>
      <w:r>
        <w:rPr>
          <w:bCs/>
        </w:rPr>
        <w:lastRenderedPageBreak/>
        <w:t xml:space="preserve">compartilhamento de valores que promovam igualdade e respeito entre todos os membros participantes da esfera política em questão, no nosso caso, o OP-BH. </w:t>
      </w:r>
    </w:p>
    <w:p w:rsidR="00771796" w:rsidRDefault="00771796" w:rsidP="00771796">
      <w:pPr>
        <w:rPr>
          <w:b/>
          <w:bCs/>
        </w:rPr>
      </w:pPr>
    </w:p>
    <w:p w:rsidR="00771796" w:rsidRDefault="00771796" w:rsidP="00771796">
      <w:r>
        <w:t>Apontamos como hipótese a não consumação dessas condições materiais e simbólicas dentro destes espaços participativos. Acreditamos que não exista uma paridade na participação (que não se trata de uma questão numérica), e sim um déficit, porque as mulheres estão desprovidas de recursos materiais que uma participação efetiva requer, além desses espaços não apresentarem uma garantia de efetiva igualdade de oportunidades a todos os participantes ao compartilhar um conjunto de valores que não localizam o feminino como sinônimo de político.</w:t>
      </w:r>
    </w:p>
    <w:p w:rsidR="00771796" w:rsidRDefault="00771796" w:rsidP="00771796"/>
    <w:p w:rsidR="00771796" w:rsidRDefault="00771796" w:rsidP="00771796">
      <w:pPr>
        <w:rPr>
          <w:b/>
          <w:bCs/>
          <w:sz w:val="28"/>
          <w:szCs w:val="28"/>
        </w:rPr>
      </w:pPr>
      <w:r>
        <w:t xml:space="preserve">Partindo dessa hipótese, nosso trabalho objetiva investigar as relações de gênero dentro do Orçamento Participativo de Belo Horizonte a partir da nossa observação participante no processo que se desenvolveu no OP-BH </w:t>
      </w:r>
      <w:r>
        <w:rPr>
          <w:bCs/>
        </w:rPr>
        <w:t>referente ao biênio 2007/2008 (que iniciou no dia 08/05/2006 e terminou no dia 15/12/2006)</w:t>
      </w:r>
      <w:r>
        <w:t>; da análise de documentos e informações em material de divulgação da Prefeitura de Belo Horizonte e em seu próprio sítio. Especialmente este trabalho se dedica à análise das entrevistas realizadas com mulheres delegadas</w:t>
      </w:r>
      <w:r>
        <w:rPr>
          <w:rStyle w:val="Refdenotaderodap"/>
        </w:rPr>
        <w:footnoteReference w:id="5"/>
      </w:r>
      <w:r>
        <w:t xml:space="preserve"> e membros da Comforça</w:t>
      </w:r>
      <w:r>
        <w:rPr>
          <w:rStyle w:val="Refdenotaderodap"/>
        </w:rPr>
        <w:footnoteReference w:customMarkFollows="1" w:id="6"/>
        <w:t>4</w:t>
      </w:r>
      <w:r>
        <w:t xml:space="preserve"> do OP-BH. </w:t>
      </w:r>
    </w:p>
    <w:p w:rsidR="00771796" w:rsidRDefault="00771796" w:rsidP="00771796">
      <w:pPr>
        <w:jc w:val="center"/>
        <w:rPr>
          <w:b/>
        </w:rPr>
      </w:pPr>
    </w:p>
    <w:p w:rsidR="00771796" w:rsidRDefault="00771796" w:rsidP="00771796">
      <w:pPr>
        <w:jc w:val="center"/>
        <w:rPr>
          <w:b/>
        </w:rPr>
      </w:pPr>
      <w:r>
        <w:rPr>
          <w:b/>
        </w:rPr>
        <w:t>Uma breve retomada da literatura sobre a participação:</w:t>
      </w:r>
    </w:p>
    <w:p w:rsidR="00771796" w:rsidRDefault="00771796" w:rsidP="00771796">
      <w:pPr>
        <w:jc w:val="center"/>
        <w:rPr>
          <w:i/>
        </w:rPr>
      </w:pPr>
      <w:r>
        <w:rPr>
          <w:i/>
        </w:rPr>
        <w:t>Qual é o espaço dado à temática de gênero?</w:t>
      </w:r>
    </w:p>
    <w:p w:rsidR="00771796" w:rsidRDefault="00771796" w:rsidP="00771796">
      <w:r>
        <w:t xml:space="preserve">As nossas primeiras buscas focaram a literatura sobre a participação a procura de discussões sobre as relações de gênero nos espaços participativos. Encontramos trabalhos diversos que discutiam sobre as desigualdades sociais e como estas impactam a participação política dos indivíduos. Segundo Archon Fung (2004), por exemplo, a participação política de um indivíduo é determinada por condições sociais. Para o autor, “aqueles que tomam conhecimento da oportunidade e dispõem dos recursos, interesses e tempo participam”. Tipicamente, os que </w:t>
      </w:r>
      <w:r>
        <w:lastRenderedPageBreak/>
        <w:t xml:space="preserve">comparecem são os que “possuem melhores condições de vida – ricos, instruídos, profissionais (...). Praticamente todas as formas de participação exibe padrões de participação que favorecem pessoas de </w:t>
      </w:r>
      <w:r>
        <w:rPr>
          <w:i/>
        </w:rPr>
        <w:t>status</w:t>
      </w:r>
      <w:r>
        <w:t xml:space="preserve"> elevado, e as formas mais exigentes tendem a exacerbar esse viés” (Fung, 2004, p.178).</w:t>
      </w:r>
      <w:r>
        <w:rPr>
          <w:color w:val="0000FF"/>
        </w:rPr>
        <w:t xml:space="preserve"> </w:t>
      </w:r>
      <w:r>
        <w:t xml:space="preserve">Neste mesmo sentido, segundo Santana (2006), Pizzorno propõe que quanto mais alta for a posição social do indivíduo, maior é a participação política deste; “segundo o autor, a posição social pode ser medida de diversas maneiras, a saber: por sua posição profissional, seu grau de instrução, seu nível de consumo; ou por algum índice composto por essas três variáveis” (Santana, 2006, p.61). Como outro exemplo, podemos citar Robert Dahl (1997) que aponta como a desigualdade perpassa as experiências democráticas conhecidas. Segundo o autor, as desigualdades entre os indivíduos passam pela assimétrica distribuição de recursos políticos como o tempo, dinheiro, educação, informação, entre outros. Desta maneira, os “recursos políticos são fortemente cumulativos”, tendendo os “recursos chaves” (renda, riqueza e status) a se concentrarem nas mãos dos mesmos atores, sendo as pessoas que têm mais renda, as que provavelmente terão mais riquezas e mais status (Dahl, 1997, p.92). Para o autor, estes recursos chaves, recursos do campo societal, são reproduzidos no campo da política enquanto recursos políticos que facilitam ou dificultam a participação dos indivíduos no sistema. </w:t>
      </w:r>
    </w:p>
    <w:p w:rsidR="00771796" w:rsidRDefault="00771796" w:rsidP="00771796">
      <w:pPr>
        <w:autoSpaceDE w:val="0"/>
        <w:autoSpaceDN w:val="0"/>
        <w:adjustRightInd w:val="0"/>
        <w:rPr>
          <w:b/>
          <w:u w:val="single"/>
        </w:rPr>
      </w:pPr>
    </w:p>
    <w:p w:rsidR="00771796" w:rsidRDefault="00771796" w:rsidP="00771796">
      <w:pPr>
        <w:autoSpaceDE w:val="0"/>
        <w:autoSpaceDN w:val="0"/>
        <w:adjustRightInd w:val="0"/>
      </w:pPr>
      <w:r>
        <w:t xml:space="preserve">Um rápido retrospecto dessas desigualdades sociais mais consideradas nos estudos sobre a participação nos mostra que as desigualdades mais reconhecidas e tratadas são aquelas ligadas à renda e à ocupação, as que são entendidas como os principais componentes do </w:t>
      </w:r>
      <w:r>
        <w:rPr>
          <w:i/>
        </w:rPr>
        <w:t>status</w:t>
      </w:r>
      <w:r>
        <w:t xml:space="preserve"> social. Porém, podemos afirmar com veemência que, nestes trabalhos, as desigualdades de gênero têm passado desapercebidas ou têm sido mencionadas de forma muito sutil. Não só as de gênero, como as desigualdades relacionadas à raça, à orientação sexual, à orientação religiosa e cultural, entre outras. </w:t>
      </w:r>
    </w:p>
    <w:p w:rsidR="00771796" w:rsidRDefault="00771796" w:rsidP="00771796">
      <w:pPr>
        <w:autoSpaceDE w:val="0"/>
        <w:autoSpaceDN w:val="0"/>
        <w:adjustRightInd w:val="0"/>
      </w:pPr>
    </w:p>
    <w:p w:rsidR="00771796" w:rsidRDefault="00771796" w:rsidP="00771796">
      <w:pPr>
        <w:autoSpaceDE w:val="0"/>
        <w:autoSpaceDN w:val="0"/>
        <w:adjustRightInd w:val="0"/>
        <w:rPr>
          <w:bCs/>
        </w:rPr>
      </w:pPr>
      <w:r>
        <w:t xml:space="preserve">Diante deste panorama, não podemos deixar de mencionar que fatores reconhecidos como compositores do </w:t>
      </w:r>
      <w:r>
        <w:rPr>
          <w:i/>
        </w:rPr>
        <w:t>status</w:t>
      </w:r>
      <w:r>
        <w:t xml:space="preserve"> social como, por exemplo, renda, ocupação profissional e escolaridade são transversais e transversalizados por gênero. Por exemplo, </w:t>
      </w:r>
      <w:r>
        <w:rPr>
          <w:bCs/>
        </w:rPr>
        <w:t xml:space="preserve">com base na PNAD (1995), podemos afirmar que: as relações de trabalho das mulheres são pouco formalizadas; a mulher tende a ocupar os empregos que não exigem maiores qualificações, como atividades agrícolas (25%) e prestação de serviços (25%); para as mulheres brasileiras, os empregos são os de menores status: trabalhadora agrícola, empregada doméstica, operária não qualificada, </w:t>
      </w:r>
      <w:r>
        <w:rPr>
          <w:bCs/>
        </w:rPr>
        <w:lastRenderedPageBreak/>
        <w:t>balconista etc. Segundo a ONU, as mulheres executam 2/3 do trabalho mundial, recebem apenas 1/3 dos salários mundiais, e compõem 70% dos miseráveis (Santana, 2006).</w:t>
      </w:r>
    </w:p>
    <w:p w:rsidR="00771796" w:rsidRDefault="00771796" w:rsidP="00771796">
      <w:pPr>
        <w:autoSpaceDE w:val="0"/>
        <w:autoSpaceDN w:val="0"/>
        <w:adjustRightInd w:val="0"/>
        <w:rPr>
          <w:bCs/>
          <w:color w:val="0000FF"/>
        </w:rPr>
      </w:pPr>
    </w:p>
    <w:p w:rsidR="00771796" w:rsidRDefault="00771796" w:rsidP="00771796">
      <w:pPr>
        <w:autoSpaceDE w:val="0"/>
        <w:autoSpaceDN w:val="0"/>
        <w:adjustRightInd w:val="0"/>
        <w:ind w:right="18"/>
      </w:pPr>
      <w:r>
        <w:t>Diante destes poucos dados, porém eloqüentes, já podemos afirmar que a influência das variáveis como renda, ocupação e status social se comporta de forma diferenciada para mulheres e homens. Precisamos compreender que gênero é transversal a todas essas outras variáveis. Joan Scott (1990), nos ajuda a perceber esta transversalidade ao propor gênero como um “meio de codificar o sentido e de compreender as relações complexas entre diversas formas de interação humana” (Scott, 1990, p.16). A autora propõe gênero como uma dimensão da organização das igualdades e desigualdades sociais. Mais do que isso, para ela, gênero é uma das referências recorrentes pelas quais o poder é concebido, legitimado e questionado, como uma primeira maneira de dar significado às relações de poder. Para Scott, “os conceitos de gênero estruturam a percepção (...) simbólica de toda a vida social [proporcionando um] controle ou um acesso diferenciado às fontes materiais e simbólicas” da construção do poder (Scott, 1990, p.16).</w:t>
      </w:r>
    </w:p>
    <w:p w:rsidR="00771796" w:rsidRDefault="00771796" w:rsidP="00771796">
      <w:pPr>
        <w:autoSpaceDE w:val="0"/>
        <w:autoSpaceDN w:val="0"/>
        <w:adjustRightInd w:val="0"/>
      </w:pPr>
    </w:p>
    <w:p w:rsidR="00771796" w:rsidRDefault="00771796" w:rsidP="00771796">
      <w:pPr>
        <w:autoSpaceDE w:val="0"/>
        <w:autoSpaceDN w:val="0"/>
        <w:adjustRightInd w:val="0"/>
      </w:pPr>
      <w:r>
        <w:t xml:space="preserve">A omissão do gênero nessas análises ofusca importantes aspectos que nós precisamos compreender. Como por exemplo, não perceber se (e como que) desigualdades sociais de gênero se reproduzem dentro da estrutura dos espaços participativos é não perceber uma possível dissonância entre as mulheres e a cidadania. Segundo Fraser (1987), a própria idéia de cidadania é um conceito político dotado de gênero. Para ela, o gênero, a política e a economia política são fatores estritamente interligados; e a identidade de gênero estrutura o trabalho remunerado, a administração estatal e a participação política. Ou seja, uma análise crítica sobre a dimensão participativa (mais ou menos inclusiva) da democracia deve expandir seu olhar e pensar como as características sociais dos indivíduos (posição social, renda, ocupação etc.) são compostas em conjunto com o gênero. </w:t>
      </w:r>
    </w:p>
    <w:p w:rsidR="00771796" w:rsidRDefault="00771796" w:rsidP="00771796">
      <w:pPr>
        <w:autoSpaceDE w:val="0"/>
        <w:autoSpaceDN w:val="0"/>
        <w:adjustRightInd w:val="0"/>
        <w:rPr>
          <w:color w:val="0000FF"/>
        </w:rPr>
      </w:pPr>
    </w:p>
    <w:p w:rsidR="00771796" w:rsidRDefault="00771796" w:rsidP="00771796">
      <w:pPr>
        <w:jc w:val="center"/>
        <w:rPr>
          <w:b/>
        </w:rPr>
      </w:pPr>
      <w:r>
        <w:rPr>
          <w:b/>
        </w:rPr>
        <w:t xml:space="preserve">O Orçamento Participativo de Belo Horizonte </w:t>
      </w:r>
    </w:p>
    <w:p w:rsidR="00771796" w:rsidRDefault="00771796" w:rsidP="00771796">
      <w:pPr>
        <w:jc w:val="center"/>
        <w:rPr>
          <w:i/>
        </w:rPr>
      </w:pPr>
    </w:p>
    <w:p w:rsidR="00771796" w:rsidRDefault="00771796" w:rsidP="00771796">
      <w:r>
        <w:t xml:space="preserve">Num segundo momento, a nossa investigação focou o OP-BH – o projeto político em que este está envolto, seus objetivos, prerrogativas e prioridades. As nossas análises de documentos diversos da Prefeitura de Belo Horizonte (PBH) apontaram que o OP-BH, desde a sua idealização, busca a reestruturação do espaço urbano da </w:t>
      </w:r>
      <w:r>
        <w:lastRenderedPageBreak/>
        <w:t>cidade e segue a lógica da inversão de prioridades territorial. A Prefeitura de Belo Horizonte, através do OP, tem organizado a cidade por meio de um planejamento geral que leva em conta critérios técnicos e de definição de prioridades. Para atingir a meta de inversão de prioridades, de redução da pobreza, o OP-BH tem se constituído em um programa de urbanização que tem: 1)priorizado as áreas mais carentes através da distribuição de recursos de acordo com o IQVU (Índice de Qualidade de Vida Urbana); 2)desconcentrado empreendimentos ao fixar limites de obras por bairros (uma por cada) e pela criação das Unidades de Planejamento (UP) especiais; 3) adotado áreas como prioritárias para a inclusão urbana e social; 4)priorizado empreendimentos de acordo com diretrizes de planejamento de secretarias municipais temáticas; 5)operado junto a projetos executivos elaborados e acompanhados pela população</w:t>
      </w:r>
      <w:r>
        <w:rPr>
          <w:rStyle w:val="Refdenotaderodap"/>
        </w:rPr>
        <w:footnoteReference w:id="7"/>
      </w:r>
      <w:r>
        <w:t xml:space="preserve">. </w:t>
      </w:r>
    </w:p>
    <w:p w:rsidR="00771796" w:rsidRDefault="00771796" w:rsidP="00771796"/>
    <w:p w:rsidR="00771796" w:rsidRDefault="00771796" w:rsidP="00771796">
      <w:pPr>
        <w:autoSpaceDE w:val="0"/>
        <w:autoSpaceDN w:val="0"/>
        <w:adjustRightInd w:val="0"/>
      </w:pPr>
      <w:r>
        <w:t>A Prefeitura de Belo Horizonte, através do OP-BH, tem apostado na integração urbana física como um processo de inclusão social. E é assim que têm se configurado os empreendimentos realizados ao longo dos 14 anos de OP. A maioria das obras realizadas era as de infra-estrutura (41,72%) e as de urbanização de vilas e favelas (26,01%)</w:t>
      </w:r>
      <w:r>
        <w:rPr>
          <w:rStyle w:val="Refdenotaderodap"/>
        </w:rPr>
        <w:footnoteReference w:customMarkFollows="1" w:id="8"/>
        <w:t>5</w:t>
      </w:r>
      <w:r>
        <w:t>. Além disso, estas obras têm atingido as áreas mais carentes de Belo Horizonte. Um estudo da URB-AL indica que 54 % da população mais pobre de BH – o grupo que tem uma renda mensal do responsável pela família inferior a 87, 7 dólares (entre 0 e 0,5 salários mínimos) – está a menos de 200 metros de uma obra do OP; 51% dos que tem o chefe de família com uma renda entre 0,5 e 1 salário mínimo, também estão a menos de 200 metros de uma obra do OP</w:t>
      </w:r>
      <w:r>
        <w:rPr>
          <w:rStyle w:val="Refdenotaderodap"/>
        </w:rPr>
        <w:footnoteReference w:id="9"/>
      </w:r>
      <w:r>
        <w:t xml:space="preserve">. Os resultados demonstrados por este estudo, nos dizem que as obras do OP-BH (de 1996 ate 2006) estão próximas de famílias com níveis de renda mais baixos, o que demonstra a pertinência social do OP. </w:t>
      </w:r>
    </w:p>
    <w:p w:rsidR="00771796" w:rsidRDefault="00771796" w:rsidP="00771796"/>
    <w:p w:rsidR="00771796" w:rsidRDefault="00771796" w:rsidP="00771796">
      <w:pPr>
        <w:autoSpaceDE w:val="0"/>
        <w:autoSpaceDN w:val="0"/>
        <w:adjustRightInd w:val="0"/>
        <w:rPr>
          <w:iCs/>
        </w:rPr>
      </w:pPr>
      <w:r>
        <w:t>Por outro lado, d</w:t>
      </w:r>
      <w:r>
        <w:rPr>
          <w:iCs/>
        </w:rPr>
        <w:t>e acordo com as metas e os resultados divulgados pela PBH, podemos inferir que a PBH não tem demonstrado preocupação com a dimensão participativa e inclusiva do OP de outros segmentos excluídos socialmente que não sejam os de classe mais baixa</w:t>
      </w:r>
      <w:r>
        <w:rPr>
          <w:rStyle w:val="Refdenotaderodap"/>
          <w:iCs/>
        </w:rPr>
        <w:footnoteReference w:id="10"/>
      </w:r>
      <w:r>
        <w:rPr>
          <w:iCs/>
        </w:rPr>
        <w:t xml:space="preserve">. Como a nossa preocupação central são as relações de </w:t>
      </w:r>
      <w:r>
        <w:rPr>
          <w:iCs/>
        </w:rPr>
        <w:lastRenderedPageBreak/>
        <w:t>gênero, identificamos também que os órgãos municipais que tratam das questões de gênero no município, como a Coordenadoria Municipal dos Direitos da Mulher e o Conselho Municipal dos Direitos da Mulher, por exemplo, não têm penetração oficial na coordenação, na projeção e nem na avaliação do OP-BH. Neste sentido, a nossa investigação aponta que o OP-BH tem se configurado em um espaço que, de antemão, não está “aberto” a uma discussão sobre as relações de gênero e que tem priorizado discussões sobre o (re)ordenamento do espaço urbano da cidade como ponto de partida para a inclusão social.  Até então, as relações de gênero não têm sido consideradas como questões de relevância e de impacto social pela a PBH quando se trata do OP.</w:t>
      </w:r>
    </w:p>
    <w:p w:rsidR="00771796" w:rsidRDefault="00771796" w:rsidP="00771796">
      <w:pPr>
        <w:pStyle w:val="Ttulo1"/>
        <w:jc w:val="center"/>
        <w:rPr>
          <w:rFonts w:ascii="Times New Roman" w:hAnsi="Times New Roman"/>
          <w:sz w:val="24"/>
          <w:szCs w:val="24"/>
          <w:u w:val="single"/>
        </w:rPr>
      </w:pPr>
      <w:r>
        <w:rPr>
          <w:rFonts w:ascii="Times New Roman" w:hAnsi="Times New Roman"/>
          <w:sz w:val="24"/>
          <w:szCs w:val="24"/>
          <w:u w:val="single"/>
        </w:rPr>
        <w:t>As Mulheres no Orçamento Participativo de Belo Horizonte</w:t>
      </w:r>
    </w:p>
    <w:p w:rsidR="00771796" w:rsidRDefault="00771796" w:rsidP="00771796">
      <w:pPr>
        <w:jc w:val="center"/>
        <w:rPr>
          <w:i/>
        </w:rPr>
      </w:pPr>
      <w:r>
        <w:rPr>
          <w:i/>
        </w:rPr>
        <w:t>Limites e Potencialidades para uma participação paritária entre Mulheres e Homens.</w:t>
      </w:r>
    </w:p>
    <w:p w:rsidR="00771796" w:rsidRDefault="00771796" w:rsidP="00771796">
      <w:pPr>
        <w:autoSpaceDE w:val="0"/>
        <w:autoSpaceDN w:val="0"/>
        <w:adjustRightInd w:val="0"/>
        <w:rPr>
          <w:color w:val="FF6600"/>
        </w:rPr>
      </w:pPr>
    </w:p>
    <w:p w:rsidR="00771796" w:rsidRDefault="00771796" w:rsidP="00771796">
      <w:pPr>
        <w:autoSpaceDE w:val="0"/>
        <w:autoSpaceDN w:val="0"/>
        <w:adjustRightInd w:val="0"/>
        <w:rPr>
          <w:bCs/>
          <w:color w:val="FF6600"/>
        </w:rPr>
      </w:pPr>
      <w:r>
        <w:t>É possível afirmar que o Orçamento Participativo de Belo Horizonte é feito na presença das mulheres. Apontamos a presença para contrapor à “política na ausência das mulheres” (Matos, 2007) que ocorre nas nossas instituições políticas brasileiras</w:t>
      </w:r>
      <w:r>
        <w:rPr>
          <w:rStyle w:val="Refdenotaderodap"/>
          <w:bCs/>
        </w:rPr>
        <w:footnoteReference w:id="11"/>
      </w:r>
      <w:r>
        <w:t>. Estas mulheres estão presentes numericamente no OP-BH, como também são agentes no processo como um todo. É importante destacar a observação de que há presença feminina nos</w:t>
      </w:r>
      <w:r>
        <w:rPr>
          <w:color w:val="FF6600"/>
        </w:rPr>
        <w:t xml:space="preserve"> </w:t>
      </w:r>
      <w:r>
        <w:t>momentos de tomada de palavra nas assembléias durante todas as fases do OP, desde a primeira rodada até as reuniões da Comforça.</w:t>
      </w:r>
      <w:r>
        <w:rPr>
          <w:bCs/>
        </w:rPr>
        <w:t xml:space="preserve"> Muitas mulheres que participam do Orçamento Participativo são líderes nas suas comunidades, são as mobilizadoras das moradoras e moradores do seu bairro, assim como são a referência para estes que lá vão participar. Estas mulheres também são ativas e personagens centrais nas negociações, nas articulações no momento de busca de aliados para a aprovação de suas obras. Elas não só estão conversando com mulheres e homens, como estão trazendo idéias para a sensibilização de outros participantes na exposição de cartazes, fotos, documentos como atas ou estudos e laudos técnicos nas assembléias. Ou seja, estas mulheres são agentes na deliberação ao argumentarem e contra-argumentarem no processo de discussão e de tomada de decisão. Apontamos, que neste cenário de disputa política, as mulheres estão presentes assim como os homens e que juntos são peças fundamentais na discussão sobre o orçamento público de Belo Horizonte.</w:t>
      </w:r>
    </w:p>
    <w:p w:rsidR="00771796" w:rsidRDefault="00771796" w:rsidP="00771796">
      <w:pPr>
        <w:autoSpaceDE w:val="0"/>
        <w:autoSpaceDN w:val="0"/>
        <w:adjustRightInd w:val="0"/>
        <w:rPr>
          <w:bCs/>
          <w:color w:val="FF0000"/>
        </w:rPr>
      </w:pPr>
    </w:p>
    <w:p w:rsidR="00771796" w:rsidRDefault="00771796" w:rsidP="00771796">
      <w:pPr>
        <w:rPr>
          <w:bCs/>
        </w:rPr>
      </w:pPr>
      <w:r>
        <w:rPr>
          <w:bCs/>
        </w:rPr>
        <w:t>Porém, esta presença ativa de algumas mulheres não é um indicativo para a negação da nossa hipótese de trabalho. Esta presença enérgica feminina está dentro de um contexto em que participar é um constante desafio enfrentado, como afirmado nos depoimentos, por algumas mulheres. No que tange aos recursos materiais, encontramos alguns desafios a serem superados pelas mulheres que participam do OP-BH. Uma pesquisa feita pela Prefeitura de Belo Horizonte sobre as(os) delegadas(os) que participaram da Caravana de Prioridades e do Fórum Final do biênio 2007-2008, demonstrou que a renda das pessoas entrevistadas se concentra em torno de 1 SM (17%), 1 a 2 SM (28%) e 2 a 3 SM (16%), somando 61% os que têm a renda entre 1 e 3 SM</w:t>
      </w:r>
      <w:r>
        <w:rPr>
          <w:rStyle w:val="Refdenotaderodap"/>
          <w:bCs/>
        </w:rPr>
        <w:footnoteReference w:id="12"/>
      </w:r>
      <w:r>
        <w:rPr>
          <w:bCs/>
        </w:rPr>
        <w:t>. Algumas das mulheres entrevistadas para esta pesquisa correspondem a este perfil. Estas apontaram em suas falas a falta de dinheiro para “pegar” ônibus e freqüentar as reuniões, que não são esporádicas, como uma dificuldade para participar. Aparentemente, a falta de dinheiro se apresenta como uma dificuldade que não é intrínseca a um determinado sexo, mas às classes baixas de Belo Horizonte que compõem o maior público do OP. Mas esta é ainda uma questão a ser melhor investigada.</w:t>
      </w:r>
    </w:p>
    <w:p w:rsidR="00771796" w:rsidRDefault="00771796" w:rsidP="00771796">
      <w:pPr>
        <w:rPr>
          <w:bCs/>
        </w:rPr>
      </w:pPr>
    </w:p>
    <w:p w:rsidR="00771796" w:rsidRDefault="00771796" w:rsidP="00771796">
      <w:pPr>
        <w:rPr>
          <w:bCs/>
        </w:rPr>
      </w:pPr>
      <w:r>
        <w:rPr>
          <w:bCs/>
        </w:rPr>
        <w:t>Quando pensamos na disponibilidade de tempo para participar, as mulheres apontam uma dificuldade bem específica. Elas relatam as duplas, triplas, quadruplas jornadas de trabalho: cuidar do marido, dos filhos, dos agregados, da casa, trabalhar fora de casa (sendo, algumas delas, as únicas provedoras da renda do lar ou contribuinte significativa para tal), participar da associação do bairro, do OP e de outras atividades da Prefeitura etc. O acúmulo de tarefas ocorre na medida em que as mulheres passam a ocupar os espaços extradomésticos sem que os homens venham a participar das atividades do lar. Olhando para o cenário nacional, esta questão se repete. A fundação Perseu Abramo (2004) aponta que 96% das mulheres são as principais responsáveis pelos afazeres domésticos em geral, sendo que 45% dessas mesmas mulheres também trabalham para sustentar a família. Uma entrevistada nos disse que as mulheres são “compromissadas”, ou seja, têm muitos compromissos, e conciliá-los com a participação na Comforça é mais um desafio.</w:t>
      </w:r>
    </w:p>
    <w:p w:rsidR="00771796" w:rsidRDefault="00771796" w:rsidP="00771796">
      <w:pPr>
        <w:rPr>
          <w:bCs/>
        </w:rPr>
      </w:pPr>
    </w:p>
    <w:p w:rsidR="00771796" w:rsidRDefault="00771796" w:rsidP="00771796">
      <w:r>
        <w:rPr>
          <w:bCs/>
        </w:rPr>
        <w:t xml:space="preserve">Estas mulheres entrevistadas não costumam declarar a falta de dinheiro e de tempo como um empecilho definitivo à participação feminina, mas dizem que é mais uma dificuldade que vem sendo superada. Quando </w:t>
      </w:r>
      <w:r>
        <w:rPr>
          <w:bCs/>
        </w:rPr>
        <w:lastRenderedPageBreak/>
        <w:t xml:space="preserve">convidadas a falar sobre as dificuldades enfrentadas, as respostas são variadas, mas sempre se destaca nas falas um certo tom de superação ao relatarem a criação de estratégias múltiplas para viabilidade da sua participação. Por exemplo, uma entrevistada nos contou que decidiu ser cobradora de ônibus porque esta profissão lhe dava o direito a andar de ônibus de graça, o que possibilitava uma presença mais freqüente desta nas reuniões do OP e em outros eventos da PBH. </w:t>
      </w:r>
      <w:r>
        <w:t xml:space="preserve">Outra entrevistada apontou a necessidade de ter um trabalho que não exigisse horário integral para que ela pudesse acompanhar mais de perto as obras e participar mais das atividades do OP. </w:t>
      </w:r>
    </w:p>
    <w:p w:rsidR="00771796" w:rsidRDefault="00771796" w:rsidP="00771796">
      <w:pPr>
        <w:ind w:right="18"/>
        <w:rPr>
          <w:i/>
          <w:sz w:val="20"/>
          <w:szCs w:val="20"/>
        </w:rPr>
      </w:pPr>
    </w:p>
    <w:p w:rsidR="00771796" w:rsidRDefault="00771796" w:rsidP="00771796">
      <w:pPr>
        <w:rPr>
          <w:i/>
          <w:sz w:val="20"/>
          <w:szCs w:val="20"/>
        </w:rPr>
      </w:pPr>
      <w:r>
        <w:rPr>
          <w:bCs/>
        </w:rPr>
        <w:t>Porém, durante o nosso trabalho de observação e de participação indireta no processo do OP, foram evidenciados casos em que estas questões não se apresentaram como superadas pelas mulheres em geral.  Por exemplo, uma mãe não tinha condições de esperar a hora da votação porque tinha que voltar para casa para amamentar. Outra deixou a Caravana e perdeu o direito ao voto no Fórum Final porque estava com uma criança pequena e viu que não teria condições de prosseguir. Outras pediam para que a reunião não se prolongasse mais, porque tinham filhos e marido em casa esperando por elas. Um grupo de amigas, quando questionadas porquê não se candidataram para delegadas assim como uma das companheiras, respondeu que a que se candidatou era a única que podia ser delegada porque não tinha filho pequeno. Outras apontam o ingresso no OP como coincidente com a morte do marido e a emancipação dos filhos, o que acarretou numa diminuição drástica nas tarefas domésticas. Podemos notar a distribuição desigual do tempo e as duplas jornadas como um dos entraves que as mulheres encontram para exercer uma participação efetiva no OP-BH nesta próxima fala:</w:t>
      </w:r>
    </w:p>
    <w:p w:rsidR="00771796" w:rsidRDefault="00771796" w:rsidP="00771796">
      <w:pPr>
        <w:ind w:left="2520" w:right="18"/>
        <w:rPr>
          <w:sz w:val="20"/>
          <w:szCs w:val="20"/>
        </w:rPr>
      </w:pPr>
      <w:r>
        <w:rPr>
          <w:sz w:val="20"/>
          <w:szCs w:val="20"/>
        </w:rPr>
        <w:t>Eu acho que, de uma certa forma, a gente ainda tem um país assim meio machista. O homem encontra mais facilidades. A mulher encontra mais dificuldades para participar pelo fato dela ser mãe, dela ser dona de casa, dela ter que trabalhar fora. Ela sustenta a sua família muito mais do que o homem sustenta. Ela é compromissada. A mulher é cheia de compromissos. Mesmo tendo toda as qualidades, ela encontra dificuldades para ter uma participação ainda mais efetiva do que já é, do que ela deveria ser.</w:t>
      </w:r>
    </w:p>
    <w:p w:rsidR="00771796" w:rsidRDefault="00771796" w:rsidP="00771796">
      <w:pPr>
        <w:rPr>
          <w:bCs/>
          <w:color w:val="FF0000"/>
        </w:rPr>
      </w:pPr>
    </w:p>
    <w:p w:rsidR="00771796" w:rsidRDefault="00771796" w:rsidP="00771796">
      <w:pPr>
        <w:rPr>
          <w:bCs/>
        </w:rPr>
      </w:pPr>
      <w:r>
        <w:rPr>
          <w:bCs/>
        </w:rPr>
        <w:t xml:space="preserve">Um recente trabalho realizado por Luciano Fedozzi (2007) aponta que as mulheres que participam são as que se encontram independentes dos laços matrimoniais: as solteiras; viúvas; e separadas. Dos Delegados que já foram eleitos no Orçamento Participativo de Porto Alegre (OP-POA), as mulheres representam 62% dos solteiros; 81,3% dos viúvos; 65% dos separados. Segundo o autor, as mulheres casadas e que não contam com </w:t>
      </w:r>
      <w:r>
        <w:rPr>
          <w:bCs/>
        </w:rPr>
        <w:lastRenderedPageBreak/>
        <w:t>trabalhadores domésticos enfrentam dificuldades para participar do OP-POA por causa da dupla jornada e da relação patriarcal que determina que o homem representa a família na vida pública (Fedozzi, 2007, p.16).</w:t>
      </w:r>
    </w:p>
    <w:p w:rsidR="00771796" w:rsidRDefault="00771796" w:rsidP="00771796">
      <w:pPr>
        <w:rPr>
          <w:bCs/>
        </w:rPr>
      </w:pPr>
    </w:p>
    <w:p w:rsidR="00771796" w:rsidRDefault="00771796" w:rsidP="00771796">
      <w:pPr>
        <w:rPr>
          <w:bCs/>
        </w:rPr>
      </w:pPr>
      <w:r>
        <w:rPr>
          <w:bCs/>
        </w:rPr>
        <w:t>Neste sentido, observamos que “poder participar” não é resultado de uma revisão das relações sociais entre homens e mulheres dentro do próprio OP-BH e, em especial, das relações familiares. Revisão esta que resultaria em uma diminuição nas tarefas femininas e, assim, proporcionaria a existência de mais tempo disponível para as mulheres poderem participar. Mesmo as que alegaram a “superação” das dificuldades, relataram o acúmulo de tarefas, apontaram em suas falas que a solução era estar a todo o tempo trabalhando ou fora de casa, ou dentro de casa e ou para a comunidade na sua atuação como delegada. As falas relatam a substituição nas tarefas do lar de uma mulher por outra – a mãe, a filha, a amiga, a vizinha, a cunhada etc. – para que as mulheres possam participar mais do OP e de outras atividades políticas.</w:t>
      </w:r>
      <w:r>
        <w:rPr>
          <w:bCs/>
          <w:color w:val="0000FF"/>
        </w:rPr>
        <w:t xml:space="preserve"> </w:t>
      </w:r>
      <w:r>
        <w:rPr>
          <w:bCs/>
        </w:rPr>
        <w:t xml:space="preserve">Podemos perceber, de forma preliminar, que as condições da vida privada penetram no contexto público e político do espaço em questão. O acúmulo de tarefas na esfera privada e econômica se apresenta como condicionante à participação feminina nos espaços participativos. Para as mulheres, os afazeres domésticos acumulados com os trabalhos remunerados, o cuidado com os filhos, marido e agregados, são apresentados como limites à participação. Neste sentido, vale afirmar que, apesar de existir uma entrada maior de mulheres nestes espaços participativos, ainda torna-se necessária a consumação de requisitos para a emancipação feminina, para que possamos atingir a igualdade no exercício da cidadania. (Fedozzi, 2007, p.16). </w:t>
      </w:r>
    </w:p>
    <w:p w:rsidR="00771796" w:rsidRDefault="00771796" w:rsidP="00771796">
      <w:pPr>
        <w:rPr>
          <w:bCs/>
        </w:rPr>
      </w:pPr>
    </w:p>
    <w:p w:rsidR="00771796" w:rsidRDefault="00771796" w:rsidP="00771796">
      <w:pPr>
        <w:rPr>
          <w:color w:val="0000FF"/>
          <w:sz w:val="20"/>
          <w:szCs w:val="20"/>
        </w:rPr>
      </w:pPr>
      <w:r>
        <w:rPr>
          <w:bCs/>
        </w:rPr>
        <w:t xml:space="preserve">Quando se trata das questões </w:t>
      </w:r>
      <w:r>
        <w:rPr>
          <w:b/>
          <w:bCs/>
        </w:rPr>
        <w:t>subjetivas</w:t>
      </w:r>
      <w:r>
        <w:rPr>
          <w:bCs/>
        </w:rPr>
        <w:t>, dos valores compartilhados</w:t>
      </w:r>
      <w:r>
        <w:rPr>
          <w:rStyle w:val="Refdenotaderodap"/>
          <w:bCs/>
        </w:rPr>
        <w:footnoteReference w:id="13"/>
      </w:r>
      <w:r>
        <w:rPr>
          <w:bCs/>
        </w:rPr>
        <w:t xml:space="preserve"> nesse espaço, podemos apontar a existência de um conjunto de valores que depreciam, de alguma forma, a imagem feminina ao tratar as mulheres como emotivas em excesso, pessoas que se deixam levar pela emoção e não pela razão. Esta imagem do feminino pode afastar as mulheres da participação política, do processo de tomada de decisão, das posições de poder e liderança. No caso do OP-BH a subjetividade se apresenta com um caráter dual. Nas entrevistas com as participantes, em conversas informais com os homens que participam e com representantes da Prefeitura (gerentes das regionais, ou funcionários da coordenação da participação popular), as concepções que apareciam </w:t>
      </w:r>
      <w:r>
        <w:rPr>
          <w:bCs/>
        </w:rPr>
        <w:lastRenderedPageBreak/>
        <w:t>nas falas sobre o que é o feminino, a mulher e a participação da mulher nesse espaço, estavam sempre associando as mulheres ao cuidado, à bondade, à paciência, à maternidade, à administração do lar e da família, entre outros aspectos. Estes atributos, considerados tipicamente femininos, eram sempre associados de forma positiva com o que consideravam uma boa (ou efetiva) participação dentro do OP-BH. Esta associação positiva parece estar relacionada com o fato dos participantes entenderem a vila ou o bairro como uma extensão de suas casas. A mulher sabe o que seu lar, filhos e marido precisam e, por conseguinte, seria também ela que melhor saberia o que o bairro e seus moradores precisariam, como relatado nesta próxima fala:</w:t>
      </w:r>
    </w:p>
    <w:p w:rsidR="00771796" w:rsidRDefault="00771796" w:rsidP="00771796">
      <w:pPr>
        <w:tabs>
          <w:tab w:val="left" w:pos="8820"/>
        </w:tabs>
        <w:ind w:left="2520" w:right="18"/>
        <w:rPr>
          <w:sz w:val="20"/>
          <w:szCs w:val="20"/>
        </w:rPr>
      </w:pPr>
      <w:r>
        <w:rPr>
          <w:sz w:val="20"/>
          <w:szCs w:val="20"/>
        </w:rPr>
        <w:t xml:space="preserve"> A participação [no OP-BH] das mulheres é melhor, porque as mulheres cuidam do Orçamento Participativo como se elas cuidassem de sua própria casa. É um dever de casa, é um dever de lavar, passar, cozinhar. No Orçamento Participativo é exatamente isso que a gente faz. Porque organizar um beco é como se tivesse que trocar o piso da minha casa. Por exemplo, eu estou sem piso aqui até hoje. Como se eu fosse colocar uma cerâmica aqui no chão, é a urbanização da vila. Como eu quero a minha casa bonita, eu quero a vila também bonita. [...] As mulheres são assim. Principalmente eu, eu sonho dentro da minha casa, eu sonho lá fora também. </w:t>
      </w:r>
    </w:p>
    <w:p w:rsidR="00771796" w:rsidRDefault="00771796" w:rsidP="00771796">
      <w:pPr>
        <w:spacing w:before="240"/>
        <w:rPr>
          <w:bCs/>
        </w:rPr>
      </w:pPr>
      <w:r>
        <w:rPr>
          <w:bCs/>
        </w:rPr>
        <w:t xml:space="preserve">A mulher é, então, considerada freqüentemente como uma pessoa “maternal”, e reporta-se ao cuidado como uma característica intrínseca a ela. O cuidado é visto como uma qualidade positiva, na medida em que os participantes percebem o OP-BH como um ambiente solidário. Os participantes costumam associar a participação no OP com a busca do bem comum, com o fazer bem a comunidade, </w:t>
      </w:r>
      <w:r>
        <w:rPr>
          <w:bCs/>
          <w:u w:val="single"/>
        </w:rPr>
        <w:t>não evidenciando</w:t>
      </w:r>
      <w:r>
        <w:rPr>
          <w:bCs/>
        </w:rPr>
        <w:t xml:space="preserve"> (sem negar) o</w:t>
      </w:r>
      <w:r>
        <w:rPr>
          <w:bCs/>
          <w:color w:val="0000FF"/>
        </w:rPr>
        <w:t xml:space="preserve"> </w:t>
      </w:r>
      <w:r>
        <w:rPr>
          <w:bCs/>
        </w:rPr>
        <w:t xml:space="preserve">caráter de disputa e </w:t>
      </w:r>
      <w:r>
        <w:rPr>
          <w:bCs/>
          <w:u w:val="single"/>
        </w:rPr>
        <w:t>enfatizando</w:t>
      </w:r>
      <w:r>
        <w:rPr>
          <w:bCs/>
        </w:rPr>
        <w:t xml:space="preserve"> o potencial de agregação de forças, de solidariedade, de comunitarísmo.</w:t>
      </w:r>
      <w:r>
        <w:rPr>
          <w:bCs/>
          <w:color w:val="0000FF"/>
        </w:rPr>
        <w:t xml:space="preserve">  </w:t>
      </w:r>
      <w:r>
        <w:rPr>
          <w:bCs/>
        </w:rPr>
        <w:t>Se a subjetividade que paira o OP-BH é uma potencialidade para o ingresso das mulheres neste espaço, ela é, ou pode se tornar, ao mesmo tempo, um fator limitador para a participação feminina caso a instância política não mais seja sinônimo do doméstico, do lar, do familiar, comunitário etc. Talvez seja esse um dos motivos que causa uma reviravolta numérica quando comparamos o número de mulheres nas plenárias e na Comforça (espaço de poder e liderança). Podemos dizer que essa subjetividade restringe a participação feminina à esfera do cuidado, retirando a mulher do espaço associado com o poder, a razão e a decisão.</w:t>
      </w:r>
    </w:p>
    <w:p w:rsidR="00771796" w:rsidRDefault="00771796" w:rsidP="00771796">
      <w:pPr>
        <w:autoSpaceDE w:val="0"/>
        <w:autoSpaceDN w:val="0"/>
        <w:adjustRightInd w:val="0"/>
        <w:rPr>
          <w:bCs/>
        </w:rPr>
      </w:pPr>
    </w:p>
    <w:p w:rsidR="00771796" w:rsidRDefault="00771796" w:rsidP="00771796">
      <w:pPr>
        <w:autoSpaceDE w:val="0"/>
        <w:autoSpaceDN w:val="0"/>
        <w:adjustRightInd w:val="0"/>
        <w:rPr>
          <w:bCs/>
          <w:color w:val="FF0000"/>
        </w:rPr>
      </w:pPr>
      <w:r>
        <w:rPr>
          <w:bCs/>
        </w:rPr>
        <w:lastRenderedPageBreak/>
        <w:t>O caráter dual da ideologia que paira no OP nos leva a supor que mesmo da perspectiva das próprias mulheres que participam, a idéia do feminino não está associada diretamente à política e ao poder. Somos levados a acreditar que as mulheres participam da vida social e política do OP-BH, porém, muitas vezes, elas não são vistas realmente como pares, como iguais. Porém, não podemos negar que o OP-BH tem um potencial para o ingresso feminino. Este potencial precisa ser explorado e desenvolvido. Mesmo que ainda persistam representações tradicionais a respeito das mulheres, não se pode deixar de evidenciar que algumas mulheres conseguiram criar espaço para as suas demandas, ter voz, mobilizar e, em especial, mudar o local onde moram e reinventar algumas relações dentro daquele próprio espaço. Porém, esta não é uma situação garantida para todas as mulheres.</w:t>
      </w:r>
      <w:r>
        <w:rPr>
          <w:bCs/>
          <w:color w:val="FF0000"/>
        </w:rPr>
        <w:t xml:space="preserve"> </w:t>
      </w:r>
    </w:p>
    <w:p w:rsidR="00771796" w:rsidRDefault="00771796" w:rsidP="00771796">
      <w:pPr>
        <w:autoSpaceDE w:val="0"/>
        <w:autoSpaceDN w:val="0"/>
        <w:adjustRightInd w:val="0"/>
        <w:rPr>
          <w:bCs/>
        </w:rPr>
      </w:pPr>
    </w:p>
    <w:p w:rsidR="00771796" w:rsidRDefault="00771796" w:rsidP="00771796">
      <w:pPr>
        <w:pStyle w:val="CorpodetextoCharCharChar"/>
        <w:jc w:val="center"/>
        <w:rPr>
          <w:b/>
        </w:rPr>
      </w:pPr>
      <w:r>
        <w:rPr>
          <w:b/>
        </w:rPr>
        <w:t>Considerações finais</w:t>
      </w:r>
    </w:p>
    <w:p w:rsidR="00771796" w:rsidRDefault="00771796" w:rsidP="00771796">
      <w:pPr>
        <w:autoSpaceDE w:val="0"/>
        <w:autoSpaceDN w:val="0"/>
        <w:adjustRightInd w:val="0"/>
      </w:pPr>
      <w:r>
        <w:rPr>
          <w:bCs/>
        </w:rPr>
        <w:t xml:space="preserve">Nesse sentido, o nosso trabalho caminha em direção da confirmação da nossa hipótese de trabalho, ou seja, nesses espaços não existe ainda uma eqüitativa distribuição dos recursos materiais entre mulheres e homens, o que garantiria maior </w:t>
      </w:r>
      <w:r>
        <w:t xml:space="preserve">liberdade e mais voz para os indivíduos que queiram participar; também não existem valores compartilhados, padrões culturais que permitam que mulheres e homens interajam, de fato, como parceiros, que promovam a capacidade desses participarem realmente como iguais na vida social. </w:t>
      </w:r>
      <w:r>
        <w:rPr>
          <w:bCs/>
        </w:rPr>
        <w:t xml:space="preserve">Estes indícios de uma não paridade participativa entre mulheres e homens no OP-BH nos fazem apostar na importância de um monitoramento sistemático a partir de informações concretas sobre quem é seu público participante do OP-BH. As informações sobre o perfil socioeconômico dos participantes do OP seriam o ponto de partida para uma investigação minuciosa sobre as potencialidades inclusivas deste espaço. Outro ponto a ser investigado seria um detalhamento mais aprofundado sobre os tipos de demandas (e se elas existem) femininas e masculinas e, a partir desta diferenciação, se existe a inclusão dos dois tipos de demandas, ou se há a prevalência de alguma delas. Nosso trabalho não nos permite perceber se há ou não preferências diferenciadas para mulheres e homens neste espaço. Podemos apenas afirmar que o Orçamento Participativo de Belo Horizonte faz parte um projeto da administração pública da cidade que prioriza a (re)estruturação territorial do município como ponto de partida para a inclusão social. Mais do que isso, é visível que esse projeto político está estritamente interligado com as necessidades do público participante do OP-BH, as quais estão arraigadas no plano material. Os participantes do OP-BH compartilham a pobreza material e uma invisibilidade da sua existência ao longo do </w:t>
      </w:r>
      <w:r>
        <w:rPr>
          <w:bCs/>
        </w:rPr>
        <w:lastRenderedPageBreak/>
        <w:t>tempo, ao passo que estes estiveram fora do planejamento da cidade e não tinham acesso à infra-estrutura que a administração do município oferecia para seus cidadãos. Podemos afirmar</w:t>
      </w:r>
      <w:r>
        <w:rPr>
          <w:bCs/>
          <w:color w:val="0000FF"/>
        </w:rPr>
        <w:t xml:space="preserve"> </w:t>
      </w:r>
      <w:r>
        <w:rPr>
          <w:bCs/>
        </w:rPr>
        <w:t xml:space="preserve">que o compromisso da administração local é, prioritariamente, com a inversão de prioridades em termos territoriais, reverter o destino dos </w:t>
      </w:r>
      <w:r>
        <w:t>investimentos que, tradicionalmente, não chegavam aos bairros pobres, vilas e favelas de Belo Horizonte</w:t>
      </w:r>
      <w:r>
        <w:rPr>
          <w:rStyle w:val="Refdenotaderodap"/>
          <w:bCs/>
        </w:rPr>
        <w:footnoteReference w:id="14"/>
      </w:r>
      <w:r>
        <w:t>.  Às mudanças na ordem das prioridades, em termos políticos (dar prioridade as demandas dos segmentos que antes não tinham voz e nem poder de decisão sobre o orçamento público do município), foi entendida pela Prefeitura a partir da exclusão econômica desconexa de outros tipos de marcadores – como gênero, raça, geração, orientação sexual etc.</w:t>
      </w:r>
    </w:p>
    <w:p w:rsidR="00771796" w:rsidRDefault="00771796" w:rsidP="00771796">
      <w:pPr>
        <w:autoSpaceDE w:val="0"/>
        <w:autoSpaceDN w:val="0"/>
        <w:adjustRightInd w:val="0"/>
        <w:rPr>
          <w:bCs/>
        </w:rPr>
      </w:pPr>
    </w:p>
    <w:p w:rsidR="00771796" w:rsidRDefault="00771796" w:rsidP="00771796">
      <w:pPr>
        <w:autoSpaceDE w:val="0"/>
        <w:autoSpaceDN w:val="0"/>
        <w:adjustRightInd w:val="0"/>
        <w:rPr>
          <w:bCs/>
        </w:rPr>
      </w:pPr>
      <w:r>
        <w:rPr>
          <w:bCs/>
        </w:rPr>
        <w:t xml:space="preserve">De qualquer forma, acompanhar mulheres e homens na busca por melhorias em seus bairros, durante todo o OP 2007/2008, nos permitiu perceber que outras discussões que não tratassem especificamente das necessidades materiais vivenciadas pelas comunidades não tinham espaço no debate do OP. Por mais que sejamos levados a perceber que o nosso trabalho de pesquisa é um indicativo da necessidade de maior monitoramento e questionamento sobre o potencial inclusivo do OP-BH, nossa investigação já nos dá pistas sobre o potencial inclusivo, maior ou menor, deste espaço. As nossas informações centrais – um custo diferenciado para participar politicamente entre mulheres e homens; a existência de valores compartilhados que não associam as mulheres ao poder e à política; o fato do OP ser um espaço que tem demonstrado pouca abertura para outras discussões que também atravessam as questões matérias mais que não se restringem apenas a ela, como é o caso da temática de gênero – já nos advertem sobre os limites dentro do OP-BH para a participação feminina. </w:t>
      </w:r>
    </w:p>
    <w:p w:rsidR="00771796" w:rsidRDefault="00771796" w:rsidP="00771796">
      <w:pPr>
        <w:autoSpaceDE w:val="0"/>
        <w:autoSpaceDN w:val="0"/>
        <w:adjustRightInd w:val="0"/>
        <w:rPr>
          <w:bCs/>
        </w:rPr>
      </w:pPr>
    </w:p>
    <w:p w:rsidR="00771796" w:rsidRDefault="00771796" w:rsidP="00771796">
      <w:r>
        <w:t xml:space="preserve">A confirmação da nossa hipótese só é possível, na medida em que entendemos que a paridade participativa pressupõe um reconhecimento de todos (mulheres e homens) enquanto pares, enquanto possuidores de um </w:t>
      </w:r>
      <w:r>
        <w:rPr>
          <w:i/>
        </w:rPr>
        <w:t>status</w:t>
      </w:r>
      <w:r>
        <w:t xml:space="preserve"> social eqüitativo. Mais do que isso, as questões levantadas por esta monografia nos mostram que participar ou não, se reconhecer e ser reconhecido enquanto parceiro dentro do OP-BH, não faz parte de uma “engenharia da consciência”</w:t>
      </w:r>
      <w:r>
        <w:rPr>
          <w:rStyle w:val="Refdenotaderodap"/>
        </w:rPr>
        <w:footnoteReference w:id="15"/>
      </w:r>
      <w:r>
        <w:t xml:space="preserve"> (Fraser, 2001). Os fatores que potencializam, ou não, a face inclusiva de um </w:t>
      </w:r>
      <w:r>
        <w:lastRenderedPageBreak/>
        <w:t xml:space="preserve">espaço participativo operam na dimensão societal. Ou seja, existem possibilidades e limites para uma participação na vida social, e estes passam por arranjos sociais e institucionais de gênero ou generificados que permitem ou não uma participação paritária. Para se pensar em uma paridade de participação no OP–BH, precisamos incluir os membros da sociedade no processo de deliberação e debate, fazendo com que haja de fato a presença de mulheres e homens, sendo as maneiras destes agirem e pensarem (maneiras conhecidas social e culturalmente como propriamente femininas ou masculinas) respeitadas e reconhecidas. Uma paridade não numérica, mas uma paridade efetiva de condições, pode ser um ponto de partida para uma reflexão sobre o reconhecimento dos participantes enquanto pares neste processo de democratização do Estado. Uma potencialidade para se ter uma visão mais crítica do que seria uma ampliação da democracia. </w:t>
      </w:r>
    </w:p>
    <w:p w:rsidR="00771796" w:rsidRDefault="00771796" w:rsidP="00771796">
      <w:pPr>
        <w:rPr>
          <w:color w:val="0000FF"/>
        </w:rPr>
      </w:pPr>
    </w:p>
    <w:p w:rsidR="00771796" w:rsidRDefault="00771796" w:rsidP="00771796">
      <w:pPr>
        <w:jc w:val="center"/>
        <w:rPr>
          <w:b/>
        </w:rPr>
      </w:pPr>
      <w:r>
        <w:rPr>
          <w:b/>
        </w:rPr>
        <w:t>Bibliografia</w:t>
      </w:r>
    </w:p>
    <w:p w:rsidR="00771796" w:rsidRDefault="00771796" w:rsidP="00771796">
      <w:pPr>
        <w:pStyle w:val="Corpodetexto"/>
        <w:autoSpaceDE w:val="0"/>
        <w:autoSpaceDN w:val="0"/>
        <w:adjustRightInd w:val="0"/>
        <w:spacing w:line="360" w:lineRule="auto"/>
        <w:ind w:left="180" w:hanging="180"/>
      </w:pPr>
      <w:r>
        <w:t xml:space="preserve">______. </w:t>
      </w:r>
      <w:r>
        <w:rPr>
          <w:i/>
        </w:rPr>
        <w:t>Sociedade Civil e participação Social no Brasil</w:t>
      </w:r>
      <w:r>
        <w:t xml:space="preserve">. Texto preparado para a coordenação da área social do projeto Brasil em Três Tempos. Texto disponível no sítio </w:t>
      </w:r>
      <w:hyperlink r:id="rId10" w:history="1">
        <w:r>
          <w:rPr>
            <w:rStyle w:val="Hyperlink"/>
          </w:rPr>
          <w:t>http://www.democraciaparticipativa.org/files/AvritzerSociedadeCivilParticipacaoBrasil.pdf</w:t>
        </w:r>
      </w:hyperlink>
      <w:r>
        <w:t xml:space="preserve"> acessado no dia 28 de março de 2006.</w:t>
      </w:r>
    </w:p>
    <w:p w:rsidR="00771796" w:rsidRDefault="00771796" w:rsidP="00771796">
      <w:pPr>
        <w:pStyle w:val="Corpodetexto"/>
        <w:autoSpaceDE w:val="0"/>
        <w:autoSpaceDN w:val="0"/>
        <w:adjustRightInd w:val="0"/>
        <w:spacing w:line="360" w:lineRule="auto"/>
        <w:ind w:left="180" w:hanging="180"/>
      </w:pPr>
      <w:r>
        <w:t xml:space="preserve">DAHL, Robert A., </w:t>
      </w:r>
      <w:r>
        <w:rPr>
          <w:iCs/>
        </w:rPr>
        <w:t>Poliarquia: Participação e Oposição</w:t>
      </w:r>
      <w:r>
        <w:t>. Tradução de Celso Mauro Paciornik. São Paulo, Edusp. [1972] (1997)</w:t>
      </w:r>
    </w:p>
    <w:p w:rsidR="00771796" w:rsidRDefault="00771796" w:rsidP="00771796">
      <w:pPr>
        <w:pStyle w:val="Corpodetexto"/>
        <w:autoSpaceDE w:val="0"/>
        <w:autoSpaceDN w:val="0"/>
        <w:adjustRightInd w:val="0"/>
        <w:spacing w:line="360" w:lineRule="auto"/>
        <w:ind w:left="180" w:hanging="180"/>
      </w:pPr>
      <w:r>
        <w:rPr>
          <w:color w:val="FF0000"/>
        </w:rPr>
        <w:t xml:space="preserve"> </w:t>
      </w:r>
      <w:r>
        <w:t xml:space="preserve">FEDOZZI, Luciano. Participação nos Governos Locais do Brasil Contemporâneo. In: Cadernos Flem VIII – Gestão Pública e Participação (S/D). Anais do II Seminário Nacional </w:t>
      </w:r>
      <w:r>
        <w:rPr>
          <w:bCs/>
        </w:rPr>
        <w:t xml:space="preserve">Movimentos Sociais, Participação e Democracia </w:t>
      </w:r>
      <w:r>
        <w:t>25 a 27 de abril de 2007, UFSC, Florianópolis, Brasil Núcleo de Pesquisa em Movimentos Sociais – NPMS ISSN 736</w:t>
      </w:r>
    </w:p>
    <w:p w:rsidR="00771796" w:rsidRDefault="00771796" w:rsidP="00771796">
      <w:pPr>
        <w:pStyle w:val="Corpodetexto"/>
        <w:autoSpaceDE w:val="0"/>
        <w:autoSpaceDN w:val="0"/>
        <w:adjustRightInd w:val="0"/>
        <w:spacing w:line="360" w:lineRule="auto"/>
        <w:ind w:left="180" w:hanging="180"/>
      </w:pPr>
      <w:r>
        <w:t>__________. Observando o Orçamento Participativo de Porto Alegre – análise histórica de dados: perfil social e associativo, avaliação e expectativas. Porto Alegre: Tomo Editora, 2007.</w:t>
      </w:r>
    </w:p>
    <w:p w:rsidR="00771796" w:rsidRDefault="00771796" w:rsidP="00771796">
      <w:pPr>
        <w:pStyle w:val="Corpodetexto"/>
        <w:autoSpaceDE w:val="0"/>
        <w:autoSpaceDN w:val="0"/>
        <w:adjustRightInd w:val="0"/>
        <w:spacing w:line="360" w:lineRule="auto"/>
        <w:ind w:left="180" w:hanging="180"/>
      </w:pPr>
      <w:r>
        <w:t xml:space="preserve">FRASER, Nancy. </w:t>
      </w:r>
      <w:r>
        <w:rPr>
          <w:i/>
        </w:rPr>
        <w:t xml:space="preserve">O que é crítico na teoria crítica? O Argumento de Habermas e Gênero” </w:t>
      </w:r>
      <w:r>
        <w:t xml:space="preserve">.IN: </w:t>
      </w:r>
      <w:r>
        <w:rPr>
          <w:rStyle w:val="Forte"/>
          <w:b w:val="0"/>
        </w:rPr>
        <w:lastRenderedPageBreak/>
        <w:t>BENHABIB, Sheila</w:t>
      </w:r>
      <w:r>
        <w:rPr>
          <w:rStyle w:val="Forte"/>
        </w:rPr>
        <w:t xml:space="preserve"> e </w:t>
      </w:r>
      <w:r>
        <w:t xml:space="preserve">CORNELL, Drucilla, </w:t>
      </w:r>
      <w:r>
        <w:rPr>
          <w:rStyle w:val="Forte"/>
          <w:b w:val="0"/>
          <w:i/>
        </w:rPr>
        <w:t>Feminismo Como Crítica da Modernidade.</w:t>
      </w:r>
      <w:r>
        <w:rPr>
          <w:rStyle w:val="Forte"/>
          <w:i/>
        </w:rPr>
        <w:t xml:space="preserve"> </w:t>
      </w:r>
      <w:r>
        <w:rPr>
          <w:rStyle w:val="Forte"/>
          <w:b w:val="0"/>
        </w:rPr>
        <w:t>Editora:</w:t>
      </w:r>
      <w:r>
        <w:t xml:space="preserve"> RCB</w:t>
      </w:r>
      <w:r>
        <w:rPr>
          <w:rStyle w:val="Forte"/>
        </w:rPr>
        <w:t xml:space="preserve"> </w:t>
      </w:r>
      <w:r>
        <w:t>1987.</w:t>
      </w:r>
    </w:p>
    <w:p w:rsidR="00771796" w:rsidRDefault="00771796" w:rsidP="00771796">
      <w:pPr>
        <w:pStyle w:val="Corpodetexto"/>
        <w:autoSpaceDE w:val="0"/>
        <w:autoSpaceDN w:val="0"/>
        <w:adjustRightInd w:val="0"/>
        <w:spacing w:line="360" w:lineRule="auto"/>
        <w:ind w:left="180" w:hanging="180"/>
      </w:pPr>
      <w:r>
        <w:t xml:space="preserve">______. </w:t>
      </w:r>
      <w:r>
        <w:rPr>
          <w:i/>
        </w:rPr>
        <w:t>Da Redistribuição ao Reconhecimento? Dilemas da Justiça na era pós-socialista</w:t>
      </w:r>
      <w:r>
        <w:t>. In: SOUZA, Jessé (org) Democracia Hoje: novos desafios para a teoria democrática contemporânea. Brasília: Editora da UnB, 2001.</w:t>
      </w:r>
    </w:p>
    <w:p w:rsidR="00771796" w:rsidRDefault="00771796" w:rsidP="00771796">
      <w:pPr>
        <w:pStyle w:val="Corpodetexto"/>
        <w:autoSpaceDE w:val="0"/>
        <w:autoSpaceDN w:val="0"/>
        <w:adjustRightInd w:val="0"/>
        <w:spacing w:line="360" w:lineRule="auto"/>
        <w:ind w:left="180" w:hanging="180"/>
      </w:pPr>
      <w:r>
        <w:t xml:space="preserve">_____. </w:t>
      </w:r>
      <w:r>
        <w:rPr>
          <w:i/>
        </w:rPr>
        <w:t>Recognition without ethics?</w:t>
      </w:r>
      <w:r>
        <w:t xml:space="preserve"> </w:t>
      </w:r>
      <w:r>
        <w:rPr>
          <w:iCs/>
        </w:rPr>
        <w:t>Theory, Culture &amp; Society</w:t>
      </w:r>
      <w:r>
        <w:t>. Londres / Thousand Oaks / New Delhi, v. 18 (2-3): 21-42, 2001</w:t>
      </w:r>
    </w:p>
    <w:p w:rsidR="00771796" w:rsidRDefault="00771796" w:rsidP="00771796">
      <w:pPr>
        <w:pStyle w:val="Corpodetexto"/>
        <w:autoSpaceDE w:val="0"/>
        <w:autoSpaceDN w:val="0"/>
        <w:adjustRightInd w:val="0"/>
        <w:spacing w:line="360" w:lineRule="auto"/>
        <w:ind w:left="180" w:hanging="180"/>
      </w:pPr>
      <w:r>
        <w:t xml:space="preserve">Fundação Perseu Abramo. </w:t>
      </w:r>
      <w:r>
        <w:rPr>
          <w:i/>
        </w:rPr>
        <w:t>A Mulher Brasileira nos Espaços Público e Privado</w:t>
      </w:r>
      <w:r>
        <w:t>. Editora Fundação Perseu Abramo, SP: 2004.</w:t>
      </w:r>
    </w:p>
    <w:p w:rsidR="00771796" w:rsidRDefault="00771796" w:rsidP="00771796">
      <w:pPr>
        <w:pStyle w:val="Corpodetexto"/>
        <w:autoSpaceDE w:val="0"/>
        <w:autoSpaceDN w:val="0"/>
        <w:adjustRightInd w:val="0"/>
        <w:spacing w:line="360" w:lineRule="auto"/>
        <w:ind w:left="180" w:hanging="180"/>
      </w:pPr>
      <w:r>
        <w:t>FUNG, Achon, “</w:t>
      </w:r>
      <w:r>
        <w:rPr>
          <w:i/>
        </w:rPr>
        <w:t>Receitas para esferas públicas : oito desenhos institucionais e suas conseqüências</w:t>
      </w:r>
      <w:r>
        <w:t xml:space="preserve">. In: COELHO, Vera Schattan P; NOBRE, Marcos; “Participação e </w:t>
      </w:r>
      <w:r>
        <w:rPr>
          <w:rStyle w:val="Forte"/>
          <w:b w:val="0"/>
        </w:rPr>
        <w:t>deliberação</w:t>
      </w:r>
      <w:r>
        <w:rPr>
          <w:b/>
        </w:rPr>
        <w:t>:</w:t>
      </w:r>
      <w:r>
        <w:t xml:space="preserve"> teoria democrática e experiências institucionais no Brasil contemporâneo”. São Paulo: Ed. 34, 2004.</w:t>
      </w:r>
    </w:p>
    <w:p w:rsidR="00771796" w:rsidRDefault="00771796" w:rsidP="00771796">
      <w:pPr>
        <w:pStyle w:val="Corpodetexto"/>
        <w:autoSpaceDE w:val="0"/>
        <w:autoSpaceDN w:val="0"/>
        <w:adjustRightInd w:val="0"/>
        <w:spacing w:line="360" w:lineRule="auto"/>
        <w:ind w:left="180" w:hanging="180"/>
      </w:pPr>
      <w:r>
        <w:t>Prefeitura Municipal de Belo Horizonte. Cadernos de Metodologia do Orçamento Participativo de Belo horizonte 2007-2008</w:t>
      </w:r>
    </w:p>
    <w:p w:rsidR="00771796" w:rsidRDefault="00771796" w:rsidP="00771796">
      <w:pPr>
        <w:pStyle w:val="Corpodetexto"/>
        <w:autoSpaceDE w:val="0"/>
        <w:autoSpaceDN w:val="0"/>
        <w:adjustRightInd w:val="0"/>
        <w:spacing w:line="360" w:lineRule="auto"/>
        <w:ind w:left="180" w:hanging="180"/>
      </w:pPr>
      <w:r>
        <w:t xml:space="preserve">Prefeitura Municipal de Belo Horizonte. Cadernos de Diretrizes do Orçamento Participativo de Belo horizonte 2007-2008. </w:t>
      </w:r>
    </w:p>
    <w:p w:rsidR="00771796" w:rsidRDefault="00771796" w:rsidP="00771796">
      <w:pPr>
        <w:pStyle w:val="Corpodetexto"/>
        <w:autoSpaceDE w:val="0"/>
        <w:autoSpaceDN w:val="0"/>
        <w:adjustRightInd w:val="0"/>
        <w:spacing w:line="360" w:lineRule="auto"/>
        <w:ind w:left="180" w:hanging="180"/>
      </w:pPr>
      <w:r>
        <w:t>Prefeitura de Belo Horizonte, SM de Planejamento, Orçamento e Informação/ S.M. Adjunta de Planejamento /Coordenação da Participação Popular / Pesquisa desenvolvida com os delegados do OP 2003/2004, entre março a dezembro de 2002 / Documento interno.</w:t>
      </w:r>
    </w:p>
    <w:p w:rsidR="00771796" w:rsidRDefault="00771796" w:rsidP="00771796">
      <w:pPr>
        <w:pStyle w:val="Corpodetexto"/>
        <w:autoSpaceDE w:val="0"/>
        <w:autoSpaceDN w:val="0"/>
        <w:adjustRightInd w:val="0"/>
        <w:spacing w:line="360" w:lineRule="auto"/>
        <w:ind w:left="180" w:hanging="180"/>
      </w:pPr>
      <w:r>
        <w:t>Prefeitura de Belo Horizonte, SM de Planejamento, Orçamento e Informação/ S.M. Adjunta de Planejamento /Coordenação da Participação Popular / Pesquisa desenvolvida com os delegados do OP 2007/2008, entre março a dezembro de 2007 / Documento interno.</w:t>
      </w:r>
    </w:p>
    <w:p w:rsidR="00771796" w:rsidRDefault="00771796" w:rsidP="00771796">
      <w:pPr>
        <w:pStyle w:val="Corpodetexto"/>
        <w:autoSpaceDE w:val="0"/>
        <w:autoSpaceDN w:val="0"/>
        <w:adjustRightInd w:val="0"/>
        <w:spacing w:line="360" w:lineRule="auto"/>
        <w:ind w:left="180" w:hanging="180"/>
      </w:pPr>
      <w:r>
        <w:t xml:space="preserve">SANTANA, Mônica Cristina </w:t>
      </w:r>
      <w:r>
        <w:rPr>
          <w:i/>
        </w:rPr>
        <w:t>Muito Trabalho, pouco poder: participação feminina mitigada nos assentamentos rurais do estado de Sergipe</w:t>
      </w:r>
      <w:r>
        <w:t>. In: GROSSI, Miriam P. e SCHWADE, Elisete (orgs.). Política e Cotidiano: estudos antropológicos sobre gênero, família e sexualidade. Blumenau: Nova Letra, 2006. pp.47-70.</w:t>
      </w:r>
    </w:p>
    <w:p w:rsidR="00771796" w:rsidRDefault="00771796" w:rsidP="00771796">
      <w:pPr>
        <w:ind w:left="180" w:hanging="180"/>
      </w:pPr>
      <w:r>
        <w:t xml:space="preserve">URB-AL </w:t>
      </w:r>
      <w:r>
        <w:rPr>
          <w:i/>
        </w:rPr>
        <w:t xml:space="preserve">“Instrumentos de Articulação entre Planejamento e Orçamento Participativo”. </w:t>
      </w:r>
      <w:r>
        <w:t xml:space="preserve">2007a. </w:t>
      </w:r>
    </w:p>
    <w:p w:rsidR="00771796" w:rsidRDefault="00771796" w:rsidP="00771796">
      <w:pPr>
        <w:pStyle w:val="Textodenotaderodap"/>
        <w:jc w:val="both"/>
        <w:rPr>
          <w:sz w:val="24"/>
          <w:szCs w:val="24"/>
        </w:rPr>
      </w:pPr>
      <w:r>
        <w:rPr>
          <w:sz w:val="24"/>
          <w:szCs w:val="24"/>
        </w:rPr>
        <w:lastRenderedPageBreak/>
        <w:t xml:space="preserve">URB-AL </w:t>
      </w:r>
      <w:r>
        <w:rPr>
          <w:i/>
          <w:sz w:val="24"/>
          <w:szCs w:val="24"/>
        </w:rPr>
        <w:t>Instrumentos de Articulacíon entre Pressupuesto Participativo y Urdenamiento Territorial. Uma sintesis basada em lãs experiencias de Arici (Itália); Belo Horizonte y Guarulhos (Brasil); Bella Vista (Argentina y Córdoba (Espana)</w:t>
      </w:r>
      <w:r>
        <w:rPr>
          <w:sz w:val="24"/>
          <w:szCs w:val="24"/>
        </w:rPr>
        <w:t>. 2007b.</w:t>
      </w:r>
    </w:p>
    <w:p w:rsidR="00771796" w:rsidRDefault="00771796"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p w:rsidR="003C742A" w:rsidRDefault="003C742A" w:rsidP="00771796">
      <w:pPr>
        <w:ind w:left="180" w:hanging="18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71796" w:rsidRPr="001E2C63" w:rsidTr="00505E82">
        <w:tc>
          <w:tcPr>
            <w:tcW w:w="6771" w:type="dxa"/>
            <w:shd w:val="clear" w:color="auto" w:fill="auto"/>
          </w:tcPr>
          <w:p w:rsidR="00771796" w:rsidRPr="001E2C63" w:rsidRDefault="00771796" w:rsidP="003C742A">
            <w:pPr>
              <w:pStyle w:val="CM14"/>
              <w:spacing w:after="0"/>
            </w:pPr>
            <w:r w:rsidRPr="001E2C63">
              <w:t>Nome</w:t>
            </w:r>
            <w:r>
              <w:rPr>
                <w:b/>
                <w:caps/>
              </w:rPr>
              <w:t xml:space="preserve"> </w:t>
            </w:r>
            <w:r w:rsidRPr="00771796">
              <w:rPr>
                <w:bCs/>
                <w:sz w:val="28"/>
              </w:rPr>
              <w:t>RELAÇÕES DE GÊNERO E ROCK’N’ROLL: UM ESTUDO SOBRE BANDAS FEMININAS DE FLORIANÓPOLIS.</w:t>
            </w:r>
          </w:p>
        </w:tc>
        <w:tc>
          <w:tcPr>
            <w:tcW w:w="1873" w:type="dxa"/>
            <w:vMerge w:val="restart"/>
            <w:shd w:val="clear" w:color="auto" w:fill="auto"/>
          </w:tcPr>
          <w:p w:rsidR="00771796" w:rsidRPr="001E2C63" w:rsidRDefault="00771796" w:rsidP="00505E82">
            <w:pPr>
              <w:spacing w:line="240" w:lineRule="auto"/>
              <w:rPr>
                <w:rFonts w:ascii="Times New Roman" w:hAnsi="Times New Roman"/>
                <w:b/>
                <w:sz w:val="36"/>
                <w:szCs w:val="36"/>
              </w:rPr>
            </w:pPr>
            <w:r>
              <w:rPr>
                <w:rFonts w:ascii="Times New Roman" w:hAnsi="Times New Roman"/>
                <w:b/>
                <w:sz w:val="36"/>
                <w:szCs w:val="36"/>
              </w:rPr>
              <w:t>A 003</w:t>
            </w:r>
          </w:p>
          <w:p w:rsidR="00771796" w:rsidRPr="001E2C63" w:rsidRDefault="00771796" w:rsidP="00505E82">
            <w:pPr>
              <w:spacing w:line="240" w:lineRule="auto"/>
              <w:rPr>
                <w:rFonts w:ascii="Times New Roman" w:hAnsi="Times New Roman"/>
                <w:sz w:val="24"/>
                <w:szCs w:val="24"/>
              </w:rPr>
            </w:pPr>
            <w:r>
              <w:rPr>
                <w:rFonts w:ascii="Times New Roman" w:hAnsi="Times New Roman"/>
                <w:b/>
                <w:sz w:val="36"/>
                <w:szCs w:val="36"/>
              </w:rPr>
              <w:t>Premiado</w:t>
            </w:r>
          </w:p>
        </w:tc>
      </w:tr>
      <w:tr w:rsidR="00771796" w:rsidRPr="001E2C63" w:rsidTr="00505E82">
        <w:tc>
          <w:tcPr>
            <w:tcW w:w="6771" w:type="dxa"/>
            <w:shd w:val="clear" w:color="auto" w:fill="auto"/>
          </w:tcPr>
          <w:p w:rsidR="00771796" w:rsidRPr="001E2C63" w:rsidRDefault="00771796" w:rsidP="003C742A">
            <w:pPr>
              <w:spacing w:line="240" w:lineRule="auto"/>
              <w:rPr>
                <w:rFonts w:ascii="Times New Roman" w:hAnsi="Times New Roman"/>
                <w:sz w:val="24"/>
                <w:szCs w:val="24"/>
              </w:rPr>
            </w:pPr>
            <w:r w:rsidRPr="001E2C63">
              <w:rPr>
                <w:rFonts w:ascii="Times New Roman" w:hAnsi="Times New Roman"/>
                <w:sz w:val="24"/>
                <w:szCs w:val="24"/>
              </w:rPr>
              <w:t>Autora/o</w:t>
            </w:r>
            <w:r>
              <w:rPr>
                <w:rFonts w:ascii="Times New Roman" w:hAnsi="Times New Roman"/>
              </w:rPr>
              <w:t xml:space="preserve"> </w:t>
            </w:r>
            <w:r w:rsidR="003C742A">
              <w:t>Rodrigo Cantos Savelli Gomes</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3C742A">
            <w:pPr>
              <w:spacing w:line="240" w:lineRule="auto"/>
              <w:rPr>
                <w:rFonts w:ascii="Times New Roman" w:hAnsi="Times New Roman"/>
                <w:sz w:val="24"/>
                <w:szCs w:val="24"/>
              </w:rPr>
            </w:pPr>
            <w:r w:rsidRPr="001E2C63">
              <w:rPr>
                <w:rFonts w:ascii="Times New Roman" w:hAnsi="Times New Roman"/>
                <w:sz w:val="24"/>
                <w:szCs w:val="24"/>
              </w:rPr>
              <w:t>Orientadora/o</w:t>
            </w:r>
            <w:r>
              <w:rPr>
                <w:bCs/>
              </w:rPr>
              <w:t xml:space="preserve"> </w:t>
            </w:r>
            <w:r w:rsidR="003C742A">
              <w:t>Maria Ignez Cruz Mello</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3C742A">
            <w:pPr>
              <w:spacing w:line="240" w:lineRule="auto"/>
              <w:rPr>
                <w:rFonts w:ascii="Times New Roman" w:hAnsi="Times New Roman"/>
                <w:sz w:val="24"/>
                <w:szCs w:val="24"/>
              </w:rPr>
            </w:pPr>
            <w:r w:rsidRPr="001E2C63">
              <w:rPr>
                <w:rFonts w:ascii="Times New Roman" w:hAnsi="Times New Roman"/>
                <w:sz w:val="24"/>
                <w:szCs w:val="24"/>
              </w:rPr>
              <w:t>IES:</w:t>
            </w:r>
            <w:r w:rsidR="003C742A">
              <w:t xml:space="preserve"> Universidade do Estado de Santa Catarina (UDESC)</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3C742A">
            <w:pPr>
              <w:spacing w:line="240" w:lineRule="auto"/>
              <w:rPr>
                <w:rFonts w:ascii="Times New Roman" w:hAnsi="Times New Roman"/>
                <w:sz w:val="24"/>
                <w:szCs w:val="24"/>
              </w:rPr>
            </w:pPr>
            <w:r w:rsidRPr="001E2C63">
              <w:rPr>
                <w:rFonts w:ascii="Times New Roman" w:hAnsi="Times New Roman"/>
                <w:sz w:val="24"/>
                <w:szCs w:val="24"/>
              </w:rPr>
              <w:t>Cidade/Estado:</w:t>
            </w:r>
            <w:r>
              <w:rPr>
                <w:rFonts w:ascii="Times New Roman" w:hAnsi="Times New Roman"/>
                <w:sz w:val="24"/>
                <w:szCs w:val="24"/>
              </w:rPr>
              <w:t xml:space="preserve"> </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1E2C63" w:rsidRDefault="00771796" w:rsidP="003C742A">
            <w:pPr>
              <w:spacing w:line="240" w:lineRule="auto"/>
              <w:rPr>
                <w:rFonts w:ascii="Times New Roman" w:hAnsi="Times New Roman"/>
                <w:sz w:val="24"/>
                <w:szCs w:val="24"/>
              </w:rPr>
            </w:pPr>
            <w:r w:rsidRPr="001E2C63">
              <w:rPr>
                <w:rFonts w:ascii="Times New Roman" w:hAnsi="Times New Roman"/>
                <w:sz w:val="24"/>
                <w:szCs w:val="24"/>
              </w:rPr>
              <w:t>Outras Informações:</w:t>
            </w:r>
            <w:r>
              <w:rPr>
                <w:rFonts w:ascii="Times New Roman" w:hAnsi="Times New Roman"/>
                <w:sz w:val="24"/>
                <w:szCs w:val="24"/>
              </w:rPr>
              <w:t xml:space="preserve"> Estudante de Graduação</w:t>
            </w:r>
            <w:r>
              <w:t xml:space="preserve"> </w:t>
            </w:r>
          </w:p>
          <w:p w:rsidR="00771796" w:rsidRPr="001E2C63" w:rsidRDefault="00771796" w:rsidP="003C742A">
            <w:pPr>
              <w:spacing w:line="240" w:lineRule="auto"/>
              <w:rPr>
                <w:rFonts w:ascii="Times New Roman" w:hAnsi="Times New Roman"/>
                <w:sz w:val="24"/>
                <w:szCs w:val="24"/>
              </w:rPr>
            </w:pP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bl>
    <w:p w:rsidR="00771796" w:rsidRDefault="00771796" w:rsidP="00771796">
      <w:pPr>
        <w:ind w:left="180" w:hanging="180"/>
        <w:rPr>
          <w:bCs/>
          <w:color w:val="0000FF"/>
        </w:rPr>
      </w:pPr>
    </w:p>
    <w:p w:rsidR="00771796" w:rsidRDefault="00771796" w:rsidP="00771796">
      <w:pPr>
        <w:pStyle w:val="CM14"/>
        <w:spacing w:after="0"/>
        <w:jc w:val="center"/>
      </w:pPr>
    </w:p>
    <w:p w:rsidR="00771796" w:rsidRDefault="00771796" w:rsidP="00771796">
      <w:pPr>
        <w:pStyle w:val="Corpodetexto3"/>
        <w:ind w:right="-40" w:firstLine="709"/>
        <w:rPr>
          <w:rFonts w:ascii="Times New Roman" w:hAnsi="Times New Roman"/>
          <w:sz w:val="24"/>
        </w:rPr>
      </w:pPr>
      <w:r>
        <w:rPr>
          <w:rFonts w:ascii="Times New Roman" w:hAnsi="Times New Roman"/>
          <w:sz w:val="24"/>
        </w:rPr>
        <w:t>Esta investigação tem como objetivo refletir sobre como as relações de gênero, instituídas de poder, prestígio, hierarquia e discriminações, afetam, modelam e estruturam o discurso e a performance</w:t>
      </w:r>
      <w:r>
        <w:rPr>
          <w:rStyle w:val="Refdenotaderodap"/>
          <w:rFonts w:ascii="Times New Roman" w:hAnsi="Times New Roman"/>
          <w:sz w:val="24"/>
        </w:rPr>
        <w:footnoteReference w:id="16"/>
      </w:r>
      <w:r>
        <w:rPr>
          <w:rFonts w:ascii="Times New Roman" w:hAnsi="Times New Roman"/>
          <w:sz w:val="24"/>
        </w:rPr>
        <w:t xml:space="preserve"> musical das integrantes de bandas femininas da região de Florianópolis, Santa Catarina. S</w:t>
      </w:r>
      <w:r>
        <w:rPr>
          <w:rFonts w:ascii="Times New Roman" w:hAnsi="Times New Roman"/>
          <w:color w:val="000000"/>
          <w:sz w:val="24"/>
        </w:rPr>
        <w:t xml:space="preserve">endo a música uma das manifestações culturais mais próximas do cotidiano das pessoas, esta pesquisa parte do princípio </w:t>
      </w:r>
      <w:r>
        <w:rPr>
          <w:rFonts w:ascii="Times New Roman" w:hAnsi="Times New Roman"/>
          <w:color w:val="000000"/>
          <w:sz w:val="24"/>
        </w:rPr>
        <w:lastRenderedPageBreak/>
        <w:t xml:space="preserve">que a mesma pode estar diretamente afetada por essas determinações </w:t>
      </w:r>
      <w:r>
        <w:rPr>
          <w:rFonts w:ascii="Times New Roman" w:hAnsi="Times New Roman"/>
          <w:sz w:val="24"/>
        </w:rPr>
        <w:t>(BRETT e WOOD, 2002)</w:t>
      </w:r>
      <w:r>
        <w:rPr>
          <w:rFonts w:ascii="Times New Roman" w:hAnsi="Times New Roman"/>
          <w:color w:val="000000"/>
          <w:sz w:val="24"/>
        </w:rPr>
        <w:t>, seja reproduzindo, afirmando ou contestando modelos e costumes vigentes</w:t>
      </w:r>
      <w:r>
        <w:rPr>
          <w:rFonts w:ascii="Times New Roman" w:hAnsi="Times New Roman"/>
          <w:sz w:val="24"/>
        </w:rPr>
        <w:t xml:space="preserve">. </w:t>
      </w:r>
    </w:p>
    <w:p w:rsidR="00771796" w:rsidRDefault="00771796" w:rsidP="00771796">
      <w:pPr>
        <w:ind w:right="17" w:firstLine="709"/>
      </w:pPr>
      <w:r>
        <w:rPr>
          <w:color w:val="000000"/>
        </w:rPr>
        <w:t xml:space="preserve">Brett e Wood (2002) revelam como e porque discussões relacionadas à diversidade sexual (homossexualismo, bissexualismo, transsexualismo, etc), assim como as temáticas de gênero, foram mantidas à margem dos debates pela musicologia moderna </w:t>
      </w:r>
      <w:r>
        <w:rPr>
          <w:i/>
          <w:color w:val="000000"/>
        </w:rPr>
        <w:t>positivista</w:t>
      </w:r>
      <w:r>
        <w:rPr>
          <w:color w:val="000000"/>
        </w:rPr>
        <w:t>. Segundo os autores, estas questões desviam o aspecto da “música centrada em si” – fenômeno da “música absoluta” – representando uma ameaça à hegemonia viril, ao status da ciência marcada pela lógica do raciocínio, pelo culto ao intelecto. Deste modo, a musicologia afastou-se dos elementos básicos da vida comum, do cotidiano das pessoas, centrando-se em aspectos essencialmente técnicos e racionais.</w:t>
      </w:r>
    </w:p>
    <w:p w:rsidR="00771796" w:rsidRDefault="00771796" w:rsidP="00771796">
      <w:pPr>
        <w:ind w:right="17" w:firstLine="709"/>
        <w:rPr>
          <w:lang w:eastAsia="ar-SA"/>
        </w:rPr>
      </w:pPr>
      <w:r>
        <w:t>Apesar do grande avanço, nas diferentes áreas do conhecimento, em estudos sobre as relações de gênero, alguns setores da sociedade ainda não exploraram o tema em seus mais variados aspectos, como é o caso dos estudos sobre a produção musical feminina. Sabe-se que há muitos séculos o meio musical tem sido um privilégio dos homens. Estudos recentes têm mostrado que desde Platão podemos observar uma musicologia calcada “em metáforas de gênero, diferença sexual, atração e repulsa sexual” que favoreceram uma estruturação musical consolidada em valores que refletem predominantemente o ponto de vista da masculinidade</w:t>
      </w:r>
      <w:r>
        <w:rPr>
          <w:lang w:eastAsia="ar-SA"/>
        </w:rPr>
        <w:t xml:space="preserve"> (MELLO, 2006). Nas últimas décadas, estudos em Antropologia, Musicologia, História, Psicologia, Sociologia, etc, têm explorado a temática de gênero em diferentes contextos geográficos, culturais e socioeconômicos, indicando novas perspectivas para o assunto além da total dominação masculina, apontando para um sistema de “complementaridade entre os gêneros” (MELLO, 2005, p.287), como é o caso dos estudos musicológicos em aldeias indígenas brasileiras (PIEDADE, 2004; BASTOS, 1999; MELLO, 2005). </w:t>
      </w:r>
    </w:p>
    <w:p w:rsidR="00771796" w:rsidRDefault="00771796" w:rsidP="00771796">
      <w:pPr>
        <w:ind w:right="17" w:firstLine="708"/>
      </w:pPr>
      <w:r>
        <w:t xml:space="preserve">Pesquisas sobre música e gênero tiveram maior abrangência em países como EUA e Inglaterra, sendo estes considerados os precursores na abordagem deste assunto. Segundo Holanda e Gerling (2005) e Mello (2006), os primeiros vestígios começaram por volta anos 80 nos Estados Unidos, com as primeiras antologias de partituras e biografias de compositoras. Nos anos 90 Susan McClary (1991), Lawrence Krammer (1990) e Marcia Citron (1993), levantaram os primeiros debates sobre as metáforas de gênero no código musical, mostrando como convenções e construções retóricas da teoria e análise musical podem estar repletas de metáforas sexuais construídas a partir de sensações e impressões que refletem majoritariamente o modelo de masculinidade. Ainda na década de 90, outras autoras como Ellen Walterman (1993), Suzanne G. Cusick (1994) e também as já </w:t>
      </w:r>
      <w:r>
        <w:lastRenderedPageBreak/>
        <w:t>citadas Marcia Citron (1993) e Susan McClary (1991) procuraram perceber pontos diferenciais nas estruturas e elaborações de composições, arranjos e interpretações em atividades femininas, a fim de revelar como as mulheres encontram mecanismos para expressar sua subjetividade em um sistema musical construído sobre o domínio patriarcal. </w:t>
      </w:r>
    </w:p>
    <w:p w:rsidR="00771796" w:rsidRDefault="00771796" w:rsidP="00771796">
      <w:pPr>
        <w:ind w:firstLine="708"/>
        <w:rPr>
          <w:lang w:eastAsia="pt-BR"/>
        </w:rPr>
      </w:pPr>
      <w:r>
        <w:t>No Brasil, as grandes temáticas que permeiam as discussões em torno da categoria de gênero têm pouca repercussão nos estudos sobre música, sendo abordado, na maior parte das vezes, as questões que dizem respeito ao trabalho, violência e sexualidade. Em linhas gerais, os estudos que envolvem a questão de gênero na música brasileira apontam predominantemente para a análise do discurso embutido nas letras das canções, onde se coloca em evidência a representação feminina, os estereótipos e a imagem da mulher narrada pelos cancioneiros em seus versos. Estes estudos são, na sua maioria, dirigidos por áreas do conhecimento alheias à musicologia, como é o caso dos estudos em Letras e Literatura (BELTRÃO, 1993; SANTA CRUZ, 1992; BARBOSA, M., 2005), Ciências Sociais e Ciências Políticas (COSTA, 2006; BARBOSA, V., 2006), História e História Social (FARIA, 2002; ERTZOGUE, 2002; VEIGA 2006; MATOS, 2004).</w:t>
      </w:r>
    </w:p>
    <w:p w:rsidR="00771796" w:rsidRDefault="00771796" w:rsidP="00771796">
      <w:pPr>
        <w:ind w:firstLine="708"/>
      </w:pPr>
      <w:r>
        <w:t>Outra vertente tem se dedicado a identificar onde estão as mulheres no meio musical, que funções exercem e qual a importância delas no contexto social da sua época. Nesta linha também se destacam os estudos biográficos de mulheres que tiveram significativa repercussão nos ambientes artístico-musicais de sua época (STIVAL, 2004; BARONCELLI, 1987; CHAVES, 2006; SARTORI, 2006; MEDIA, 2006; PACHECO e KAYAMA, 2006; WELLER, 2005; DINIZ, 1984; KATER, 2001; LIRA, 1978; SCARINCI, 2006).</w:t>
      </w:r>
    </w:p>
    <w:p w:rsidR="00771796" w:rsidRDefault="00771796" w:rsidP="00771796">
      <w:pPr>
        <w:ind w:firstLine="708"/>
      </w:pPr>
      <w:r>
        <w:t xml:space="preserve">A antropologia tem dado certo destaque a esta discussão, ao olhar para a questão de gênero e música a partir de outras culturas, principalmente as indígenas, como é o caso dos estudos em Etnomusicologia que vêm sendo realizados nas aldeias indígenas brasileiras </w:t>
      </w:r>
      <w:r>
        <w:rPr>
          <w:lang w:eastAsia="ar-SA"/>
        </w:rPr>
        <w:t>(MELLO, 2005; PIEDADE 2004; BASTOS, 1999). Na Musicologia, Holanda (2006) trás em sua tese</w:t>
      </w:r>
      <w:r>
        <w:rPr>
          <w:rStyle w:val="Refdenotaderodap"/>
          <w:lang w:eastAsia="ar-SA"/>
        </w:rPr>
        <w:footnoteReference w:id="17"/>
      </w:r>
      <w:r>
        <w:rPr>
          <w:lang w:eastAsia="ar-SA"/>
        </w:rPr>
        <w:t xml:space="preserve"> uma importante discussão sobre a questão de gênero na linguagem musical, </w:t>
      </w:r>
      <w:r>
        <w:rPr>
          <w:lang w:eastAsia="ar-SA"/>
        </w:rPr>
        <w:lastRenderedPageBreak/>
        <w:t xml:space="preserve">acompanhada no campo da Educação Musical por Helena Lopez da Silva (2000) que conduz proveitosas reflexões </w:t>
      </w:r>
      <w:r>
        <w:t xml:space="preserve">em relação à construção da identidade de gênero na adolescência a partir dos usos simbólicos da música no espaço escolar.  </w:t>
      </w:r>
    </w:p>
    <w:p w:rsidR="00771796" w:rsidRDefault="00771796" w:rsidP="00771796">
      <w:pPr>
        <w:ind w:firstLine="708"/>
      </w:pPr>
      <w:r>
        <w:t xml:space="preserve">Desse modo, este trabalho procura fomentar o debate sobre a temática de gênero a partir da perspectiva (etno)musicológica. Para tanto, desde o início desta investigação vem-se realizando uma sondagem – tanto regional como nacionalmente – a fim de identificar a presença de grupos femininos na música popular brasileira. </w:t>
      </w:r>
      <w:r>
        <w:rPr>
          <w:color w:val="000000"/>
        </w:rPr>
        <w:t xml:space="preserve">Num primeiro momento, o trabalho consistiu em um levantamento sobre quais são os grupos femininos, quem e quantas são as integrantes, onde moram, onde e para que tipo de público se apresentam, que instrumentos e estilos de musica tocam ou cantam. </w:t>
      </w:r>
      <w:r>
        <w:t xml:space="preserve">Indiscutivelmente, um dado que veio à tona logo nas primeiras buscas é que a quantidade de grupos formados exclusivamente por homens supera exorbitantemente o número de grupos musicais femininos. </w:t>
      </w:r>
    </w:p>
    <w:p w:rsidR="00771796" w:rsidRDefault="00771796" w:rsidP="00771796">
      <w:pPr>
        <w:ind w:firstLine="708"/>
      </w:pPr>
      <w:r>
        <w:t xml:space="preserve">O trabalho metodológico constituiu-se no acompanhamento de shows e ensaios, com observação livre, registro em diários de campo, entrevistas semi-estruturadas, aplicação de questionários e consultas regulares a jornais e revistas da cidade. Uma das ferramentas também bastante utilizadas nesta investigação foi a Internet, recurso que tem se destacado como um importante meio de comunicação utilizado pelos grupos de música popular para a divulgação de seus trabalhos. Através de sites como </w:t>
      </w:r>
      <w:r>
        <w:rPr>
          <w:i/>
        </w:rPr>
        <w:t>Orkut, Trama Virtual, MySpace, Youtube</w:t>
      </w:r>
      <w:r>
        <w:t xml:space="preserve"> e </w:t>
      </w:r>
      <w:r>
        <w:rPr>
          <w:i/>
        </w:rPr>
        <w:t>Blogs</w:t>
      </w:r>
      <w:r>
        <w:t xml:space="preserve"> essas bandas criam suas comunidades, suas redes de relacionamento, hospedam conteúdos como músicas, vídeos, clipes, agenda, fotos, release, fóruns, de modo a tornar estes materiais acessíveis a todos que desejem apreciá-los. </w:t>
      </w:r>
    </w:p>
    <w:p w:rsidR="00771796" w:rsidRDefault="00771796" w:rsidP="00771796">
      <w:pPr>
        <w:ind w:firstLine="708"/>
      </w:pPr>
      <w:r>
        <w:t xml:space="preserve">A utilização destas ferramentas midiáticas favoreceram imensamente a localização de diversos grupos musicais femininos no território brasileiro, propiciando um contato prévio com seus integrantes através de e-mails e </w:t>
      </w:r>
      <w:r>
        <w:rPr>
          <w:i/>
        </w:rPr>
        <w:t>scraps</w:t>
      </w:r>
      <w:r>
        <w:rPr>
          <w:rStyle w:val="Refdenotaderodap"/>
        </w:rPr>
        <w:footnoteReference w:id="18"/>
      </w:r>
      <w:r>
        <w:t xml:space="preserve">, bem como abrindo a possibilidade de ouvir suas músicas, ler suas críticas, conhecer um pouco a </w:t>
      </w:r>
      <w:r>
        <w:lastRenderedPageBreak/>
        <w:t>história e formação das bandas, sendo possível, deste modo, traçar um paralelo entre estes grupos de acordo com suas ideologias, estilos, gêneros</w:t>
      </w:r>
      <w:r>
        <w:rPr>
          <w:rStyle w:val="Refdenotaderodap"/>
        </w:rPr>
        <w:footnoteReference w:id="19"/>
      </w:r>
      <w:r>
        <w:t xml:space="preserve"> e subgêneros musicais.  </w:t>
      </w:r>
    </w:p>
    <w:p w:rsidR="00771796" w:rsidRDefault="00771796" w:rsidP="00771796">
      <w:pPr>
        <w:autoSpaceDE w:val="0"/>
        <w:autoSpaceDN w:val="0"/>
        <w:adjustRightInd w:val="0"/>
        <w:ind w:firstLine="708"/>
        <w:rPr>
          <w:sz w:val="20"/>
          <w:szCs w:val="20"/>
        </w:rPr>
      </w:pPr>
      <w:r>
        <w:t>Agrupar conjuntos musicais e seus respectivos repertórios em gêneros e, especialmente, em subgêneros musicais específicos, é uma tarefa complexa e arriscada. O resultado dessa classificação acaba sendo influenciado tanto pelo processo de “generalização”</w:t>
      </w:r>
      <w:r>
        <w:rPr>
          <w:rStyle w:val="Refdenotaderodap"/>
        </w:rPr>
        <w:footnoteReference w:id="20"/>
      </w:r>
      <w:r>
        <w:t xml:space="preserve"> (CANO, 2002), como pelo conhecimento pessoal de cada um, a forma como cada pessoa escuta, sente e recebe a música que ouve.  Um exemplo clássico disso são as músicas do famoso grupo Led Zeppelin, que são classificadas de diversas maneiras, heavy metal, hard rock, rock clássico, blues, dependendo da interpretação de cada indivíduo.  Por essa razão, preferimos neste trabalho agrupar as bandas considerando apenas os ‘grandes’ gêneros musicais, tendo em conta neste processo a opinião dos próprios integrantes dos conjuntos musicais que, em muitos casos, preferiram não relacionar sua produção a subgênero algum, como no caso do rock, por exemplo, onde muitas bandas preferiram identificar-se apenas como “banda de rock”. </w:t>
      </w:r>
    </w:p>
    <w:p w:rsidR="00771796" w:rsidRDefault="00771796" w:rsidP="00771796">
      <w:pPr>
        <w:pStyle w:val="NormalWeb"/>
        <w:spacing w:before="0" w:beforeAutospacing="0" w:after="0" w:afterAutospacing="0" w:line="360" w:lineRule="auto"/>
        <w:ind w:firstLine="709"/>
        <w:jc w:val="both"/>
        <w:rPr>
          <w:lang w:val="pt-BR"/>
        </w:rPr>
      </w:pPr>
      <w:r>
        <w:rPr>
          <w:lang w:val="pt-BR"/>
        </w:rPr>
        <w:t>Entre as pesquisadas</w:t>
      </w:r>
      <w:r>
        <w:rPr>
          <w:color w:val="000000"/>
          <w:lang w:val="pt-BR"/>
        </w:rPr>
        <w:t xml:space="preserve">, algumas bandas com ideologias e/ou atitudes feministas se destacaram por expressar em suas letras o desejo pela igualdade entre os sexos, a quebra do preconceito racial e sexual ou, simplesmente, por se autodeclararem feministas em seus depoimentos e entrevistas. Curiosamente, todas as bandas encontradas classificam-se dentro do gênero rock, o que evidencia a preferência das mulheres ativistas por este gênero musical. Entre elas ressaltaram-se as bandas </w:t>
      </w:r>
      <w:r>
        <w:rPr>
          <w:i/>
          <w:lang w:val="pt-BR"/>
        </w:rPr>
        <w:t>Bulimia</w:t>
      </w:r>
      <w:r>
        <w:rPr>
          <w:lang w:val="pt-BR"/>
        </w:rPr>
        <w:t xml:space="preserve"> (Brasília/DF), </w:t>
      </w:r>
      <w:r>
        <w:rPr>
          <w:i/>
          <w:lang w:val="pt-BR"/>
        </w:rPr>
        <w:t>Close</w:t>
      </w:r>
      <w:r>
        <w:rPr>
          <w:lang w:val="pt-BR"/>
        </w:rPr>
        <w:t xml:space="preserve"> (Olinda/PE), </w:t>
      </w:r>
      <w:r>
        <w:rPr>
          <w:i/>
          <w:lang w:val="pt-BR"/>
        </w:rPr>
        <w:t>NoDolls</w:t>
      </w:r>
      <w:r>
        <w:rPr>
          <w:lang w:val="pt-BR"/>
        </w:rPr>
        <w:t xml:space="preserve"> (Goiânia/GO), </w:t>
      </w:r>
      <w:r>
        <w:rPr>
          <w:i/>
          <w:lang w:val="pt-BR"/>
        </w:rPr>
        <w:t>Cosmogonia</w:t>
      </w:r>
      <w:r>
        <w:rPr>
          <w:lang w:val="pt-BR"/>
        </w:rPr>
        <w:t xml:space="preserve"> (São Paulo/SP), </w:t>
      </w:r>
      <w:r>
        <w:rPr>
          <w:i/>
          <w:lang w:val="pt-BR"/>
        </w:rPr>
        <w:t>Dominatrix</w:t>
      </w:r>
      <w:r>
        <w:rPr>
          <w:lang w:val="pt-BR"/>
        </w:rPr>
        <w:t xml:space="preserve"> (São Paulo/SP), </w:t>
      </w:r>
      <w:r>
        <w:rPr>
          <w:i/>
          <w:lang w:val="pt-BR"/>
        </w:rPr>
        <w:t>S.A.44</w:t>
      </w:r>
      <w:r>
        <w:rPr>
          <w:lang w:val="pt-BR"/>
        </w:rPr>
        <w:t xml:space="preserve"> (São Paulo/SP), </w:t>
      </w:r>
      <w:r>
        <w:rPr>
          <w:i/>
          <w:lang w:val="pt-BR"/>
        </w:rPr>
        <w:t>The</w:t>
      </w:r>
      <w:r>
        <w:rPr>
          <w:lang w:val="pt-BR"/>
        </w:rPr>
        <w:t xml:space="preserve"> </w:t>
      </w:r>
      <w:r>
        <w:rPr>
          <w:i/>
          <w:lang w:val="pt-BR"/>
        </w:rPr>
        <w:t>Hats (</w:t>
      </w:r>
      <w:r>
        <w:rPr>
          <w:lang w:val="pt-BR"/>
        </w:rPr>
        <w:t xml:space="preserve">São Paulo/SP), </w:t>
      </w:r>
      <w:r>
        <w:rPr>
          <w:i/>
          <w:lang w:val="pt-BR"/>
        </w:rPr>
        <w:t xml:space="preserve">Female </w:t>
      </w:r>
      <w:r>
        <w:rPr>
          <w:lang w:val="pt-BR"/>
        </w:rPr>
        <w:t xml:space="preserve">(Belo Horizonte/MG), </w:t>
      </w:r>
      <w:r>
        <w:rPr>
          <w:i/>
          <w:lang w:val="pt-BR"/>
        </w:rPr>
        <w:t>Afasia</w:t>
      </w:r>
      <w:r>
        <w:rPr>
          <w:lang w:val="pt-BR"/>
        </w:rPr>
        <w:t xml:space="preserve"> (Uberlândia/MG), </w:t>
      </w:r>
      <w:r>
        <w:rPr>
          <w:i/>
          <w:color w:val="000000"/>
          <w:lang w:val="pt-BR"/>
        </w:rPr>
        <w:t xml:space="preserve">Insana Z </w:t>
      </w:r>
      <w:r>
        <w:rPr>
          <w:color w:val="000000"/>
          <w:lang w:val="pt-BR"/>
        </w:rPr>
        <w:t>(Ponta Grossa/PR)</w:t>
      </w:r>
      <w:r>
        <w:rPr>
          <w:lang w:val="pt-BR"/>
        </w:rPr>
        <w:t xml:space="preserve">. Algumas se distinguiram por explorar através do nome do grupo a combinação exótica de seus integrantes, como, por exemplo, a banda de rock </w:t>
      </w:r>
      <w:r>
        <w:rPr>
          <w:i/>
          <w:lang w:val="pt-BR"/>
        </w:rPr>
        <w:t xml:space="preserve">Elas e Eu </w:t>
      </w:r>
      <w:r>
        <w:rPr>
          <w:lang w:val="pt-BR"/>
        </w:rPr>
        <w:t xml:space="preserve">(São Paulo/SP) e o grupo de Mpb </w:t>
      </w:r>
      <w:r>
        <w:rPr>
          <w:i/>
          <w:lang w:val="pt-BR"/>
        </w:rPr>
        <w:t>Ele por Elas</w:t>
      </w:r>
      <w:r>
        <w:rPr>
          <w:lang w:val="pt-BR"/>
        </w:rPr>
        <w:t xml:space="preserve"> (Rio de Janeiro/RJ), que identificam a sexualidade de seus membros através do nome escolhido para seu conjunto musical. Já outro grupo, o conjunto de rock </w:t>
      </w:r>
      <w:r>
        <w:rPr>
          <w:i/>
          <w:lang w:val="pt-BR"/>
        </w:rPr>
        <w:t xml:space="preserve">Blush </w:t>
      </w:r>
      <w:r>
        <w:rPr>
          <w:i/>
          <w:lang w:val="pt-BR"/>
        </w:rPr>
        <w:lastRenderedPageBreak/>
        <w:t>Azul</w:t>
      </w:r>
      <w:r>
        <w:rPr>
          <w:lang w:val="pt-BR"/>
        </w:rPr>
        <w:t xml:space="preserve"> (Rio Branco/AC), embora não tendo um nome peculiar como os outros, se sub–intitula “a banda das garotas e do garoto”. Desse modo, também ressalta a importância de distinguir a sexualidade dos integrantes na identificação do grupo. </w:t>
      </w:r>
    </w:p>
    <w:p w:rsidR="00771796" w:rsidRDefault="00771796" w:rsidP="00771796">
      <w:pPr>
        <w:ind w:firstLine="708"/>
        <w:rPr>
          <w:color w:val="000000"/>
        </w:rPr>
      </w:pPr>
      <w:r>
        <w:rPr>
          <w:color w:val="000000"/>
        </w:rPr>
        <w:t xml:space="preserve">Outras bandas formadas por mulheres também fazem questão de identificar esse diferencial na sua identidade, apresentando-se como “banda </w:t>
      </w:r>
      <w:r>
        <w:rPr>
          <w:bCs/>
          <w:color w:val="000000"/>
        </w:rPr>
        <w:t xml:space="preserve">estritamente feminina”, ou “banda só de garotas” como é o caso dos grupos de rock </w:t>
      </w:r>
      <w:r>
        <w:rPr>
          <w:bCs/>
          <w:i/>
          <w:color w:val="000000"/>
        </w:rPr>
        <w:t>Lazy Moon (</w:t>
      </w:r>
      <w:r>
        <w:rPr>
          <w:color w:val="000000"/>
        </w:rPr>
        <w:t xml:space="preserve">Cuiabá/MT), </w:t>
      </w:r>
      <w:r>
        <w:rPr>
          <w:bCs/>
          <w:i/>
          <w:color w:val="000000"/>
        </w:rPr>
        <w:t xml:space="preserve">Punkake </w:t>
      </w:r>
      <w:r>
        <w:rPr>
          <w:bCs/>
          <w:color w:val="000000"/>
        </w:rPr>
        <w:t>(Curitiba/PR),</w:t>
      </w:r>
      <w:r>
        <w:t xml:space="preserve"> </w:t>
      </w:r>
      <w:r>
        <w:rPr>
          <w:i/>
        </w:rPr>
        <w:t>RNA</w:t>
      </w:r>
      <w:r>
        <w:t xml:space="preserve"> (Serra/ES), </w:t>
      </w:r>
      <w:r>
        <w:rPr>
          <w:i/>
          <w:color w:val="000000"/>
        </w:rPr>
        <w:t>Ladies Die</w:t>
      </w:r>
      <w:r>
        <w:rPr>
          <w:color w:val="000000"/>
        </w:rPr>
        <w:t xml:space="preserve"> (João Pessoa/PA), </w:t>
      </w:r>
      <w:r>
        <w:rPr>
          <w:i/>
          <w:color w:val="000000"/>
        </w:rPr>
        <w:t>Veno</w:t>
      </w:r>
      <w:r>
        <w:rPr>
          <w:color w:val="000000"/>
        </w:rPr>
        <w:t xml:space="preserve"> (Rio de Janeiro/RJ), e a banda </w:t>
      </w:r>
      <w:r>
        <w:rPr>
          <w:i/>
        </w:rPr>
        <w:t xml:space="preserve">Jaspe </w:t>
      </w:r>
      <w:r>
        <w:t>(São Paulo/SP) na linha gospel</w:t>
      </w:r>
      <w:r>
        <w:rPr>
          <w:color w:val="000000"/>
        </w:rPr>
        <w:t>.</w:t>
      </w:r>
    </w:p>
    <w:p w:rsidR="00771796" w:rsidRDefault="00771796" w:rsidP="00771796">
      <w:pPr>
        <w:ind w:firstLine="708"/>
      </w:pPr>
      <w:r>
        <w:t>Na região catarinense, mais precisamente em Florianópolis, foram encontrados cinco grupos musicais formados apenas por mulheres</w:t>
      </w:r>
      <w:r>
        <w:rPr>
          <w:b/>
        </w:rPr>
        <w:t xml:space="preserve">. </w:t>
      </w:r>
      <w:r>
        <w:t>Devido à aproximação territorial, com estas bandas foi possível realizarmos uma pesquisa mais circunstanciada</w:t>
      </w:r>
      <w:r>
        <w:rPr>
          <w:rStyle w:val="Refdenotaderodap"/>
        </w:rPr>
        <w:footnoteReference w:id="21"/>
      </w:r>
      <w:r>
        <w:t>, pudemos assistir suas apresentações, registrá-las em diários de campo, áudio, fotografia e filmagens, bem como realizar entrevistas e conversas com algumas de suas integrantes. Por esta razão, foram tomadas como centro principal para a discussão deste trabalho os seguintes grupos:</w:t>
      </w:r>
    </w:p>
    <w:p w:rsidR="00771796" w:rsidRDefault="00771796" w:rsidP="00771796">
      <w:pPr>
        <w:ind w:firstLine="708"/>
      </w:pPr>
      <w:r>
        <w:rPr>
          <w:i/>
        </w:rPr>
        <w:t xml:space="preserve">Entre Elas. </w:t>
      </w:r>
      <w:r>
        <w:t>Com oito garotas e uma empresária, este conjunto de pagode vem se destacando a cerca de um ano na região, realizando diversos shows em bares e casas noturnas, apresentando-se nos principais eventos da cidade e do estado, participando, eventualmente, em programas de rádio e televisão nas emissoras locais.</w:t>
      </w:r>
    </w:p>
    <w:p w:rsidR="00771796" w:rsidRDefault="00771796" w:rsidP="00771796">
      <w:pPr>
        <w:ind w:firstLine="708"/>
      </w:pPr>
      <w:r>
        <w:rPr>
          <w:i/>
        </w:rPr>
        <w:t xml:space="preserve">Declínio do Sistema. </w:t>
      </w:r>
      <w:r>
        <w:t>Conjunto de hip-hop formado por três mulheres, atualmente em fase de reformulação (estão selecionando novas integrantes) e, por isso, atualmente tem realizado poucas apresentações. Trabalham com composições próprias, explorando em suas letras questões relacionadas à temática feminina, preconceito sexual e racial.</w:t>
      </w:r>
    </w:p>
    <w:p w:rsidR="00771796" w:rsidRDefault="00771796" w:rsidP="00771796">
      <w:pPr>
        <w:ind w:firstLine="708"/>
      </w:pPr>
      <w:r>
        <w:rPr>
          <w:i/>
        </w:rPr>
        <w:t>Dorotéia vai à Praia.</w:t>
      </w:r>
      <w:r>
        <w:t xml:space="preserve"> Com cinco integrantes, este grupo realizou diversas apresentações musicais pelo Estado de Santa Catarina nos últimos anos, tornando-se um dos principais representantes na cidade no gênero rock’n’roll. Contudo, encerrou suas atividades no decorrer desta pesquisa devido à saída de algumas integrantes da banda.</w:t>
      </w:r>
    </w:p>
    <w:p w:rsidR="00771796" w:rsidRDefault="00771796" w:rsidP="00771796">
      <w:pPr>
        <w:ind w:firstLine="708"/>
        <w:rPr>
          <w:color w:val="000000"/>
        </w:rPr>
      </w:pPr>
      <w:r>
        <w:rPr>
          <w:i/>
          <w:color w:val="000000"/>
        </w:rPr>
        <w:t xml:space="preserve">Cabeça de Alface. </w:t>
      </w:r>
      <w:r>
        <w:rPr>
          <w:color w:val="000000"/>
        </w:rPr>
        <w:t xml:space="preserve">Formado em 2003 por três garotas, duas delas estudantes do curso de letras da UFSC. O grupo procura desenvolver um trabalho de composições próprias, no estilo rock alternativo, com letras </w:t>
      </w:r>
      <w:r>
        <w:rPr>
          <w:color w:val="000000"/>
        </w:rPr>
        <w:lastRenderedPageBreak/>
        <w:t>baseadas na literatura “</w:t>
      </w:r>
      <w:r>
        <w:rPr>
          <w:i/>
          <w:color w:val="000000"/>
        </w:rPr>
        <w:t>nonsense</w:t>
      </w:r>
      <w:r>
        <w:rPr>
          <w:color w:val="000000"/>
        </w:rPr>
        <w:t>”</w:t>
      </w:r>
      <w:r>
        <w:rPr>
          <w:rStyle w:val="Refdenotaderodap"/>
          <w:color w:val="000000"/>
        </w:rPr>
        <w:footnoteReference w:id="22"/>
      </w:r>
      <w:r>
        <w:rPr>
          <w:color w:val="000000"/>
        </w:rPr>
        <w:t>. Segundo elas, as temáticas giram em torno da “estética do absurdo e jogos de palavras levando a linguagem aos seus extremos”. Atualmente, está em fase de gravação de seu primeiro CD.</w:t>
      </w:r>
    </w:p>
    <w:p w:rsidR="00771796" w:rsidRDefault="00771796" w:rsidP="00771796">
      <w:pPr>
        <w:ind w:firstLine="708"/>
      </w:pPr>
      <w:r>
        <w:rPr>
          <w:i/>
        </w:rPr>
        <w:t xml:space="preserve"> Carpe Diem Septem.</w:t>
      </w:r>
      <w:r>
        <w:t xml:space="preserve"> Conjunto de rock constituído por cinco adolescentes que desde o início de sua trajetória tinha como objetivo formar um grupo apenas com mulheres. Apesar da pouca experiência de suas integrantes devido à suas idades, o grupo mantém ensaios regulares e vem, aos poucos, realizando apresentações musicais nos bares e eventos da cidade.</w:t>
      </w:r>
    </w:p>
    <w:p w:rsidR="00771796" w:rsidRDefault="00771796" w:rsidP="00771796">
      <w:pPr>
        <w:ind w:firstLine="708"/>
      </w:pPr>
      <w:r>
        <w:t xml:space="preserve"> Durante esta sondagem foi possível perceber que, no rock, a presença de mulheres é muito mais significativa que em outros gêneros musicais, como pagode, samba, reggae, hip-hop, etc. Isso fica claro ao perceber que, das 23 bandas citadas até então, 19 se enquadram neste gênero. A mesma constatação se deu em Florianópolis, onde das cinco bandas femininas, três são adeptas do rock’n’roll</w:t>
      </w:r>
      <w:r>
        <w:rPr>
          <w:rStyle w:val="Refdenotaderodap"/>
        </w:rPr>
        <w:footnoteReference w:id="23"/>
      </w:r>
      <w:r>
        <w:t xml:space="preserve">. Embora não tivéssemos como foco inicial o universo do rock, mas sim um recorte mais amplo envolvendo a música popular brasileira em geral, ao abordar a temática das relações de gênero nos conjuntos de música popular brasileira, este gênero musical despontou com muito mais evidência, o que conduziu esta pesquisa a um olhar diferenciado para o universo do rock’n’roll. </w:t>
      </w:r>
    </w:p>
    <w:p w:rsidR="00771796" w:rsidRDefault="00771796" w:rsidP="00771796">
      <w:pPr>
        <w:ind w:firstLine="708"/>
        <w:rPr>
          <w:i/>
        </w:rPr>
      </w:pPr>
      <w:r>
        <w:t>Neste processo, percebemos que a preferência das mulheres pelo rock promoveu o surgimento de uma nova categoria ou subgênero, conhecido como “rock com vocal feminino”</w:t>
      </w:r>
      <w:r>
        <w:rPr>
          <w:rStyle w:val="Refdenotaderodap"/>
        </w:rPr>
        <w:footnoteReference w:id="24"/>
      </w:r>
      <w:r>
        <w:t xml:space="preserve"> e a promoção de encontros e festivais específicos para elas, como por exemplo, o </w:t>
      </w:r>
      <w:r>
        <w:rPr>
          <w:i/>
        </w:rPr>
        <w:t>Festival de Rock Feminino</w:t>
      </w:r>
      <w:r>
        <w:t xml:space="preserve"> de Rio Claro (SP)</w:t>
      </w:r>
      <w:r>
        <w:rPr>
          <w:i/>
        </w:rPr>
        <w:t>; Felina,</w:t>
      </w:r>
      <w:r>
        <w:t xml:space="preserve"> Festival de Rock Feminino de São Paulo (SP)</w:t>
      </w:r>
      <w:r>
        <w:rPr>
          <w:i/>
        </w:rPr>
        <w:t>; Festival Nacional de Punk Feminino</w:t>
      </w:r>
      <w:r>
        <w:t xml:space="preserve"> de Goiânia (GO); Festival de Música</w:t>
      </w:r>
      <w:r>
        <w:rPr>
          <w:i/>
        </w:rPr>
        <w:t xml:space="preserve"> Mulheres no Volante </w:t>
      </w:r>
      <w:r>
        <w:t xml:space="preserve">de Juiz de Fora (MG); </w:t>
      </w:r>
      <w:r>
        <w:rPr>
          <w:i/>
        </w:rPr>
        <w:t xml:space="preserve">Festival Kaoscinha </w:t>
      </w:r>
      <w:r>
        <w:t xml:space="preserve">de Joinville (SC); </w:t>
      </w:r>
      <w:r>
        <w:rPr>
          <w:i/>
        </w:rPr>
        <w:t>a</w:t>
      </w:r>
      <w:r>
        <w:t xml:space="preserve"> criação da </w:t>
      </w:r>
      <w:r>
        <w:rPr>
          <w:i/>
        </w:rPr>
        <w:t>Rádio Feminina</w:t>
      </w:r>
      <w:r>
        <w:rPr>
          <w:rStyle w:val="Refdenotaderodap"/>
        </w:rPr>
        <w:footnoteReference w:id="25"/>
      </w:r>
      <w:r>
        <w:rPr>
          <w:i/>
        </w:rPr>
        <w:t xml:space="preserve"> </w:t>
      </w:r>
      <w:r>
        <w:t xml:space="preserve">de </w:t>
      </w:r>
      <w:r>
        <w:lastRenderedPageBreak/>
        <w:t xml:space="preserve">Goiânia (GO), especializada no gênero rock’n’roll; bem como a criação o programa </w:t>
      </w:r>
      <w:r>
        <w:rPr>
          <w:i/>
        </w:rPr>
        <w:t>Mundo Rock de Calcinha</w:t>
      </w:r>
      <w:r>
        <w:rPr>
          <w:rStyle w:val="Refdenotaderodap"/>
          <w:i/>
        </w:rPr>
        <w:footnoteReference w:id="26"/>
      </w:r>
      <w:r>
        <w:t xml:space="preserve"> filiado à rádio Mundo Rock de São Paulo (SP)</w:t>
      </w:r>
      <w:r>
        <w:rPr>
          <w:i/>
        </w:rPr>
        <w:t>.</w:t>
      </w:r>
    </w:p>
    <w:p w:rsidR="00771796" w:rsidRDefault="00771796" w:rsidP="00771796">
      <w:pPr>
        <w:ind w:firstLine="708"/>
      </w:pPr>
      <w:r>
        <w:t xml:space="preserve">Para o grande público, mulher no rock, ainda hoje, é sinônimo de cantora. Nos demais gêneros – e na música em geral – a cena não difere tanto. Quando se trata da participação de mulheres, algumas funções costumam ser mais relacionadas a elas, como por exemplo, pianistas, harpistas, violinistas, além de cantoras, é claro. No rock, o acolhimento de cantoras passou por um o processo lento e gradual, e não há dúvidas de que os movimentos feministas a partir dos anos 60 tiveram uma influência marcante neste processo, tendo como reflexo a ampla atuação das mulheres ativistas neste gênero musical, como visto anteriormente.  Já em se tratando de mulheres bateristas, baixistas, compositoras, arranjadoras, encontramos poucas referências na história do rock, e podemos dizer que, ainda hoje, a atuação delas gera calorosos debates entre os fãs. Por essa razão, e por acreditar que esses grupos deparam como a problemática de gênero a partir de várias frentes, nesta pesquisa procuramos priorizar grupos totalmente femininos e não apenas conjuntos com mulheres no vocal. </w:t>
      </w:r>
      <w:r>
        <w:tab/>
      </w:r>
    </w:p>
    <w:p w:rsidR="00771796" w:rsidRDefault="00771796" w:rsidP="00771796">
      <w:pPr>
        <w:ind w:firstLine="708"/>
      </w:pPr>
      <w:r>
        <w:t xml:space="preserve">Apesar da atuação das mulheres neste gênero musical ter tomado grandes dimensões nos dias atuais, o rock ainda é entendido como um universo masculino, conforme vários autores puderam constatar (JACQUES, 2007; WALSER, 1993; CHAVES, 2006; MEDIA, 2006; SARTORI, 2006). Segundo Jacques (2007) atribuições como potência, força, “pegada forte”, resistência física e poder são características presentes no rock que são mais comumente ligadas ao ideal da masculinidade, enquanto que sensibilidade, suavidade, afetividade, são características associadas ao feminino, as quais não são bem assimiladas neste gênero musical. Por esta razão, a atuação das mulheres nem sempre foi bem vista pelos adeptos do rock, considerando a presença delas uma </w:t>
      </w:r>
      <w:r>
        <w:rPr>
          <w:i/>
        </w:rPr>
        <w:t>impureza</w:t>
      </w:r>
      <w:r>
        <w:rPr>
          <w:rStyle w:val="Refdenotaderodap"/>
        </w:rPr>
        <w:footnoteReference w:id="27"/>
      </w:r>
      <w:r>
        <w:t xml:space="preserve"> (JACQUES, 2007), relacionado-as a um estilo mais comercial, subordinado ao gosto das grandes gravadoras, o que, em certa medida, pode ser usado como justificativa para a alocação em um subgênero específico para a produção feminina. </w:t>
      </w:r>
    </w:p>
    <w:p w:rsidR="00771796" w:rsidRDefault="00771796" w:rsidP="00771796">
      <w:pPr>
        <w:ind w:firstLine="709"/>
      </w:pPr>
      <w:r>
        <w:t xml:space="preserve">Walser (1993) também discorre sobre a influência da audiência feminina no </w:t>
      </w:r>
      <w:r>
        <w:rPr>
          <w:i/>
        </w:rPr>
        <w:t>heavy metal</w:t>
      </w:r>
      <w:r>
        <w:t>, relacionando a demanda do gosto feminino a um conseqüente “amaciamento” (</w:t>
      </w:r>
      <w:r>
        <w:rPr>
          <w:i/>
        </w:rPr>
        <w:t>op.cit</w:t>
      </w:r>
      <w:r>
        <w:t xml:space="preserve"> p.111) neste gênero musical, o que teria </w:t>
      </w:r>
      <w:r>
        <w:lastRenderedPageBreak/>
        <w:t xml:space="preserve">contribuído para a popularidade do heavy metal. Hübscher (2005), em sua pesquisa sobre o </w:t>
      </w:r>
      <w:r>
        <w:rPr>
          <w:i/>
        </w:rPr>
        <w:t>heavy metal</w:t>
      </w:r>
      <w:r>
        <w:t xml:space="preserve"> em Florianópolis, também trás depoimentos de fãs que relacionam a presença das mulheres à “popularização” (</w:t>
      </w:r>
      <w:r>
        <w:rPr>
          <w:i/>
        </w:rPr>
        <w:t xml:space="preserve">op.cit. </w:t>
      </w:r>
      <w:r>
        <w:t>p. 87) e comercialização do estilo: “agora ta essa onda de banda com mulher cantando para agradar menininha que não entende porra nenhuma” (</w:t>
      </w:r>
      <w:r>
        <w:rPr>
          <w:i/>
        </w:rPr>
        <w:t xml:space="preserve">op.cit. </w:t>
      </w:r>
      <w:r>
        <w:t>p. 87).</w:t>
      </w:r>
    </w:p>
    <w:p w:rsidR="00771796" w:rsidRDefault="00771796" w:rsidP="00771796">
      <w:pPr>
        <w:ind w:firstLine="708"/>
      </w:pPr>
      <w:r>
        <w:t>Walser (</w:t>
      </w:r>
      <w:r>
        <w:rPr>
          <w:i/>
        </w:rPr>
        <w:t>op.cit.</w:t>
      </w:r>
      <w:r>
        <w:t xml:space="preserve">), em seu seminal trabalho sobre o </w:t>
      </w:r>
      <w:r>
        <w:rPr>
          <w:i/>
        </w:rPr>
        <w:t>heavy metal</w:t>
      </w:r>
      <w:r>
        <w:t>, trata da construção da identidade masculina no interior deste gênero musical, identificando-o como “um discurso baseado no patriarcalismo” (</w:t>
      </w:r>
      <w:r>
        <w:rPr>
          <w:i/>
        </w:rPr>
        <w:t>op.cit</w:t>
      </w:r>
      <w:r>
        <w:t xml:space="preserve"> p.109), sustentado pelos ideais de potência, “fantasias de virtuosidade masculina e controle”, (</w:t>
      </w:r>
      <w:r>
        <w:rPr>
          <w:i/>
        </w:rPr>
        <w:t>op.cit</w:t>
      </w:r>
      <w:r>
        <w:t xml:space="preserve"> p.108), configurando-se, assim, como um gênero musical historicamente direcionado ao público viril. Por essa razão, classifica a recepção e a performance feminina neste contexto como uma tarefa complexa, podendo gerar discussões interessantes e provocativas sobre a relação feminina com poder (</w:t>
      </w:r>
      <w:r>
        <w:rPr>
          <w:i/>
        </w:rPr>
        <w:t xml:space="preserve">op.cit. </w:t>
      </w:r>
      <w:r>
        <w:t>p. 132). Embora este não seja o foco principal do seu trabalho, o autor demonstra preocupação com a recepção deste “espetáculo masculino pelas fãs femininas” (</w:t>
      </w:r>
      <w:r>
        <w:rPr>
          <w:i/>
        </w:rPr>
        <w:t xml:space="preserve">op.cit. </w:t>
      </w:r>
      <w:r>
        <w:t xml:space="preserve">p. 110), já que desde o final dos anos 80 o </w:t>
      </w:r>
      <w:r>
        <w:rPr>
          <w:i/>
        </w:rPr>
        <w:t>heavy metal</w:t>
      </w:r>
      <w:r>
        <w:t xml:space="preserve"> inclui em sua audiência uma quantidade significativa e crescente de mulheres, uma diversidade maior de discursos, o que contribuiu para diferentes formas de interpretar as relações de gênero neste meio musical. </w:t>
      </w:r>
    </w:p>
    <w:p w:rsidR="00771796" w:rsidRDefault="00771796" w:rsidP="00771796">
      <w:pPr>
        <w:ind w:firstLine="708"/>
      </w:pPr>
      <w:r>
        <w:t xml:space="preserve">Segundo diversos autores, no rock a presença das mulheres é “mais democrática entre os músicos da era punk” (CHAVES, 2006), representado nos EUA pelos movimentos </w:t>
      </w:r>
      <w:r>
        <w:rPr>
          <w:i/>
        </w:rPr>
        <w:t xml:space="preserve">Rock Against Sexism, </w:t>
      </w:r>
      <w:r>
        <w:t xml:space="preserve">dos anos 80, e </w:t>
      </w:r>
      <w:r>
        <w:rPr>
          <w:i/>
        </w:rPr>
        <w:t>Riot Grrrl</w:t>
      </w:r>
      <w:r>
        <w:t>, na década de 90 que tinham como o objetivo “promover imagens mais positivas das mulheres no rock e encorajar mulheres a formarem bandas e tocarem instrumentos” (COHEN apud JACQUES, 2007, p. 98), bem como repudiar “o tratamento meramente de caráter sexual destinado às mulheres na música” (MEDIA, 2006). Contudo, todos os autores concordam que apesar da força desses movimentos “o rock continua sendo uma ‘família masculina’” (JACQUES, 2007, p. 98).</w:t>
      </w:r>
    </w:p>
    <w:p w:rsidR="00771796" w:rsidRDefault="00771796" w:rsidP="00771796">
      <w:pPr>
        <w:ind w:firstLine="708"/>
      </w:pPr>
      <w:r>
        <w:t xml:space="preserve">Alguns pontos serão levantados nesta discussão, enfatizando o discurso das mulheres entrevistadas ao longo da pesquisa. Nestas falas, percebemos que, embora as mulheres ainda formem a minoria no meio musical, já não há mais tanta dificuldade em se estabelecer neste espaço pelo fato de ser mulher, não só o preconceito parece ser menor, como hoje é um diferencial e um atrativo na hora da contratação pelos bares e casas noturnas. </w:t>
      </w:r>
    </w:p>
    <w:p w:rsidR="00771796" w:rsidRDefault="00771796" w:rsidP="00771796">
      <w:pPr>
        <w:spacing w:before="120" w:after="120"/>
        <w:jc w:val="right"/>
        <w:rPr>
          <w:i/>
        </w:rPr>
      </w:pPr>
      <w:r>
        <w:t xml:space="preserve"> </w:t>
      </w:r>
      <w:r>
        <w:rPr>
          <w:i/>
        </w:rPr>
        <w:t xml:space="preserve">“no começo, uma banda feminina é sempre super valorizada, por que não é uma coisa normal você ver uma banda com mulheres, é sempre novidade, algo que sempre atrai o público, independente do estilo ou qualidade. </w:t>
      </w:r>
      <w:r>
        <w:rPr>
          <w:i/>
        </w:rPr>
        <w:lastRenderedPageBreak/>
        <w:t xml:space="preserve">Então, é preciso aproveitar isso para mostrar o seu potencial. O problema é quando a banda se destaca e rola a conversa do tipo: ‘é só porque  é banda só de mulher...’”. </w:t>
      </w:r>
      <w:r>
        <w:rPr>
          <w:rStyle w:val="Refdenotaderodap"/>
        </w:rPr>
        <w:footnoteReference w:id="28"/>
      </w:r>
    </w:p>
    <w:p w:rsidR="00771796" w:rsidRDefault="00771796" w:rsidP="00771796">
      <w:pPr>
        <w:spacing w:before="120" w:after="120"/>
        <w:ind w:firstLine="709"/>
        <w:jc w:val="right"/>
        <w:rPr>
          <w:i/>
        </w:rPr>
      </w:pPr>
      <w:r>
        <w:rPr>
          <w:i/>
        </w:rPr>
        <w:t>“poucas mulheres se expõe no meio do rock. As que o fazem, causam surpresa, claro”.</w:t>
      </w:r>
      <w:r>
        <w:rPr>
          <w:rStyle w:val="Refdenotaderodap"/>
        </w:rPr>
        <w:footnoteReference w:id="29"/>
      </w:r>
    </w:p>
    <w:p w:rsidR="00771796" w:rsidRDefault="00771796" w:rsidP="00771796">
      <w:pPr>
        <w:spacing w:after="240"/>
        <w:ind w:firstLine="709"/>
      </w:pPr>
      <w:r>
        <w:t>A justificativa para formar uma banda feminina aparece, em alguns casos, como uma alternativa para suprir a pouca oferta de grupos com essas características no mercado musical.</w:t>
      </w:r>
    </w:p>
    <w:p w:rsidR="00771796" w:rsidRDefault="00771796" w:rsidP="00771796">
      <w:pPr>
        <w:spacing w:after="240"/>
        <w:ind w:firstLine="709"/>
        <w:jc w:val="right"/>
        <w:rPr>
          <w:i/>
        </w:rPr>
      </w:pPr>
      <w:r>
        <w:rPr>
          <w:i/>
        </w:rPr>
        <w:t xml:space="preserve"> “não tem em Florianópolis um grupo só de mulheres”. </w:t>
      </w:r>
      <w:r>
        <w:rPr>
          <w:rStyle w:val="Refdenotaderodap"/>
        </w:rPr>
        <w:footnoteReference w:id="30"/>
      </w:r>
    </w:p>
    <w:p w:rsidR="00771796" w:rsidRDefault="00771796" w:rsidP="00771796">
      <w:pPr>
        <w:spacing w:before="120" w:after="240"/>
        <w:jc w:val="right"/>
        <w:rPr>
          <w:i/>
        </w:rPr>
      </w:pPr>
      <w:r>
        <w:rPr>
          <w:i/>
        </w:rPr>
        <w:t xml:space="preserve">“o grupo começou porque queriam uma banda só de mulheres pra tocar e, como não tinha nenhuma, elas montaram essa. Foi aí que a banda começou”. </w:t>
      </w:r>
      <w:r>
        <w:rPr>
          <w:rStyle w:val="Refdenotaderodap"/>
        </w:rPr>
        <w:footnoteReference w:id="31"/>
      </w:r>
    </w:p>
    <w:p w:rsidR="00771796" w:rsidRDefault="00771796" w:rsidP="00771796">
      <w:pPr>
        <w:spacing w:after="120"/>
        <w:ind w:firstLine="709"/>
      </w:pPr>
      <w:r>
        <w:t>Jacques (2007) também aponta em sua investigação sobre o rock em Florianópolis para relatos de homens que dizem que as coisas seriam mais ‘facilitadas’ para as mulheres.  “Por serem minoria, elas são tidas como diferenciais para as bandas e, para fazer parte destas, não precisariam tocar tão bem quanto os homens, pois trariam ‘glamour’” (</w:t>
      </w:r>
      <w:r>
        <w:rPr>
          <w:i/>
        </w:rPr>
        <w:t xml:space="preserve">op.cit. </w:t>
      </w:r>
      <w:r>
        <w:t xml:space="preserve">p.99). </w:t>
      </w:r>
    </w:p>
    <w:p w:rsidR="00771796" w:rsidRDefault="00771796" w:rsidP="00771796">
      <w:pPr>
        <w:ind w:firstLine="708"/>
      </w:pPr>
      <w:r>
        <w:t xml:space="preserve">Contudo, apesar do diferencial ser um atrativo, o caráter exótico traz uma certa desconfiança embutida de preconceito, tanto do público quando dos contratantes. </w:t>
      </w:r>
    </w:p>
    <w:p w:rsidR="00771796" w:rsidRDefault="00771796" w:rsidP="00771796">
      <w:pPr>
        <w:spacing w:before="120" w:after="240"/>
        <w:ind w:firstLine="709"/>
        <w:jc w:val="right"/>
      </w:pPr>
      <w:r>
        <w:rPr>
          <w:i/>
        </w:rPr>
        <w:t xml:space="preserve">“há receio na hora de fechar os shows. Há uma certa desconfiança de que uma banda formada por mulheres é capaz de dar conta do recado”. </w:t>
      </w:r>
      <w:r>
        <w:rPr>
          <w:rStyle w:val="Refdenotaderodap"/>
        </w:rPr>
        <w:footnoteReference w:id="32"/>
      </w:r>
    </w:p>
    <w:p w:rsidR="00771796" w:rsidRDefault="00771796" w:rsidP="00771796">
      <w:pPr>
        <w:spacing w:before="120" w:after="240"/>
        <w:ind w:firstLine="709"/>
        <w:jc w:val="right"/>
        <w:rPr>
          <w:i/>
        </w:rPr>
      </w:pPr>
      <w:r>
        <w:rPr>
          <w:i/>
        </w:rPr>
        <w:t xml:space="preserve">“é preciso provar que você não está em um festival, por exemplo, só por que usa saia. Provar que você toca como outro homem. Provando isso, tudo rola naturalmente”. </w:t>
      </w:r>
      <w:r>
        <w:rPr>
          <w:rStyle w:val="Refdenotaderodap"/>
        </w:rPr>
        <w:footnoteReference w:id="33"/>
      </w:r>
    </w:p>
    <w:p w:rsidR="00771796" w:rsidRDefault="00771796" w:rsidP="00771796">
      <w:pPr>
        <w:spacing w:before="120" w:after="240"/>
        <w:ind w:firstLine="709"/>
        <w:jc w:val="right"/>
        <w:rPr>
          <w:i/>
        </w:rPr>
      </w:pPr>
      <w:r>
        <w:rPr>
          <w:i/>
        </w:rPr>
        <w:lastRenderedPageBreak/>
        <w:t xml:space="preserve">“esses dias, um cara não quis fechar um contrato com a gente pra tocar em uma festa por que eram 5 mulheres e ele falou na nossa cara que a gente deveria tocar mal, então nem participamos do evento”. </w:t>
      </w:r>
      <w:r>
        <w:rPr>
          <w:rStyle w:val="Refdenotaderodap"/>
        </w:rPr>
        <w:footnoteReference w:id="34"/>
      </w:r>
    </w:p>
    <w:p w:rsidR="00771796" w:rsidRDefault="00771796" w:rsidP="00771796">
      <w:pPr>
        <w:ind w:firstLine="709"/>
        <w:rPr>
          <w:i/>
          <w:vertAlign w:val="superscript"/>
        </w:rPr>
      </w:pPr>
      <w:r>
        <w:t xml:space="preserve">Quanto à peculiaridade entre homens e mulheres na execução musical, Brett e Wood (2002) levantam a questão de serem a sexualidade e o gênero audíveis ou não nas próprias notas musicais. Em seu artigo colocam a polêmica trazida pelo Jornal </w:t>
      </w:r>
      <w:r>
        <w:rPr>
          <w:i/>
        </w:rPr>
        <w:t>New York Times</w:t>
      </w:r>
      <w:r>
        <w:t xml:space="preserve"> que, ao analisar gravações de compositoras lésbicas, “chega à conclusão que a preferência sexual, como o sexo, é inaudível”, chamando atenção de tal “conclusão ser inevitável”. Mas, os autores defendem que “as notas não se deixam tão facilmente separar de seu contexto (de execução, palco, gênero e audiência, bem como alusão musical): se despojadas de todas as associações – uma impossibilidade –, não podem gerar sentido” (BRETT e WOOD, 2002).</w:t>
      </w:r>
    </w:p>
    <w:p w:rsidR="00771796" w:rsidRDefault="00771796" w:rsidP="00771796">
      <w:pPr>
        <w:spacing w:after="240"/>
        <w:ind w:firstLine="709"/>
      </w:pPr>
      <w:r>
        <w:t>Esta é umas das questões que nos têm intrigado ao longo desta investigação. Até que ponto o fator gênero – e a orientação sexual, como nos estudos de Brett e Wood (</w:t>
      </w:r>
      <w:r>
        <w:rPr>
          <w:i/>
        </w:rPr>
        <w:t>op.cit.</w:t>
      </w:r>
      <w:r>
        <w:t>) – pode se expressar na produção musical de homens e mulheres. Ao tratar o tema a partir da análise de composições (partituras) a restrição torna-se ainda maior, visto que a “tradição musicológica esteve sempre muito mais voltada para análises formais do que para questões sensíveis às humanidades” (MELLO, 2006), como por exemplo, a performance, os espetáculos, as audiências, o contexto sócio-cultural, onde, sem dúvida, a questão de gênero desponta com muito mais evidência. Ao questionar se há diferenças entre homens e mulheres na execução musical os relatos apontaram que é comum ouvir da audiência comparações neste sentido.</w:t>
      </w:r>
    </w:p>
    <w:p w:rsidR="00771796" w:rsidRDefault="00771796" w:rsidP="00771796">
      <w:pPr>
        <w:spacing w:before="120" w:after="240"/>
        <w:ind w:firstLine="709"/>
        <w:jc w:val="right"/>
        <w:rPr>
          <w:i/>
        </w:rPr>
      </w:pPr>
      <w:r>
        <w:rPr>
          <w:i/>
        </w:rPr>
        <w:t>“se erramos é por que somos mulheres. Se tocamos bem falam que para uma mulher está até bom. Se tocamos muito bem falam que não fazemos mais do que a nossa obrigação”.</w:t>
      </w:r>
      <w:r>
        <w:rPr>
          <w:rStyle w:val="Refdenotaderodap"/>
        </w:rPr>
        <w:footnoteReference w:id="35"/>
      </w:r>
    </w:p>
    <w:p w:rsidR="00771796" w:rsidRDefault="00771796" w:rsidP="00771796">
      <w:pPr>
        <w:spacing w:before="120" w:after="240"/>
        <w:ind w:firstLine="709"/>
        <w:jc w:val="right"/>
      </w:pPr>
      <w:r>
        <w:rPr>
          <w:i/>
        </w:rPr>
        <w:t xml:space="preserve">“a gente já escutou falar assim: – ah, pra mulher elas tocam bem”. </w:t>
      </w:r>
      <w:r>
        <w:rPr>
          <w:rStyle w:val="Refdenotaderodap"/>
        </w:rPr>
        <w:footnoteReference w:id="36"/>
      </w:r>
      <w:r>
        <w:t xml:space="preserve"> </w:t>
      </w:r>
    </w:p>
    <w:p w:rsidR="00771796" w:rsidRDefault="00771796" w:rsidP="00771796">
      <w:pPr>
        <w:spacing w:after="240"/>
        <w:ind w:firstLine="708"/>
      </w:pPr>
      <w:r>
        <w:t xml:space="preserve"> Embora a afirmação traga um certo desconforto – afinal, indiretamente propõe uma situação de comparação em escala desigual – a questão das diferenças e/ou semelhanças entre os sexos na performance, interpretação e composição é um tema ainda pouco explorado pela musicologia.</w:t>
      </w:r>
    </w:p>
    <w:p w:rsidR="00771796" w:rsidRDefault="00771796" w:rsidP="00771796">
      <w:pPr>
        <w:spacing w:before="120" w:after="240"/>
        <w:jc w:val="right"/>
        <w:rPr>
          <w:i/>
          <w:vertAlign w:val="superscript"/>
        </w:rPr>
      </w:pPr>
      <w:r>
        <w:rPr>
          <w:i/>
        </w:rPr>
        <w:lastRenderedPageBreak/>
        <w:t>“questão de técnica, isso aí, homem e mulher pode ter igual, [...] a única diferença que vai ter é a questão de agüentar um show por mais tempo, resistência por mais tempo, a força da batida, de agüentar a música inteira num pique maior”.</w:t>
      </w:r>
      <w:r>
        <w:rPr>
          <w:rStyle w:val="Refdenotaderodap"/>
        </w:rPr>
        <w:footnoteReference w:id="37"/>
      </w:r>
      <w:r>
        <w:rPr>
          <w:vertAlign w:val="superscript"/>
        </w:rPr>
        <w:t xml:space="preserve"> </w:t>
      </w:r>
    </w:p>
    <w:p w:rsidR="00771796" w:rsidRDefault="00771796" w:rsidP="00771796">
      <w:pPr>
        <w:ind w:firstLine="709"/>
      </w:pPr>
      <w:r>
        <w:t>Evidentemente, a “força” a que se refere é mais cultural do que física. Jacques (2007) atenta que “diversos instrumentistas, não apenas bateristas, observam que para tocar um instrumento é necessário o aproveitamento do movimento do peso do corpo, não ‘força’ propriamente dita” (</w:t>
      </w:r>
      <w:r>
        <w:rPr>
          <w:i/>
        </w:rPr>
        <w:t>op.cit</w:t>
      </w:r>
      <w:r>
        <w:t xml:space="preserve">. p. 98). </w:t>
      </w:r>
    </w:p>
    <w:p w:rsidR="00771796" w:rsidRDefault="00771796" w:rsidP="00771796">
      <w:pPr>
        <w:ind w:firstLine="709"/>
      </w:pPr>
      <w:r>
        <w:t xml:space="preserve">No hip-hop, a técnica não se apresentou com o mesmo grau de importância, sendo que a diferença principal entre mulheres e homens aparece no discurso presente nas letras das canções. </w:t>
      </w:r>
    </w:p>
    <w:p w:rsidR="00771796" w:rsidRDefault="00771796" w:rsidP="00771796">
      <w:pPr>
        <w:spacing w:before="120" w:after="240"/>
        <w:ind w:firstLine="709"/>
        <w:jc w:val="right"/>
        <w:rPr>
          <w:i/>
        </w:rPr>
      </w:pPr>
      <w:r>
        <w:rPr>
          <w:i/>
        </w:rPr>
        <w:t xml:space="preserve">“A gente luta por nós mulheres, a gente mostra a realidade das mulheres [...] e essa realidade os rapazes não mostram. Nossas músicas giram em torno da causa feminina, sempre da causa feminina. Temos até um CD que fala de saúde, tudo da causa feminina, de aborto, sobre o corpo, tudo isso”. </w:t>
      </w:r>
      <w:r>
        <w:rPr>
          <w:rStyle w:val="Refdenotaderodap"/>
        </w:rPr>
        <w:footnoteReference w:id="38"/>
      </w:r>
    </w:p>
    <w:p w:rsidR="00771796" w:rsidRDefault="00771796" w:rsidP="00771796">
      <w:pPr>
        <w:spacing w:after="240"/>
        <w:ind w:firstLine="708"/>
      </w:pPr>
      <w:r>
        <w:t xml:space="preserve">Por outro lado, embora majoritariamente os relatos se encaminhem para uma minimização das diferenças entre os sexos, surge em determinado ponto uma certa desqualificação em relação à audiência feminina. </w:t>
      </w:r>
    </w:p>
    <w:p w:rsidR="00771796" w:rsidRDefault="00771796" w:rsidP="00771796">
      <w:pPr>
        <w:spacing w:before="120" w:after="240"/>
        <w:ind w:firstLine="709"/>
        <w:jc w:val="right"/>
        <w:rPr>
          <w:i/>
          <w:vertAlign w:val="superscript"/>
        </w:rPr>
      </w:pPr>
      <w:r>
        <w:rPr>
          <w:i/>
        </w:rPr>
        <w:t xml:space="preserve">“é muito mais fácil encontrar homem que esta na ‘night’ que sabe diferenciar a qualidade de um som bom do que uma mulher. Nesse meio do pagode é difícil ver uma mulher tocando, então é mais difícil ela entender”. </w:t>
      </w:r>
      <w:r>
        <w:rPr>
          <w:rStyle w:val="Refdenotaderodap"/>
        </w:rPr>
        <w:footnoteReference w:id="39"/>
      </w:r>
      <w:r>
        <w:rPr>
          <w:i/>
          <w:vertAlign w:val="superscript"/>
        </w:rPr>
        <w:t xml:space="preserve"> </w:t>
      </w:r>
    </w:p>
    <w:p w:rsidR="00771796" w:rsidRDefault="00771796" w:rsidP="00771796">
      <w:pPr>
        <w:spacing w:before="120" w:after="240"/>
        <w:ind w:firstLine="709"/>
        <w:jc w:val="right"/>
        <w:rPr>
          <w:i/>
        </w:rPr>
      </w:pPr>
      <w:r>
        <w:rPr>
          <w:i/>
        </w:rPr>
        <w:t xml:space="preserve">“as mulheres não tem muito interesse pela música, são poucas ainda. Há mais homens no mercado por que eles se interessam mais”. </w:t>
      </w:r>
      <w:r>
        <w:rPr>
          <w:rStyle w:val="Refdenotaderodap"/>
        </w:rPr>
        <w:footnoteReference w:id="40"/>
      </w:r>
    </w:p>
    <w:p w:rsidR="00771796" w:rsidRDefault="00771796" w:rsidP="00771796">
      <w:pPr>
        <w:spacing w:after="240"/>
        <w:ind w:firstLine="708"/>
      </w:pPr>
      <w:r>
        <w:t xml:space="preserve">De acordo com os depoimentos, a vivência é um fator importante e, como estatisticamente as mulheres se envolvem menos na prática musical, conseqüentemente o número de mulheres boas apreciadoras de música também tende a ser menor.  Jacques (2007) também debate sobre a questão, referindo-se especificamente ao </w:t>
      </w:r>
      <w:r>
        <w:lastRenderedPageBreak/>
        <w:t>universo do rock, onde revela que alguns autores tendem a “relacionar as mulheres mais como fãs”, sendo que a ligação delas “se dá mais pelo interesse pelos ídolos do que pela música” (</w:t>
      </w:r>
      <w:r>
        <w:rPr>
          <w:i/>
        </w:rPr>
        <w:t>op.cit.</w:t>
      </w:r>
      <w:r>
        <w:t xml:space="preserve"> p. 96).   </w:t>
      </w:r>
    </w:p>
    <w:p w:rsidR="00771796" w:rsidRDefault="00771796" w:rsidP="00771796">
      <w:pPr>
        <w:rPr>
          <w:b/>
        </w:rPr>
      </w:pPr>
      <w:r>
        <w:rPr>
          <w:b/>
        </w:rPr>
        <w:t>Considerações Finais</w:t>
      </w:r>
    </w:p>
    <w:p w:rsidR="00771796" w:rsidRDefault="00771796" w:rsidP="00771796">
      <w:pPr>
        <w:ind w:firstLine="708"/>
      </w:pPr>
      <w:r>
        <w:t xml:space="preserve">Através dos relatos, observações e pesquisa em diferentes mídias, procuramos apontar para os diversos espaços que vêm sendo ocupados atualmente por grupos femininos na música popular brasileira; os diálogos que vêm sendo estabelecidos entre esses grupos e as organizações feministas; e de que forma a organização desses grupos musicais tem possibilitado a contestação e a transformação dos papéis de gênero vigentes. </w:t>
      </w:r>
    </w:p>
    <w:p w:rsidR="00771796" w:rsidRDefault="00771796" w:rsidP="00771796">
      <w:r>
        <w:tab/>
        <w:t xml:space="preserve">Embora considerado um espaço masculino, percebemos ao longo do trabalho que a participação feminina e feminista no rock, abriu espaço para o surgimento de uma nova categoria – </w:t>
      </w:r>
      <w:r>
        <w:rPr>
          <w:i/>
        </w:rPr>
        <w:t>rock com vocal feminino</w:t>
      </w:r>
      <w:r>
        <w:t xml:space="preserve"> –, bem como a promoção de eventos musicais específicos para elas, o que tem demonstrado que sua participação ao longo dos anos não as coloca como meras coadjuvantes, mas sim como condutoras de transformações significativas para este universo musical. </w:t>
      </w:r>
    </w:p>
    <w:p w:rsidR="00771796" w:rsidRDefault="00771796" w:rsidP="00771796">
      <w:pPr>
        <w:ind w:firstLine="708"/>
      </w:pPr>
      <w:r>
        <w:t xml:space="preserve">No hip-hop – gênero musical que desde sua concepção emergiu como uma “forma de articulação dos jovens afrodescendentes contra o racismo e o preconceito” (WELLER, 2005) – percebemos que as mulheres, em especial mulheres negras, estão encontrando um significativo espaço para fomentar discussões sobre as causas femininas, promovendo através das letras das canções a conscientização das mulheres sobre temas como aborto, cuidado com o corpo, uso de anticoncepcionais. Este também é um </w:t>
      </w:r>
      <w:r>
        <w:rPr>
          <w:i/>
        </w:rPr>
        <w:t>locus</w:t>
      </w:r>
      <w:r>
        <w:t xml:space="preserve"> para a divulgação dos seus direitos civis, como por exemplo, licença maternidade, aposentadoria para donas de casa e domésticas, denúncia à violência contra mulheres, etc.</w:t>
      </w:r>
    </w:p>
    <w:p w:rsidR="00771796" w:rsidRDefault="00771796" w:rsidP="00771796">
      <w:pPr>
        <w:ind w:firstLine="708"/>
      </w:pPr>
      <w:r>
        <w:t>A crescente participação das mulheres no meio musical – seja como produtoras ou consumidoras – faz transparecer a necessidade de novos estudos e reflexões sobre o tema pela musicologia contemporânea, ainda pouco pesquisado, apesar da conquista de novos espaços e da crescente visibilidade de grupos femininos.</w:t>
      </w:r>
    </w:p>
    <w:p w:rsidR="00771796" w:rsidRDefault="00771796" w:rsidP="003C742A">
      <w:pPr>
        <w:spacing w:line="240" w:lineRule="auto"/>
        <w:ind w:firstLine="708"/>
      </w:pPr>
    </w:p>
    <w:p w:rsidR="00771796" w:rsidRDefault="00771796" w:rsidP="003C742A">
      <w:pPr>
        <w:spacing w:line="240" w:lineRule="auto"/>
        <w:rPr>
          <w:b/>
        </w:rPr>
      </w:pPr>
      <w:r>
        <w:rPr>
          <w:b/>
        </w:rPr>
        <w:t>Referências Bibliográficas</w:t>
      </w:r>
    </w:p>
    <w:p w:rsidR="00771796" w:rsidRDefault="00771796" w:rsidP="003C742A">
      <w:pPr>
        <w:spacing w:line="240" w:lineRule="auto"/>
        <w:rPr>
          <w:b/>
        </w:rPr>
      </w:pPr>
    </w:p>
    <w:p w:rsidR="00771796" w:rsidRDefault="00771796" w:rsidP="003C742A">
      <w:pPr>
        <w:spacing w:after="120" w:line="240" w:lineRule="auto"/>
        <w:rPr>
          <w:color w:val="000000"/>
          <w:sz w:val="20"/>
        </w:rPr>
      </w:pPr>
      <w:r>
        <w:rPr>
          <w:bCs/>
          <w:color w:val="000000"/>
          <w:sz w:val="20"/>
        </w:rPr>
        <w:t xml:space="preserve">BARBOSA, Maria José S. </w:t>
      </w:r>
      <w:r>
        <w:rPr>
          <w:color w:val="000000"/>
          <w:sz w:val="20"/>
        </w:rPr>
        <w:t>A Representação da Mulher nas Cantigas de Capoeira.</w:t>
      </w:r>
      <w:r>
        <w:rPr>
          <w:b/>
          <w:color w:val="000000"/>
          <w:sz w:val="20"/>
        </w:rPr>
        <w:t xml:space="preserve"> </w:t>
      </w:r>
      <w:r>
        <w:rPr>
          <w:color w:val="000000"/>
          <w:sz w:val="20"/>
        </w:rPr>
        <w:t xml:space="preserve"> </w:t>
      </w:r>
      <w:r>
        <w:rPr>
          <w:iCs/>
          <w:color w:val="000000"/>
          <w:sz w:val="20"/>
          <w:lang w:val="es-ES_tradnl"/>
        </w:rPr>
        <w:t>Les femmes et la littérature</w:t>
      </w:r>
      <w:r>
        <w:rPr>
          <w:color w:val="000000"/>
          <w:sz w:val="20"/>
          <w:lang w:val="es-ES_tradnl"/>
        </w:rPr>
        <w:t>. Special issue. Org. Carlos Maciel e Luiza Lobo.</w:t>
      </w:r>
      <w:r>
        <w:rPr>
          <w:b/>
          <w:color w:val="000000"/>
          <w:sz w:val="20"/>
          <w:lang w:val="es-ES_tradnl"/>
        </w:rPr>
        <w:t xml:space="preserve"> </w:t>
      </w:r>
      <w:r>
        <w:rPr>
          <w:i/>
          <w:iCs/>
          <w:color w:val="000000"/>
          <w:sz w:val="20"/>
          <w:lang w:val="es-ES_tradnl"/>
        </w:rPr>
        <w:t>Journal of the Centre de Recherche sur les Identités Nationales et l'Interculturalité</w:t>
      </w:r>
      <w:r>
        <w:rPr>
          <w:i/>
          <w:color w:val="000000"/>
          <w:sz w:val="20"/>
          <w:lang w:val="es-ES_tradnl"/>
        </w:rPr>
        <w:t xml:space="preserve"> (CRINI) and the Département d'Études Lusophones de l'Université de Nantes,</w:t>
      </w:r>
      <w:r>
        <w:rPr>
          <w:color w:val="000000"/>
          <w:sz w:val="20"/>
          <w:lang w:val="es-ES_tradnl"/>
        </w:rPr>
        <w:t xml:space="preserve"> France. </w:t>
      </w:r>
      <w:r>
        <w:rPr>
          <w:color w:val="000000"/>
          <w:sz w:val="20"/>
        </w:rPr>
        <w:t xml:space="preserve">Forthcoming, </w:t>
      </w:r>
      <w:r>
        <w:rPr>
          <w:bCs/>
          <w:color w:val="000000"/>
          <w:sz w:val="20"/>
        </w:rPr>
        <w:t>2005. Disponível em:  &lt;</w:t>
      </w:r>
      <w:hyperlink r:id="rId11" w:history="1">
        <w:r>
          <w:rPr>
            <w:rStyle w:val="Hyperlink"/>
            <w:bCs/>
            <w:color w:val="000000"/>
            <w:sz w:val="20"/>
          </w:rPr>
          <w:t>http://www.plcs.umassd.edu/plcs12texts/barbosajun162006.doc</w:t>
        </w:r>
      </w:hyperlink>
      <w:r>
        <w:rPr>
          <w:bCs/>
          <w:color w:val="000000"/>
          <w:sz w:val="20"/>
        </w:rPr>
        <w:t>&gt;. Acessado em: 13/02/2007.</w:t>
      </w:r>
    </w:p>
    <w:p w:rsidR="00771796" w:rsidRDefault="00771796" w:rsidP="003C742A">
      <w:pPr>
        <w:spacing w:after="120" w:line="240" w:lineRule="auto"/>
        <w:rPr>
          <w:color w:val="000000"/>
          <w:sz w:val="20"/>
        </w:rPr>
      </w:pPr>
      <w:r>
        <w:rPr>
          <w:sz w:val="20"/>
        </w:rPr>
        <w:lastRenderedPageBreak/>
        <w:t xml:space="preserve">BARBOSA, Viviane de Oliveira. Quebrando o Coco e Fazendo a Roça: Gênero e Identidade </w:t>
      </w:r>
      <w:r>
        <w:rPr>
          <w:color w:val="000000"/>
          <w:sz w:val="20"/>
        </w:rPr>
        <w:t>no Cotidiano de Quebradeiras de Coco Babaçu no Maranhão. 216p. 1º Prêmio Construindo a Igualdade de Gênero – Redações e trabalhos científicos monográficos vencedores de 2005, Brasília: Secretaria Especial de Políticas para as Mulheres – Presidência da República, 2006, p.212-213.</w:t>
      </w:r>
    </w:p>
    <w:p w:rsidR="00771796" w:rsidRDefault="00771796" w:rsidP="003C742A">
      <w:pPr>
        <w:spacing w:after="120" w:line="240" w:lineRule="auto"/>
        <w:rPr>
          <w:color w:val="000000"/>
          <w:sz w:val="20"/>
        </w:rPr>
      </w:pPr>
      <w:r>
        <w:rPr>
          <w:color w:val="000000"/>
          <w:sz w:val="20"/>
        </w:rPr>
        <w:t>BARONCELLI, N. C. da S.</w:t>
      </w:r>
      <w:r>
        <w:rPr>
          <w:i/>
          <w:color w:val="000000"/>
          <w:sz w:val="20"/>
        </w:rPr>
        <w:t xml:space="preserve"> Mulheres Compositoras: </w:t>
      </w:r>
      <w:r>
        <w:rPr>
          <w:color w:val="000000"/>
          <w:sz w:val="20"/>
        </w:rPr>
        <w:t>elenco e repertório.</w:t>
      </w:r>
      <w:r>
        <w:rPr>
          <w:b/>
          <w:color w:val="000000"/>
          <w:sz w:val="20"/>
        </w:rPr>
        <w:t xml:space="preserve"> </w:t>
      </w:r>
      <w:r>
        <w:rPr>
          <w:color w:val="000000"/>
          <w:sz w:val="20"/>
        </w:rPr>
        <w:t>Editora Roswitha Kempf, São Paulo, 1987.</w:t>
      </w:r>
    </w:p>
    <w:p w:rsidR="00771796" w:rsidRDefault="00771796" w:rsidP="003C742A">
      <w:pPr>
        <w:spacing w:after="120" w:line="240" w:lineRule="auto"/>
        <w:rPr>
          <w:color w:val="000000"/>
          <w:sz w:val="20"/>
        </w:rPr>
      </w:pPr>
      <w:r>
        <w:rPr>
          <w:color w:val="000000"/>
          <w:sz w:val="20"/>
        </w:rPr>
        <w:t>BASTOS, Rafael de Menezes.</w:t>
      </w:r>
      <w:r>
        <w:rPr>
          <w:i/>
          <w:color w:val="000000"/>
          <w:sz w:val="20"/>
        </w:rPr>
        <w:t xml:space="preserve"> A musicológica Kamayurá:</w:t>
      </w:r>
      <w:r>
        <w:rPr>
          <w:color w:val="000000"/>
          <w:sz w:val="20"/>
        </w:rPr>
        <w:t xml:space="preserve"> para uma antropologia da comunicação no Alto Xingu. 2ª Ed. da UFSC, 1999. </w:t>
      </w:r>
    </w:p>
    <w:p w:rsidR="00771796" w:rsidRDefault="00771796" w:rsidP="003C742A">
      <w:pPr>
        <w:spacing w:after="120" w:line="240" w:lineRule="auto"/>
        <w:rPr>
          <w:color w:val="000000"/>
          <w:sz w:val="20"/>
        </w:rPr>
      </w:pPr>
      <w:r>
        <w:rPr>
          <w:color w:val="000000"/>
          <w:sz w:val="20"/>
        </w:rPr>
        <w:t>BELTRÃO, Synval.</w:t>
      </w:r>
      <w:r>
        <w:rPr>
          <w:i/>
          <w:color w:val="000000"/>
          <w:sz w:val="20"/>
        </w:rPr>
        <w:t xml:space="preserve"> A Musa-Mulher na Canção Brasileira.</w:t>
      </w:r>
      <w:r>
        <w:rPr>
          <w:b/>
          <w:color w:val="000000"/>
          <w:sz w:val="20"/>
        </w:rPr>
        <w:t xml:space="preserve"> </w:t>
      </w:r>
      <w:r>
        <w:rPr>
          <w:color w:val="000000"/>
          <w:sz w:val="20"/>
        </w:rPr>
        <w:t>Ed. Liberdade, SP, 1993.</w:t>
      </w:r>
    </w:p>
    <w:p w:rsidR="00771796" w:rsidRDefault="00771796" w:rsidP="003C742A">
      <w:pPr>
        <w:spacing w:after="120" w:line="240" w:lineRule="auto"/>
        <w:rPr>
          <w:sz w:val="20"/>
        </w:rPr>
      </w:pPr>
      <w:r>
        <w:rPr>
          <w:sz w:val="20"/>
        </w:rPr>
        <w:t xml:space="preserve">BRETT, Philip; WOOD, Elizabeth. Música lésbica e guei. </w:t>
      </w:r>
      <w:r>
        <w:rPr>
          <w:i/>
          <w:iCs/>
          <w:sz w:val="20"/>
        </w:rPr>
        <w:t>Revista eletrônica de musicologia</w:t>
      </w:r>
      <w:r>
        <w:rPr>
          <w:sz w:val="20"/>
        </w:rPr>
        <w:t xml:space="preserve">, Curitiba, v. 7, Disponível em:  &lt;http://www.rem.ufpr.br /REMv7/Brett_Wood/Brett_e_Wood.html&gt;, dezembro, 2002. </w:t>
      </w:r>
    </w:p>
    <w:p w:rsidR="00771796" w:rsidRDefault="00771796" w:rsidP="003C742A">
      <w:pPr>
        <w:autoSpaceDE w:val="0"/>
        <w:autoSpaceDN w:val="0"/>
        <w:adjustRightInd w:val="0"/>
        <w:spacing w:after="120" w:line="240" w:lineRule="auto"/>
        <w:rPr>
          <w:color w:val="000000"/>
          <w:sz w:val="20"/>
          <w:lang w:eastAsia="pt-BR"/>
        </w:rPr>
      </w:pPr>
      <w:r>
        <w:rPr>
          <w:color w:val="000000"/>
          <w:sz w:val="20"/>
          <w:lang w:val="es-ES_tradnl" w:eastAsia="pt-BR"/>
        </w:rPr>
        <w:t xml:space="preserve">CANO,  Rubén López. "Favor de no tocar el género”: géneros, estilo y competencia en la semiótica musical cognitiva actual. </w:t>
      </w:r>
      <w:r>
        <w:rPr>
          <w:i/>
          <w:iCs/>
          <w:color w:val="000000"/>
          <w:sz w:val="20"/>
          <w:lang w:val="es-ES_tradnl" w:eastAsia="pt-BR"/>
        </w:rPr>
        <w:t xml:space="preserve">Voces e imágenes en la etnomusicología actual. </w:t>
      </w:r>
      <w:r>
        <w:rPr>
          <w:color w:val="000000"/>
          <w:sz w:val="20"/>
          <w:lang w:val="es-ES_tradnl" w:eastAsia="pt-BR"/>
        </w:rPr>
        <w:t xml:space="preserve">Actas del VII Congreso de la SibE. Madrid: Ministerio de Cultura, 2004 pp. 325-337. </w:t>
      </w:r>
      <w:r>
        <w:rPr>
          <w:color w:val="000000"/>
          <w:sz w:val="20"/>
          <w:lang w:eastAsia="pt-BR"/>
        </w:rPr>
        <w:t>Disponível em &lt;http://www.lopezcano.net&gt;</w:t>
      </w:r>
    </w:p>
    <w:p w:rsidR="00771796" w:rsidRDefault="00771796" w:rsidP="003C742A">
      <w:pPr>
        <w:pStyle w:val="NormalWeb"/>
        <w:spacing w:before="0" w:beforeAutospacing="0" w:after="120" w:afterAutospacing="0"/>
        <w:jc w:val="both"/>
        <w:rPr>
          <w:bCs/>
          <w:color w:val="000000"/>
          <w:sz w:val="20"/>
        </w:rPr>
      </w:pPr>
      <w:r>
        <w:rPr>
          <w:bCs/>
          <w:color w:val="000000"/>
          <w:sz w:val="20"/>
          <w:lang w:val="es-ES_tradnl"/>
        </w:rPr>
        <w:t>CHAVES, Adria</w:t>
      </w:r>
      <w:r>
        <w:rPr>
          <w:bCs/>
          <w:color w:val="000000"/>
          <w:sz w:val="20"/>
        </w:rPr>
        <w:t xml:space="preserve">na. </w:t>
      </w:r>
      <w:r>
        <w:rPr>
          <w:bCs/>
          <w:i/>
          <w:color w:val="000000"/>
          <w:sz w:val="20"/>
        </w:rPr>
        <w:t xml:space="preserve">Mulheres no Rock. </w:t>
      </w:r>
      <w:r>
        <w:rPr>
          <w:bCs/>
          <w:color w:val="000000"/>
          <w:sz w:val="20"/>
        </w:rPr>
        <w:t>Disponível em: &lt;</w:t>
      </w:r>
      <w:hyperlink r:id="rId12" w:history="1">
        <w:r>
          <w:rPr>
            <w:rStyle w:val="Hyperlink"/>
            <w:bCs/>
            <w:color w:val="000000"/>
            <w:sz w:val="20"/>
          </w:rPr>
          <w:t>http://www.mulheresnorock.pop.com.br/textos/mnr3.htm</w:t>
        </w:r>
      </w:hyperlink>
      <w:r>
        <w:rPr>
          <w:bCs/>
          <w:color w:val="000000"/>
          <w:sz w:val="20"/>
        </w:rPr>
        <w:t>&gt;. Acessado em: 02/10/2006.</w:t>
      </w:r>
    </w:p>
    <w:p w:rsidR="00771796" w:rsidRDefault="00771796" w:rsidP="003C742A">
      <w:pPr>
        <w:spacing w:after="120" w:line="240" w:lineRule="auto"/>
        <w:rPr>
          <w:sz w:val="20"/>
        </w:rPr>
      </w:pPr>
      <w:r>
        <w:rPr>
          <w:sz w:val="20"/>
        </w:rPr>
        <w:t xml:space="preserve">CITRON, Marcia J. </w:t>
      </w:r>
      <w:r>
        <w:rPr>
          <w:i/>
          <w:iCs/>
          <w:sz w:val="20"/>
        </w:rPr>
        <w:t>Gender and the Musical Canon.</w:t>
      </w:r>
      <w:r>
        <w:rPr>
          <w:sz w:val="20"/>
        </w:rPr>
        <w:t xml:space="preserve"> Cambridge: University Press, 1993.</w:t>
      </w:r>
    </w:p>
    <w:p w:rsidR="00771796" w:rsidRDefault="00771796" w:rsidP="003C742A">
      <w:pPr>
        <w:spacing w:after="120" w:line="240" w:lineRule="auto"/>
        <w:rPr>
          <w:color w:val="000000"/>
          <w:sz w:val="20"/>
        </w:rPr>
      </w:pPr>
      <w:r>
        <w:rPr>
          <w:bCs/>
          <w:color w:val="000000"/>
          <w:sz w:val="20"/>
        </w:rPr>
        <w:t xml:space="preserve">COSTA, Neusa Meirelles. </w:t>
      </w:r>
      <w:r>
        <w:rPr>
          <w:bCs/>
          <w:i/>
          <w:color w:val="000000"/>
          <w:sz w:val="20"/>
        </w:rPr>
        <w:t>A mulher na música popular brasileira.</w:t>
      </w:r>
      <w:r>
        <w:rPr>
          <w:b/>
          <w:bCs/>
          <w:color w:val="000000"/>
          <w:sz w:val="20"/>
        </w:rPr>
        <w:t xml:space="preserve">  </w:t>
      </w:r>
      <w:r>
        <w:rPr>
          <w:bCs/>
          <w:color w:val="000000"/>
          <w:sz w:val="20"/>
        </w:rPr>
        <w:t>Disponível em:</w:t>
      </w:r>
      <w:r>
        <w:rPr>
          <w:b/>
          <w:bCs/>
          <w:color w:val="000000"/>
          <w:sz w:val="20"/>
        </w:rPr>
        <w:t xml:space="preserve"> </w:t>
      </w:r>
      <w:hyperlink r:id="rId13" w:history="1">
        <w:r>
          <w:rPr>
            <w:rStyle w:val="Hyperlink"/>
            <w:color w:val="000000"/>
            <w:sz w:val="20"/>
          </w:rPr>
          <w:t xml:space="preserve"> </w:t>
        </w:r>
        <w:hyperlink r:id="rId14" w:history="1">
          <w:r>
            <w:rPr>
              <w:rStyle w:val="Hyperlink"/>
              <w:color w:val="000000"/>
              <w:sz w:val="20"/>
            </w:rPr>
            <w:t xml:space="preserve"> &lt;http://www.samba-choro.com.br/s-c/tribuna/samba-choro.0401/0405.html</w:t>
          </w:r>
        </w:hyperlink>
      </w:hyperlink>
      <w:r>
        <w:rPr>
          <w:color w:val="000000"/>
          <w:sz w:val="20"/>
        </w:rPr>
        <w:t>&gt;. Acessado em: 02/10/2006.</w:t>
      </w:r>
    </w:p>
    <w:p w:rsidR="00771796" w:rsidRDefault="00771796" w:rsidP="003C742A">
      <w:pPr>
        <w:spacing w:after="120" w:line="240" w:lineRule="auto"/>
        <w:rPr>
          <w:i/>
          <w:iCs/>
          <w:sz w:val="20"/>
        </w:rPr>
      </w:pPr>
      <w:r>
        <w:rPr>
          <w:sz w:val="20"/>
        </w:rPr>
        <w:t xml:space="preserve">CUSICK, Suzanne G. Feminist Theory, Music Theory, and the Mind/Body Problem. </w:t>
      </w:r>
      <w:r>
        <w:rPr>
          <w:i/>
          <w:iCs/>
          <w:sz w:val="20"/>
        </w:rPr>
        <w:t xml:space="preserve">Perspectives of New Music, </w:t>
      </w:r>
      <w:r>
        <w:rPr>
          <w:sz w:val="20"/>
        </w:rPr>
        <w:t>Vol 32, Number 1 (Winter 1994).</w:t>
      </w:r>
    </w:p>
    <w:p w:rsidR="00771796" w:rsidRDefault="00771796" w:rsidP="003C742A">
      <w:pPr>
        <w:spacing w:after="120" w:line="240" w:lineRule="auto"/>
        <w:rPr>
          <w:color w:val="000000"/>
          <w:sz w:val="20"/>
        </w:rPr>
      </w:pPr>
      <w:r>
        <w:rPr>
          <w:color w:val="000000"/>
          <w:sz w:val="20"/>
        </w:rPr>
        <w:t xml:space="preserve">DINIZ, Edinha. </w:t>
      </w:r>
      <w:r>
        <w:rPr>
          <w:bCs/>
          <w:i/>
          <w:color w:val="000000"/>
          <w:sz w:val="20"/>
        </w:rPr>
        <w:t>Chiquinha Gonzaga:</w:t>
      </w:r>
      <w:r>
        <w:rPr>
          <w:b/>
          <w:bCs/>
          <w:color w:val="000000"/>
          <w:sz w:val="20"/>
        </w:rPr>
        <w:t xml:space="preserve"> </w:t>
      </w:r>
      <w:r>
        <w:rPr>
          <w:color w:val="000000"/>
          <w:sz w:val="20"/>
        </w:rPr>
        <w:t>uma história de vida. Ed. Rosa dos Tempos, Rio de Janeiro, 1984.</w:t>
      </w:r>
    </w:p>
    <w:p w:rsidR="00771796" w:rsidRDefault="00771796" w:rsidP="003C742A">
      <w:pPr>
        <w:spacing w:after="120" w:line="240" w:lineRule="auto"/>
        <w:rPr>
          <w:bCs/>
          <w:sz w:val="20"/>
        </w:rPr>
      </w:pPr>
      <w:r>
        <w:rPr>
          <w:bCs/>
          <w:sz w:val="20"/>
        </w:rPr>
        <w:t xml:space="preserve">ERTZOGUE, Marina Haizenreder. O canto das Quebradeiras: Cantigas de Trabalho das Mulheres Extrativistas de Coco na Região Bico do Papagaio. </w:t>
      </w:r>
      <w:r>
        <w:rPr>
          <w:bCs/>
          <w:i/>
          <w:sz w:val="20"/>
        </w:rPr>
        <w:t>Revista Fragmento de Cultura</w:t>
      </w:r>
      <w:r>
        <w:rPr>
          <w:bCs/>
          <w:sz w:val="20"/>
        </w:rPr>
        <w:t>, v. 12 n.6 p.1103-1110, Goiânia, nov/dez. 2002.</w:t>
      </w:r>
    </w:p>
    <w:p w:rsidR="00771796" w:rsidRDefault="00771796" w:rsidP="003C742A">
      <w:pPr>
        <w:spacing w:after="120" w:line="240" w:lineRule="auto"/>
        <w:rPr>
          <w:sz w:val="20"/>
        </w:rPr>
      </w:pPr>
      <w:r>
        <w:rPr>
          <w:bCs/>
          <w:sz w:val="20"/>
        </w:rPr>
        <w:t>FARIA, Cleide Nogueira de. Puxando a Sanfona e Rasgando o Nordeste: Relações De Gênero Na Música Popular Nordestina (1950-1990).</w:t>
      </w:r>
      <w:r>
        <w:rPr>
          <w:b/>
          <w:bCs/>
          <w:sz w:val="20"/>
        </w:rPr>
        <w:t xml:space="preserve"> </w:t>
      </w:r>
      <w:r>
        <w:rPr>
          <w:bCs/>
          <w:i/>
          <w:sz w:val="20"/>
        </w:rPr>
        <w:t>Revista Eletrônica de Humanidades</w:t>
      </w:r>
      <w:r>
        <w:rPr>
          <w:bCs/>
          <w:sz w:val="20"/>
        </w:rPr>
        <w:t xml:space="preserve">, </w:t>
      </w:r>
      <w:r>
        <w:rPr>
          <w:sz w:val="20"/>
        </w:rPr>
        <w:t xml:space="preserve">ISSN 1518-3394, v.3 - n.5, abr./maio de 2002. </w:t>
      </w:r>
    </w:p>
    <w:p w:rsidR="00771796" w:rsidRDefault="00771796" w:rsidP="003C742A">
      <w:pPr>
        <w:spacing w:after="120" w:line="240" w:lineRule="auto"/>
        <w:rPr>
          <w:bCs/>
          <w:color w:val="000000"/>
          <w:sz w:val="20"/>
        </w:rPr>
      </w:pPr>
      <w:r>
        <w:rPr>
          <w:bCs/>
          <w:color w:val="000000"/>
          <w:sz w:val="20"/>
        </w:rPr>
        <w:t>HOLANDA, Joana C.; GERLING, Cristina Capparelli . Estudos de Gênero em Música a partir da Década de 90: Escopo e Abordagem.</w:t>
      </w:r>
      <w:r>
        <w:rPr>
          <w:bCs/>
          <w:i/>
          <w:color w:val="000000"/>
          <w:sz w:val="20"/>
        </w:rPr>
        <w:t xml:space="preserve"> Revista Associação Nacional de Música, Revista ANM</w:t>
      </w:r>
      <w:r>
        <w:rPr>
          <w:b/>
          <w:bCs/>
          <w:color w:val="000000"/>
          <w:sz w:val="20"/>
        </w:rPr>
        <w:t xml:space="preserve"> -</w:t>
      </w:r>
      <w:r>
        <w:rPr>
          <w:bCs/>
          <w:color w:val="000000"/>
          <w:sz w:val="20"/>
        </w:rPr>
        <w:t xml:space="preserve"> Rio de Janeiro, v. XV, 2005.</w:t>
      </w:r>
    </w:p>
    <w:p w:rsidR="00771796" w:rsidRDefault="00771796" w:rsidP="003C742A">
      <w:pPr>
        <w:spacing w:after="120" w:line="240" w:lineRule="auto"/>
        <w:ind w:right="17"/>
        <w:rPr>
          <w:color w:val="000000"/>
          <w:sz w:val="20"/>
        </w:rPr>
      </w:pPr>
      <w:r>
        <w:rPr>
          <w:color w:val="000000"/>
          <w:sz w:val="20"/>
        </w:rPr>
        <w:t xml:space="preserve">HOLANDA, Joana C. </w:t>
      </w:r>
      <w:r>
        <w:rPr>
          <w:i/>
          <w:color w:val="000000"/>
          <w:sz w:val="20"/>
        </w:rPr>
        <w:t>Eunice Katunda (1915-1990) e Esther Scliar (1926-1978):</w:t>
      </w:r>
      <w:r>
        <w:rPr>
          <w:b/>
          <w:color w:val="000000"/>
          <w:sz w:val="20"/>
        </w:rPr>
        <w:t xml:space="preserve"> </w:t>
      </w:r>
      <w:r>
        <w:rPr>
          <w:color w:val="000000"/>
          <w:sz w:val="20"/>
        </w:rPr>
        <w:t>Trajetórias individuais e análise de sonata para piano ‘Sonata de Louvação’ (1960) e ‘Sonata para Piano’ (1961). 2006. 172p. Tese (Doutorado) Programa de Pós-Graduação em Música. Universidade Federal do Rio Grande do Sul 2006.</w:t>
      </w:r>
    </w:p>
    <w:p w:rsidR="00771796" w:rsidRDefault="00771796" w:rsidP="003C742A">
      <w:pPr>
        <w:autoSpaceDE w:val="0"/>
        <w:autoSpaceDN w:val="0"/>
        <w:adjustRightInd w:val="0"/>
        <w:spacing w:after="120" w:line="240" w:lineRule="auto"/>
        <w:rPr>
          <w:sz w:val="20"/>
          <w:lang w:eastAsia="pt-BR"/>
        </w:rPr>
      </w:pPr>
      <w:r>
        <w:rPr>
          <w:sz w:val="20"/>
          <w:lang w:eastAsia="pt-BR"/>
        </w:rPr>
        <w:t xml:space="preserve">HÜBSCHER, Bruno. </w:t>
      </w:r>
      <w:r>
        <w:rPr>
          <w:bCs/>
          <w:i/>
          <w:iCs/>
          <w:sz w:val="20"/>
          <w:lang w:eastAsia="pt-BR"/>
        </w:rPr>
        <w:t xml:space="preserve">Entre a tradição e a tradução: </w:t>
      </w:r>
      <w:r>
        <w:rPr>
          <w:sz w:val="20"/>
          <w:lang w:eastAsia="pt-BR"/>
        </w:rPr>
        <w:t>apontamentos sobre o Heavy Metal em Florianópolis (1995-2005). 2005. 114p. Trabalho de Conclusão do Curso de Bacharelado em História. Universidade Estadual de Santa Catarina, 2005.</w:t>
      </w:r>
    </w:p>
    <w:p w:rsidR="00771796" w:rsidRDefault="00771796" w:rsidP="003C742A">
      <w:pPr>
        <w:autoSpaceDE w:val="0"/>
        <w:autoSpaceDN w:val="0"/>
        <w:adjustRightInd w:val="0"/>
        <w:spacing w:after="120" w:line="240" w:lineRule="auto"/>
        <w:rPr>
          <w:sz w:val="20"/>
        </w:rPr>
      </w:pPr>
      <w:r>
        <w:rPr>
          <w:bCs/>
          <w:sz w:val="20"/>
        </w:rPr>
        <w:t>JACQUES, Tatyana de Alencar.</w:t>
      </w:r>
      <w:r>
        <w:rPr>
          <w:b/>
          <w:bCs/>
          <w:sz w:val="20"/>
        </w:rPr>
        <w:t xml:space="preserve"> </w:t>
      </w:r>
      <w:r>
        <w:rPr>
          <w:bCs/>
          <w:i/>
          <w:sz w:val="20"/>
        </w:rPr>
        <w:t>Comunidade Rock e bandas independentes de Florianópolis:</w:t>
      </w:r>
      <w:r>
        <w:rPr>
          <w:bCs/>
          <w:sz w:val="20"/>
        </w:rPr>
        <w:t xml:space="preserve"> uma etnografia sobre socialidade e concepções musicais. 2007. 142p. Dissertação (Mestrado) Programa de Pós-Graduação em Antropologia Social. Universidade Federal de Santa Catarina. 2007. </w:t>
      </w:r>
    </w:p>
    <w:p w:rsidR="00771796" w:rsidRDefault="00771796" w:rsidP="003C742A">
      <w:pPr>
        <w:spacing w:after="120" w:line="240" w:lineRule="auto"/>
        <w:rPr>
          <w:sz w:val="20"/>
        </w:rPr>
      </w:pPr>
      <w:r>
        <w:rPr>
          <w:sz w:val="20"/>
        </w:rPr>
        <w:t xml:space="preserve">KATER, Carlos. </w:t>
      </w:r>
      <w:r>
        <w:rPr>
          <w:i/>
          <w:sz w:val="20"/>
        </w:rPr>
        <w:t>Eunice Katunda, Musicista Brasileira.</w:t>
      </w:r>
      <w:r>
        <w:rPr>
          <w:b/>
          <w:sz w:val="20"/>
        </w:rPr>
        <w:t xml:space="preserve"> </w:t>
      </w:r>
      <w:r>
        <w:rPr>
          <w:sz w:val="20"/>
        </w:rPr>
        <w:t>São Paulo: Annablume, 2001.</w:t>
      </w:r>
    </w:p>
    <w:p w:rsidR="00771796" w:rsidRDefault="00771796" w:rsidP="003C742A">
      <w:pPr>
        <w:spacing w:after="120" w:line="240" w:lineRule="auto"/>
        <w:rPr>
          <w:sz w:val="20"/>
        </w:rPr>
      </w:pPr>
      <w:r>
        <w:rPr>
          <w:sz w:val="20"/>
        </w:rPr>
        <w:t xml:space="preserve">KRAMER, Lawrence. </w:t>
      </w:r>
      <w:r>
        <w:rPr>
          <w:i/>
          <w:iCs/>
          <w:sz w:val="20"/>
        </w:rPr>
        <w:t xml:space="preserve">Music as Culural Practice, 1800-1900. </w:t>
      </w:r>
      <w:r>
        <w:rPr>
          <w:sz w:val="20"/>
        </w:rPr>
        <w:t>California: University of California Press: 1990.</w:t>
      </w:r>
    </w:p>
    <w:p w:rsidR="00771796" w:rsidRDefault="00771796" w:rsidP="003C742A">
      <w:pPr>
        <w:spacing w:after="120" w:line="240" w:lineRule="auto"/>
        <w:ind w:right="18"/>
        <w:rPr>
          <w:color w:val="000000"/>
          <w:sz w:val="20"/>
        </w:rPr>
      </w:pPr>
      <w:r>
        <w:rPr>
          <w:color w:val="000000"/>
          <w:sz w:val="20"/>
        </w:rPr>
        <w:lastRenderedPageBreak/>
        <w:t xml:space="preserve">LIRA, Mariza. </w:t>
      </w:r>
      <w:r>
        <w:rPr>
          <w:bCs/>
          <w:i/>
          <w:color w:val="000000"/>
          <w:sz w:val="20"/>
        </w:rPr>
        <w:t>Chiquinha Gonzaga:</w:t>
      </w:r>
      <w:r>
        <w:rPr>
          <w:b/>
          <w:bCs/>
          <w:color w:val="000000"/>
          <w:sz w:val="20"/>
        </w:rPr>
        <w:t xml:space="preserve"> </w:t>
      </w:r>
      <w:r>
        <w:rPr>
          <w:color w:val="000000"/>
          <w:sz w:val="20"/>
        </w:rPr>
        <w:t>grande compositora popular brasileira. 2. ed. Rio de Janeiro: Funarte, 1978.</w:t>
      </w:r>
    </w:p>
    <w:p w:rsidR="00771796" w:rsidRDefault="00771796" w:rsidP="003C742A">
      <w:pPr>
        <w:pStyle w:val="autora"/>
        <w:spacing w:before="0" w:beforeAutospacing="0" w:after="120" w:afterAutospacing="0"/>
        <w:jc w:val="both"/>
        <w:rPr>
          <w:rFonts w:ascii="Times New Roman" w:hAnsi="Times New Roman"/>
          <w:b w:val="0"/>
          <w:color w:val="000000"/>
          <w:sz w:val="20"/>
          <w:lang w:val="pt-BR"/>
        </w:rPr>
      </w:pPr>
      <w:r>
        <w:rPr>
          <w:rFonts w:ascii="Times New Roman" w:hAnsi="Times New Roman"/>
          <w:b w:val="0"/>
          <w:color w:val="000000"/>
          <w:sz w:val="20"/>
          <w:lang w:val="pt-BR"/>
        </w:rPr>
        <w:t>MATOS, Maria Izilda S. Sensibilidades feminina:  poética e música em Dolores Duran.</w:t>
      </w:r>
      <w:r>
        <w:rPr>
          <w:rFonts w:ascii="Times New Roman" w:hAnsi="Times New Roman"/>
          <w:color w:val="000000"/>
          <w:sz w:val="20"/>
          <w:lang w:val="pt-BR"/>
        </w:rPr>
        <w:t xml:space="preserve"> </w:t>
      </w:r>
      <w:r>
        <w:rPr>
          <w:rFonts w:ascii="Times New Roman" w:hAnsi="Times New Roman"/>
          <w:b w:val="0"/>
          <w:i/>
          <w:color w:val="000000"/>
          <w:sz w:val="20"/>
          <w:lang w:val="pt-BR"/>
        </w:rPr>
        <w:t>Revista Labrys: estudos feministas</w:t>
      </w:r>
      <w:r>
        <w:rPr>
          <w:rFonts w:ascii="Times New Roman" w:hAnsi="Times New Roman"/>
          <w:b w:val="0"/>
          <w:color w:val="000000"/>
          <w:sz w:val="20"/>
          <w:lang w:val="pt-BR"/>
        </w:rPr>
        <w:t xml:space="preserve"> n.5, Jan-Jul 2004. </w:t>
      </w:r>
    </w:p>
    <w:p w:rsidR="00771796" w:rsidRDefault="00771796" w:rsidP="003C742A">
      <w:pPr>
        <w:spacing w:after="120" w:line="240" w:lineRule="auto"/>
        <w:rPr>
          <w:sz w:val="20"/>
        </w:rPr>
      </w:pPr>
      <w:r>
        <w:rPr>
          <w:sz w:val="20"/>
        </w:rPr>
        <w:t xml:space="preserve">MCCLARY, Susan. </w:t>
      </w:r>
      <w:r>
        <w:rPr>
          <w:i/>
          <w:iCs/>
          <w:sz w:val="20"/>
        </w:rPr>
        <w:t>Feminine Endings.</w:t>
      </w:r>
      <w:r>
        <w:rPr>
          <w:sz w:val="20"/>
        </w:rPr>
        <w:t xml:space="preserve"> Minnesota: University of Minnesota Press, 1991.</w:t>
      </w:r>
    </w:p>
    <w:p w:rsidR="00771796" w:rsidRDefault="00771796" w:rsidP="003C742A">
      <w:pPr>
        <w:pStyle w:val="NormalWeb"/>
        <w:spacing w:before="0" w:beforeAutospacing="0" w:after="120" w:afterAutospacing="0"/>
        <w:jc w:val="both"/>
        <w:rPr>
          <w:color w:val="000000"/>
          <w:sz w:val="20"/>
        </w:rPr>
      </w:pPr>
      <w:r>
        <w:rPr>
          <w:bCs/>
          <w:color w:val="000000"/>
          <w:sz w:val="20"/>
        </w:rPr>
        <w:t xml:space="preserve">MEDIA, Century. </w:t>
      </w:r>
      <w:r>
        <w:rPr>
          <w:bCs/>
          <w:i/>
          <w:color w:val="000000"/>
          <w:sz w:val="20"/>
        </w:rPr>
        <w:t xml:space="preserve">O rock de saias, quem diria? Virou coisa de mulher! </w:t>
      </w:r>
      <w:r>
        <w:rPr>
          <w:bCs/>
          <w:color w:val="000000"/>
          <w:sz w:val="20"/>
        </w:rPr>
        <w:t>Disponível em: &lt;</w:t>
      </w:r>
      <w:hyperlink r:id="rId15" w:history="1">
        <w:r>
          <w:rPr>
            <w:rStyle w:val="Hyperlink"/>
            <w:color w:val="000000"/>
            <w:sz w:val="20"/>
          </w:rPr>
          <w:t>http://www.mulheresnorock.pop.com.br/textos/mnr5.htm</w:t>
        </w:r>
      </w:hyperlink>
      <w:r>
        <w:rPr>
          <w:color w:val="000000"/>
          <w:sz w:val="20"/>
        </w:rPr>
        <w:t xml:space="preserve">&gt; </w:t>
      </w:r>
      <w:r>
        <w:rPr>
          <w:bCs/>
          <w:color w:val="000000"/>
          <w:sz w:val="20"/>
        </w:rPr>
        <w:t>Acessado em: 02/10/2006.</w:t>
      </w:r>
    </w:p>
    <w:p w:rsidR="00771796" w:rsidRDefault="00771796" w:rsidP="003C742A">
      <w:pPr>
        <w:spacing w:after="120" w:line="240" w:lineRule="auto"/>
        <w:rPr>
          <w:color w:val="000000"/>
          <w:sz w:val="20"/>
        </w:rPr>
      </w:pPr>
      <w:r>
        <w:rPr>
          <w:color w:val="000000"/>
          <w:sz w:val="20"/>
        </w:rPr>
        <w:t xml:space="preserve">MELLO, Maria Ignez C. </w:t>
      </w:r>
      <w:r>
        <w:rPr>
          <w:i/>
          <w:color w:val="000000"/>
          <w:sz w:val="20"/>
        </w:rPr>
        <w:t xml:space="preserve">Música, Mito e Ritual entre os Wauja do Alto Xingu. </w:t>
      </w:r>
      <w:r>
        <w:rPr>
          <w:color w:val="000000"/>
          <w:sz w:val="20"/>
        </w:rPr>
        <w:t>2005. 335p. Tese (Doutorado) Programa de Pós-Graduação em Antropologia Social. Universidade Federal de Santa Catarina. 2005.</w:t>
      </w:r>
    </w:p>
    <w:p w:rsidR="00771796" w:rsidRDefault="00771796" w:rsidP="003C742A">
      <w:pPr>
        <w:spacing w:after="120" w:line="240" w:lineRule="auto"/>
        <w:rPr>
          <w:sz w:val="20"/>
        </w:rPr>
      </w:pPr>
      <w:r>
        <w:rPr>
          <w:sz w:val="20"/>
        </w:rPr>
        <w:t xml:space="preserve">____________. </w:t>
      </w:r>
      <w:r>
        <w:rPr>
          <w:bCs/>
          <w:sz w:val="20"/>
        </w:rPr>
        <w:t>Relações de Gênero e Musicologia: Reflexões para uma Análise do Contexto Brasileiro.</w:t>
      </w:r>
      <w:r>
        <w:rPr>
          <w:sz w:val="20"/>
        </w:rPr>
        <w:t xml:space="preserve"> In: SIMPÓSIO DE PESQUISA EM MÚSICA 3.</w:t>
      </w:r>
      <w:r>
        <w:rPr>
          <w:i/>
          <w:sz w:val="20"/>
        </w:rPr>
        <w:t xml:space="preserve"> Anais.</w:t>
      </w:r>
      <w:r>
        <w:rPr>
          <w:sz w:val="20"/>
        </w:rPr>
        <w:t xml:space="preserve"> DeArtes UFPR, Curitiba, 2006. p. 69-74.</w:t>
      </w:r>
    </w:p>
    <w:p w:rsidR="00771796" w:rsidRDefault="00771796" w:rsidP="003C742A">
      <w:pPr>
        <w:spacing w:after="120" w:line="240" w:lineRule="auto"/>
        <w:rPr>
          <w:sz w:val="20"/>
        </w:rPr>
      </w:pPr>
      <w:r>
        <w:rPr>
          <w:sz w:val="20"/>
        </w:rPr>
        <w:t>PACHECO, Alberto J. V e KAYAMA, Adriana G. A cantora Lapinha e a presença musical feminina no Brasil colonial e imperial.</w:t>
      </w:r>
      <w:r>
        <w:rPr>
          <w:b/>
          <w:sz w:val="20"/>
        </w:rPr>
        <w:t xml:space="preserve"> </w:t>
      </w:r>
      <w:r>
        <w:rPr>
          <w:sz w:val="20"/>
        </w:rPr>
        <w:t xml:space="preserve">In: SIMPÓSIO DE PESQUISA EM MÚSICA 3, </w:t>
      </w:r>
      <w:r>
        <w:rPr>
          <w:i/>
          <w:sz w:val="20"/>
        </w:rPr>
        <w:t>Anais.</w:t>
      </w:r>
      <w:r>
        <w:rPr>
          <w:sz w:val="20"/>
        </w:rPr>
        <w:t xml:space="preserve"> DeArtes UFPR, Curitiba, 2006, p.7-12.</w:t>
      </w:r>
    </w:p>
    <w:p w:rsidR="00771796" w:rsidRDefault="00771796" w:rsidP="003C742A">
      <w:pPr>
        <w:spacing w:after="120" w:line="240" w:lineRule="auto"/>
        <w:rPr>
          <w:color w:val="000000"/>
          <w:sz w:val="20"/>
        </w:rPr>
      </w:pPr>
      <w:r>
        <w:rPr>
          <w:color w:val="000000"/>
          <w:sz w:val="20"/>
        </w:rPr>
        <w:t xml:space="preserve">PIEDADE, Acácio Tadeu de C. </w:t>
      </w:r>
      <w:r>
        <w:rPr>
          <w:i/>
          <w:color w:val="000000"/>
          <w:sz w:val="20"/>
        </w:rPr>
        <w:t>O canto do Kawoká:</w:t>
      </w:r>
      <w:r>
        <w:rPr>
          <w:b/>
          <w:color w:val="000000"/>
          <w:sz w:val="20"/>
        </w:rPr>
        <w:t xml:space="preserve"> </w:t>
      </w:r>
      <w:r>
        <w:rPr>
          <w:color w:val="000000"/>
          <w:sz w:val="20"/>
        </w:rPr>
        <w:t>música, cosmologia e filosofia entre os Wauja do Alto Xingu.</w:t>
      </w:r>
      <w:r>
        <w:rPr>
          <w:b/>
          <w:color w:val="000000"/>
          <w:sz w:val="20"/>
        </w:rPr>
        <w:t xml:space="preserve"> </w:t>
      </w:r>
      <w:r>
        <w:rPr>
          <w:color w:val="000000"/>
          <w:sz w:val="20"/>
        </w:rPr>
        <w:t>2004. 254p. Tese (Doutorado) Programa de Pós-Graduação em Antropologia Social. Universidade do Federal de Santa Catarina, 2004.</w:t>
      </w:r>
    </w:p>
    <w:p w:rsidR="00771796" w:rsidRDefault="00771796" w:rsidP="003C742A">
      <w:pPr>
        <w:spacing w:after="120" w:line="240" w:lineRule="auto"/>
        <w:rPr>
          <w:sz w:val="20"/>
        </w:rPr>
      </w:pPr>
      <w:r>
        <w:rPr>
          <w:sz w:val="20"/>
        </w:rPr>
        <w:t>SANTA CRUZ, Maria Áurea.</w:t>
      </w:r>
      <w:r>
        <w:rPr>
          <w:i/>
          <w:sz w:val="20"/>
        </w:rPr>
        <w:t xml:space="preserve"> A Musa sem Máscara:</w:t>
      </w:r>
      <w:r>
        <w:rPr>
          <w:sz w:val="20"/>
        </w:rPr>
        <w:t xml:space="preserve"> a imagem da mulher na música popular brasileira. Editora Rosa dos Tempos, Rio de Janeiro, 1992.</w:t>
      </w:r>
    </w:p>
    <w:p w:rsidR="00771796" w:rsidRDefault="00771796" w:rsidP="003C742A">
      <w:pPr>
        <w:pStyle w:val="NormalWeb"/>
        <w:spacing w:before="0" w:beforeAutospacing="0" w:after="120" w:afterAutospacing="0"/>
        <w:jc w:val="both"/>
        <w:rPr>
          <w:b/>
          <w:bCs/>
          <w:color w:val="000000"/>
          <w:sz w:val="20"/>
          <w:lang w:val="pt-BR"/>
        </w:rPr>
      </w:pPr>
      <w:r>
        <w:rPr>
          <w:bCs/>
          <w:color w:val="000000"/>
          <w:sz w:val="20"/>
        </w:rPr>
        <w:t xml:space="preserve">SARTORI, Rafael. </w:t>
      </w:r>
      <w:r>
        <w:rPr>
          <w:bCs/>
          <w:i/>
          <w:color w:val="000000"/>
          <w:sz w:val="20"/>
        </w:rPr>
        <w:t>As mulheres e o rock 'n' roll.</w:t>
      </w:r>
      <w:r>
        <w:rPr>
          <w:b/>
          <w:bCs/>
          <w:color w:val="000000"/>
          <w:sz w:val="20"/>
        </w:rPr>
        <w:t xml:space="preserve"> </w:t>
      </w:r>
      <w:r>
        <w:rPr>
          <w:bCs/>
          <w:color w:val="000000"/>
          <w:sz w:val="20"/>
          <w:lang w:val="pt-BR"/>
        </w:rPr>
        <w:t>Disponível em:</w:t>
      </w:r>
      <w:r>
        <w:rPr>
          <w:b/>
          <w:bCs/>
          <w:color w:val="000000"/>
          <w:sz w:val="20"/>
          <w:lang w:val="pt-BR"/>
        </w:rPr>
        <w:t xml:space="preserve"> </w:t>
      </w:r>
      <w:hyperlink r:id="rId16" w:history="1">
        <w:r>
          <w:rPr>
            <w:rStyle w:val="Hyperlink"/>
            <w:color w:val="000000"/>
            <w:sz w:val="20"/>
            <w:lang w:val="pt-BR"/>
          </w:rPr>
          <w:t xml:space="preserve"> &lt;</w:t>
        </w:r>
        <w:hyperlink r:id="rId17" w:history="1">
          <w:r>
            <w:rPr>
              <w:rStyle w:val="Hyperlink"/>
              <w:color w:val="000000"/>
              <w:sz w:val="20"/>
              <w:lang w:val="pt-BR"/>
            </w:rPr>
            <w:t>http://www.mulheresnorock.pop.com.br/textos/mnr6.htm</w:t>
          </w:r>
        </w:hyperlink>
      </w:hyperlink>
      <w:r>
        <w:rPr>
          <w:color w:val="000000"/>
          <w:sz w:val="20"/>
          <w:lang w:val="pt-BR"/>
        </w:rPr>
        <w:t>&gt;</w:t>
      </w:r>
      <w:r>
        <w:rPr>
          <w:bCs/>
          <w:color w:val="000000"/>
          <w:sz w:val="20"/>
          <w:lang w:val="pt-BR"/>
        </w:rPr>
        <w:t>Acessado em: 02/10/2006.</w:t>
      </w:r>
    </w:p>
    <w:p w:rsidR="00771796" w:rsidRDefault="00771796" w:rsidP="003C742A">
      <w:pPr>
        <w:spacing w:after="120" w:line="240" w:lineRule="auto"/>
        <w:rPr>
          <w:sz w:val="20"/>
        </w:rPr>
      </w:pPr>
      <w:r>
        <w:rPr>
          <w:sz w:val="20"/>
        </w:rPr>
        <w:t>SCARINCI, Silvana Ruffier. SAFO NOVELLA: a voz da poeta grega reapropriada por Bárbara Strozzi (Veneza, 1619 – 1677).</w:t>
      </w:r>
      <w:r>
        <w:rPr>
          <w:b/>
          <w:sz w:val="20"/>
        </w:rPr>
        <w:t xml:space="preserve">  </w:t>
      </w:r>
      <w:r>
        <w:rPr>
          <w:sz w:val="20"/>
        </w:rPr>
        <w:t>In: SIMPÓSIO DE PESQUISA EM MÚSICA 3,</w:t>
      </w:r>
      <w:r>
        <w:rPr>
          <w:i/>
          <w:sz w:val="20"/>
        </w:rPr>
        <w:t xml:space="preserve"> Anais</w:t>
      </w:r>
      <w:r>
        <w:rPr>
          <w:sz w:val="20"/>
        </w:rPr>
        <w:t>. DeArtes UFPR, Curitiba, 2006, p.13-20.</w:t>
      </w:r>
    </w:p>
    <w:p w:rsidR="00771796" w:rsidRDefault="00771796" w:rsidP="003C742A">
      <w:pPr>
        <w:pStyle w:val="CM52"/>
        <w:spacing w:after="120"/>
        <w:jc w:val="both"/>
        <w:rPr>
          <w:rFonts w:ascii="Times New Roman" w:hAnsi="Times New Roman"/>
          <w:color w:val="000000"/>
          <w:sz w:val="20"/>
        </w:rPr>
      </w:pPr>
      <w:r>
        <w:rPr>
          <w:rFonts w:ascii="Times New Roman" w:hAnsi="Times New Roman"/>
          <w:color w:val="000000"/>
          <w:sz w:val="20"/>
        </w:rPr>
        <w:t xml:space="preserve">SILVA, Helena Lopes da. </w:t>
      </w:r>
      <w:r>
        <w:rPr>
          <w:rFonts w:ascii="Times New Roman" w:hAnsi="Times New Roman"/>
          <w:i/>
          <w:color w:val="000000"/>
          <w:sz w:val="20"/>
        </w:rPr>
        <w:t>Música no Espaço Escolar e a Construção da Identidade de Gênero:</w:t>
      </w:r>
      <w:r>
        <w:rPr>
          <w:rFonts w:ascii="Times New Roman" w:hAnsi="Times New Roman"/>
          <w:b/>
          <w:color w:val="000000"/>
          <w:sz w:val="20"/>
        </w:rPr>
        <w:t xml:space="preserve"> </w:t>
      </w:r>
      <w:r>
        <w:rPr>
          <w:rFonts w:ascii="Times New Roman" w:hAnsi="Times New Roman"/>
          <w:color w:val="000000"/>
          <w:sz w:val="20"/>
        </w:rPr>
        <w:t>um estudo de caso.</w:t>
      </w:r>
      <w:r>
        <w:rPr>
          <w:rFonts w:ascii="Times New Roman" w:hAnsi="Times New Roman"/>
          <w:b/>
          <w:color w:val="000000"/>
          <w:sz w:val="20"/>
        </w:rPr>
        <w:t xml:space="preserve"> </w:t>
      </w:r>
      <w:r>
        <w:rPr>
          <w:rFonts w:ascii="Times New Roman" w:hAnsi="Times New Roman"/>
          <w:color w:val="000000"/>
          <w:sz w:val="20"/>
        </w:rPr>
        <w:t>2000. 210p. Dissertação (Mestrado) Programa de Pós-Graduação em Música. Universidade Federal do Rio Grande do Sul. 2000.</w:t>
      </w:r>
    </w:p>
    <w:p w:rsidR="00771796" w:rsidRDefault="00771796" w:rsidP="003C742A">
      <w:pPr>
        <w:spacing w:after="120" w:line="240" w:lineRule="auto"/>
        <w:rPr>
          <w:sz w:val="20"/>
          <w:lang w:val="es-ES_tradnl"/>
        </w:rPr>
      </w:pPr>
      <w:r>
        <w:rPr>
          <w:sz w:val="20"/>
          <w:lang w:val="es-ES_tradnl"/>
        </w:rPr>
        <w:t xml:space="preserve">SMALL, Cristopher. </w:t>
      </w:r>
      <w:r>
        <w:rPr>
          <w:i/>
          <w:sz w:val="20"/>
          <w:lang w:val="es-ES_tradnl"/>
        </w:rPr>
        <w:t xml:space="preserve">Musica, sociedad, educación. </w:t>
      </w:r>
      <w:r>
        <w:rPr>
          <w:sz w:val="20"/>
          <w:lang w:val="es-ES_tradnl"/>
        </w:rPr>
        <w:t>Madrid: Alianza, 1989.</w:t>
      </w:r>
    </w:p>
    <w:p w:rsidR="00771796" w:rsidRDefault="00771796" w:rsidP="003C742A">
      <w:pPr>
        <w:pStyle w:val="Textoembloco"/>
        <w:spacing w:after="120"/>
        <w:jc w:val="both"/>
        <w:rPr>
          <w:color w:val="000000"/>
          <w:sz w:val="20"/>
        </w:rPr>
      </w:pPr>
      <w:r>
        <w:rPr>
          <w:color w:val="000000"/>
          <w:sz w:val="20"/>
          <w:lang w:val="es-ES_tradnl"/>
        </w:rPr>
        <w:t xml:space="preserve">STIVAL, Silvana Beeck. </w:t>
      </w:r>
      <w:r>
        <w:rPr>
          <w:bCs/>
          <w:i/>
          <w:color w:val="000000"/>
          <w:sz w:val="20"/>
        </w:rPr>
        <w:t>Chiquinha Gonzaga em Forrobodó.</w:t>
      </w:r>
      <w:r>
        <w:rPr>
          <w:i/>
          <w:color w:val="000000"/>
          <w:sz w:val="20"/>
        </w:rPr>
        <w:t xml:space="preserve"> </w:t>
      </w:r>
      <w:r>
        <w:rPr>
          <w:color w:val="000000"/>
          <w:sz w:val="20"/>
        </w:rPr>
        <w:t xml:space="preserve">2004. Dissertação (Mestrado) </w:t>
      </w:r>
      <w:r>
        <w:rPr>
          <w:sz w:val="20"/>
        </w:rPr>
        <w:t>Programa de Pós-Graduação em Letras/Literatura Brasileira do Centro de Comunicação e Expressão. Universidade Federal de Santa Catarina</w:t>
      </w:r>
      <w:r>
        <w:rPr>
          <w:color w:val="000000"/>
          <w:sz w:val="20"/>
        </w:rPr>
        <w:t xml:space="preserve">. 2004. </w:t>
      </w:r>
    </w:p>
    <w:p w:rsidR="00771796" w:rsidRDefault="00771796" w:rsidP="003C742A">
      <w:pPr>
        <w:spacing w:after="120" w:line="240" w:lineRule="auto"/>
        <w:rPr>
          <w:color w:val="000000"/>
          <w:sz w:val="20"/>
        </w:rPr>
      </w:pPr>
      <w:r>
        <w:rPr>
          <w:sz w:val="20"/>
        </w:rPr>
        <w:t>VEIGA, Ana Maria. Mulheres em Rádio e Revista: Imagens Femininas na Época de Ouro da Música (Rio de Janeiro 1930/1945)</w:t>
      </w:r>
      <w:r>
        <w:rPr>
          <w:color w:val="000000"/>
          <w:sz w:val="20"/>
        </w:rPr>
        <w:t xml:space="preserve"> 216p. 1º Prêmio Construindo a Igualdade de Gênero – Redações e trabalhos científicos monográficos vencedores, 2006, p.32-63.</w:t>
      </w:r>
    </w:p>
    <w:p w:rsidR="00771796" w:rsidRDefault="00771796" w:rsidP="003C742A">
      <w:pPr>
        <w:spacing w:after="120" w:line="240" w:lineRule="auto"/>
        <w:rPr>
          <w:sz w:val="20"/>
        </w:rPr>
      </w:pPr>
      <w:r>
        <w:rPr>
          <w:sz w:val="20"/>
        </w:rPr>
        <w:t xml:space="preserve">WALSER, Robert. </w:t>
      </w:r>
      <w:r>
        <w:rPr>
          <w:i/>
          <w:sz w:val="20"/>
        </w:rPr>
        <w:t xml:space="preserve">Running with the </w:t>
      </w:r>
      <w:r>
        <w:rPr>
          <w:rStyle w:val="Forte"/>
          <w:b w:val="0"/>
          <w:i/>
          <w:sz w:val="20"/>
        </w:rPr>
        <w:t>Devil</w:t>
      </w:r>
      <w:r>
        <w:rPr>
          <w:i/>
          <w:sz w:val="20"/>
        </w:rPr>
        <w:t>:</w:t>
      </w:r>
      <w:r>
        <w:rPr>
          <w:sz w:val="20"/>
        </w:rPr>
        <w:t xml:space="preserve"> power, gender, and madness in heavy metal music. Middletown: Wesleyan University Press, 1993.</w:t>
      </w:r>
    </w:p>
    <w:p w:rsidR="00771796" w:rsidRDefault="00771796" w:rsidP="003C742A">
      <w:pPr>
        <w:spacing w:after="120" w:line="240" w:lineRule="auto"/>
        <w:rPr>
          <w:sz w:val="20"/>
        </w:rPr>
      </w:pPr>
      <w:r>
        <w:rPr>
          <w:sz w:val="20"/>
        </w:rPr>
        <w:t>WELLER, Wivian. A presença feminina nas (sub)culturas juvenis: a arte de se tornar visível.</w:t>
      </w:r>
      <w:r>
        <w:rPr>
          <w:b/>
          <w:sz w:val="20"/>
        </w:rPr>
        <w:t xml:space="preserve"> </w:t>
      </w:r>
      <w:r>
        <w:rPr>
          <w:i/>
          <w:sz w:val="20"/>
        </w:rPr>
        <w:t>Revista Estudos Feministas</w:t>
      </w:r>
      <w:r>
        <w:rPr>
          <w:sz w:val="20"/>
        </w:rPr>
        <w:t>, Florianópolis, 13(1):216, jan-abr, 2005, p. 107-126.</w:t>
      </w:r>
    </w:p>
    <w:p w:rsidR="00771796" w:rsidRDefault="00771796" w:rsidP="003C742A">
      <w:pPr>
        <w:spacing w:after="120" w:line="240" w:lineRule="auto"/>
        <w:rPr>
          <w:sz w:val="20"/>
        </w:rPr>
      </w:pPr>
      <w:r>
        <w:rPr>
          <w:sz w:val="20"/>
        </w:rPr>
        <w:t xml:space="preserve">WATERMAN, Ellen. </w:t>
      </w:r>
      <w:r>
        <w:rPr>
          <w:i/>
          <w:iCs/>
          <w:sz w:val="20"/>
        </w:rPr>
        <w:t>Cassandra´s Dream Song</w:t>
      </w:r>
      <w:r>
        <w:rPr>
          <w:sz w:val="20"/>
        </w:rPr>
        <w:t xml:space="preserve">: A Literary Feminist Perspective. </w:t>
      </w:r>
      <w:r>
        <w:rPr>
          <w:i/>
          <w:iCs/>
          <w:sz w:val="20"/>
        </w:rPr>
        <w:t xml:space="preserve">Perspectives of New Music, </w:t>
      </w:r>
      <w:r>
        <w:rPr>
          <w:sz w:val="20"/>
        </w:rPr>
        <w:t>Vol 32, Number 2 (Summer 1994).</w:t>
      </w:r>
    </w:p>
    <w:p w:rsidR="00771796" w:rsidRDefault="00771796" w:rsidP="00771796">
      <w:pPr>
        <w:ind w:left="180" w:hanging="180"/>
        <w:rPr>
          <w:bCs/>
          <w:color w:val="0000FF"/>
        </w:rPr>
      </w:pPr>
    </w:p>
    <w:p w:rsidR="00771796" w:rsidRDefault="00771796"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p w:rsidR="00397550" w:rsidRDefault="00397550" w:rsidP="00771796">
      <w:pPr>
        <w:ind w:left="180" w:hanging="180"/>
        <w:rPr>
          <w:bCs/>
          <w:color w:val="0000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 xml:space="preserve">Nome </w:t>
            </w:r>
            <w:r w:rsidR="00397550" w:rsidRPr="00397550">
              <w:rPr>
                <w:rFonts w:ascii="Times New Roman" w:hAnsi="Times New Roman"/>
                <w:sz w:val="24"/>
                <w:szCs w:val="24"/>
              </w:rPr>
              <w:t>A DIMENSÃO DO ENFOQUE DE GÊNERO NO PROGRAMA BOLSA FAMÍLIA: ranços e avanços na promoção do empoderamento das mulheres nos municípios baianos.</w:t>
            </w:r>
          </w:p>
        </w:tc>
        <w:tc>
          <w:tcPr>
            <w:tcW w:w="1873" w:type="dxa"/>
            <w:vMerge w:val="restart"/>
            <w:shd w:val="clear" w:color="auto" w:fill="auto"/>
          </w:tcPr>
          <w:p w:rsidR="00771796" w:rsidRPr="001E2C63" w:rsidRDefault="00771796" w:rsidP="00505E82">
            <w:pPr>
              <w:spacing w:line="240" w:lineRule="auto"/>
              <w:rPr>
                <w:rFonts w:ascii="Times New Roman" w:hAnsi="Times New Roman"/>
                <w:b/>
                <w:sz w:val="36"/>
                <w:szCs w:val="36"/>
              </w:rPr>
            </w:pPr>
            <w:r>
              <w:rPr>
                <w:rFonts w:ascii="Times New Roman" w:hAnsi="Times New Roman"/>
                <w:b/>
                <w:sz w:val="36"/>
                <w:szCs w:val="36"/>
              </w:rPr>
              <w:t>A 00</w:t>
            </w:r>
            <w:r w:rsidR="003C742A">
              <w:rPr>
                <w:rFonts w:ascii="Times New Roman" w:hAnsi="Times New Roman"/>
                <w:b/>
                <w:sz w:val="36"/>
                <w:szCs w:val="36"/>
              </w:rPr>
              <w:t>4</w:t>
            </w:r>
          </w:p>
          <w:p w:rsidR="00771796" w:rsidRPr="001E2C63" w:rsidRDefault="00771796" w:rsidP="00505E82">
            <w:pPr>
              <w:spacing w:line="240" w:lineRule="auto"/>
              <w:rPr>
                <w:rFonts w:ascii="Times New Roman" w:hAnsi="Times New Roman"/>
                <w:sz w:val="24"/>
                <w:szCs w:val="24"/>
              </w:rPr>
            </w:pPr>
            <w:r>
              <w:rPr>
                <w:rFonts w:ascii="Times New Roman" w:hAnsi="Times New Roman"/>
                <w:b/>
                <w:sz w:val="36"/>
                <w:szCs w:val="36"/>
              </w:rPr>
              <w:t>Premiado</w:t>
            </w:r>
          </w:p>
        </w:tc>
      </w:tr>
      <w:tr w:rsidR="00771796" w:rsidRPr="001E2C63" w:rsidTr="00505E82">
        <w:tc>
          <w:tcPr>
            <w:tcW w:w="6771" w:type="dxa"/>
            <w:shd w:val="clear" w:color="auto" w:fill="auto"/>
          </w:tcPr>
          <w:p w:rsidR="00771796" w:rsidRPr="00397550" w:rsidRDefault="00771796" w:rsidP="00505E82">
            <w:pPr>
              <w:spacing w:line="240" w:lineRule="auto"/>
              <w:rPr>
                <w:rFonts w:ascii="Times New Roman" w:hAnsi="Times New Roman"/>
                <w:sz w:val="24"/>
                <w:szCs w:val="24"/>
              </w:rPr>
            </w:pPr>
            <w:r w:rsidRPr="00397550">
              <w:rPr>
                <w:rFonts w:ascii="Times New Roman" w:hAnsi="Times New Roman"/>
                <w:sz w:val="24"/>
                <w:szCs w:val="24"/>
              </w:rPr>
              <w:t xml:space="preserve">Autora/o </w:t>
            </w:r>
            <w:r w:rsidR="00397550" w:rsidRPr="00397550">
              <w:rPr>
                <w:rFonts w:ascii="Times New Roman" w:hAnsi="Times New Roman"/>
                <w:sz w:val="24"/>
                <w:szCs w:val="24"/>
              </w:rPr>
              <w:t>Bárbara Maria Santos Caldeira</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505E82">
            <w:pPr>
              <w:spacing w:line="240" w:lineRule="auto"/>
              <w:rPr>
                <w:rFonts w:ascii="Times New Roman" w:hAnsi="Times New Roman"/>
                <w:sz w:val="24"/>
                <w:szCs w:val="24"/>
              </w:rPr>
            </w:pPr>
            <w:r w:rsidRPr="00397550">
              <w:rPr>
                <w:rFonts w:ascii="Times New Roman" w:hAnsi="Times New Roman"/>
                <w:sz w:val="24"/>
                <w:szCs w:val="24"/>
              </w:rPr>
              <w:t>Orientadora/o</w:t>
            </w:r>
            <w:r w:rsidRPr="00397550">
              <w:rPr>
                <w:rFonts w:ascii="Times New Roman" w:hAnsi="Times New Roman"/>
                <w:bCs/>
                <w:sz w:val="24"/>
                <w:szCs w:val="24"/>
              </w:rPr>
              <w:t xml:space="preserve"> </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505E82">
            <w:pPr>
              <w:spacing w:line="240" w:lineRule="auto"/>
              <w:rPr>
                <w:rFonts w:ascii="Times New Roman" w:hAnsi="Times New Roman"/>
                <w:sz w:val="24"/>
                <w:szCs w:val="24"/>
              </w:rPr>
            </w:pPr>
            <w:r w:rsidRPr="00397550">
              <w:rPr>
                <w:rFonts w:ascii="Times New Roman" w:hAnsi="Times New Roman"/>
                <w:sz w:val="24"/>
                <w:szCs w:val="24"/>
              </w:rPr>
              <w:t>IES:</w:t>
            </w:r>
            <w:r w:rsidR="00397550" w:rsidRPr="00397550">
              <w:rPr>
                <w:rFonts w:ascii="Times New Roman" w:hAnsi="Times New Roman"/>
                <w:sz w:val="24"/>
                <w:szCs w:val="24"/>
              </w:rPr>
              <w:t xml:space="preserve"> – Universidade Católica do Salvador</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505E82">
            <w:pPr>
              <w:spacing w:line="240" w:lineRule="auto"/>
              <w:rPr>
                <w:rFonts w:ascii="Times New Roman" w:hAnsi="Times New Roman"/>
                <w:sz w:val="24"/>
                <w:szCs w:val="24"/>
              </w:rPr>
            </w:pPr>
            <w:r w:rsidRPr="00397550">
              <w:rPr>
                <w:rFonts w:ascii="Times New Roman" w:hAnsi="Times New Roman"/>
                <w:sz w:val="24"/>
                <w:szCs w:val="24"/>
              </w:rPr>
              <w:t xml:space="preserve">Cidade/Estado: </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505E82">
            <w:pPr>
              <w:spacing w:line="240" w:lineRule="auto"/>
              <w:rPr>
                <w:rFonts w:ascii="Times New Roman" w:hAnsi="Times New Roman"/>
                <w:sz w:val="24"/>
                <w:szCs w:val="24"/>
              </w:rPr>
            </w:pPr>
            <w:r w:rsidRPr="00397550">
              <w:rPr>
                <w:rFonts w:ascii="Times New Roman" w:hAnsi="Times New Roman"/>
                <w:sz w:val="24"/>
                <w:szCs w:val="24"/>
              </w:rPr>
              <w:t>Outras Informações:</w:t>
            </w:r>
            <w:r w:rsidR="00397550" w:rsidRPr="00397550">
              <w:rPr>
                <w:rFonts w:ascii="Times New Roman" w:hAnsi="Times New Roman"/>
                <w:sz w:val="24"/>
                <w:szCs w:val="24"/>
              </w:rPr>
              <w:t xml:space="preserve"> Graduada Licenciada em História pelas Faculdades Jorge Amado. Doutoranda em História pela Universidade de Burgos - Espanha. Coordenadora de Apoio a Projetos, Programas e Conselhos da Secretaria Municipal de Assistência Social de Alagoinhas – BA. Assessora de Projetos Sociais da ONG Centro de Formação Talita. Integrante do Núcleo de Pesquisa e Estudos sobre Juventude, Identidade, Cidadania e Cultura (NPEJI) – Diretório de Pesquisa CNPQ, alocado no Mestrado em Família na Sociedade Contemporânea - Universidade Católica do Salvador (UCSAL</w:t>
            </w:r>
          </w:p>
          <w:p w:rsidR="00771796" w:rsidRPr="00397550" w:rsidRDefault="00771796" w:rsidP="00505E82">
            <w:pPr>
              <w:spacing w:line="240" w:lineRule="auto"/>
              <w:rPr>
                <w:rFonts w:ascii="Times New Roman" w:hAnsi="Times New Roman"/>
                <w:sz w:val="24"/>
                <w:szCs w:val="24"/>
              </w:rPr>
            </w:pP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bl>
    <w:p w:rsidR="00771796" w:rsidRDefault="00771796" w:rsidP="00771796">
      <w:pPr>
        <w:ind w:left="180" w:hanging="180"/>
        <w:rPr>
          <w:bCs/>
          <w:color w:val="0000FF"/>
        </w:rPr>
      </w:pPr>
    </w:p>
    <w:p w:rsidR="003C742A" w:rsidRDefault="003C742A" w:rsidP="003C742A">
      <w:pPr>
        <w:jc w:val="right"/>
      </w:pPr>
    </w:p>
    <w:p w:rsidR="003C742A" w:rsidRDefault="003C742A" w:rsidP="003C742A">
      <w:pPr>
        <w:spacing w:line="240" w:lineRule="auto"/>
        <w:jc w:val="right"/>
      </w:pPr>
    </w:p>
    <w:p w:rsidR="003C742A" w:rsidRDefault="003C742A" w:rsidP="003C742A">
      <w:pPr>
        <w:spacing w:line="240" w:lineRule="auto"/>
        <w:jc w:val="right"/>
        <w:rPr>
          <w:i/>
          <w:sz w:val="20"/>
          <w:szCs w:val="20"/>
        </w:rPr>
      </w:pPr>
      <w:r>
        <w:rPr>
          <w:i/>
          <w:sz w:val="20"/>
          <w:szCs w:val="20"/>
        </w:rPr>
        <w:t>“Não se trata somente de reconstituir os discursos e saberes específicos às mulheres, nem mesmo de lhes atribuir poderes não reconhecidos. É preciso compreender como uma cultura feminina se constrói no interior de um sistema de relações desiguais, como ela mascara as falhas, reativa os conflitos, baliza tempos e espaços, como, enfim, pensa suas particularidades e suas relações com a sociedade global”.</w:t>
      </w:r>
    </w:p>
    <w:p w:rsidR="003C742A" w:rsidRDefault="003C742A" w:rsidP="003C742A">
      <w:pPr>
        <w:spacing w:line="240" w:lineRule="auto"/>
        <w:jc w:val="right"/>
        <w:rPr>
          <w:sz w:val="20"/>
          <w:szCs w:val="20"/>
        </w:rPr>
      </w:pPr>
    </w:p>
    <w:p w:rsidR="003C742A" w:rsidRDefault="003C742A" w:rsidP="003C742A">
      <w:pPr>
        <w:spacing w:line="240" w:lineRule="auto"/>
        <w:jc w:val="right"/>
        <w:rPr>
          <w:szCs w:val="24"/>
        </w:rPr>
      </w:pPr>
      <w:r>
        <w:rPr>
          <w:szCs w:val="24"/>
        </w:rPr>
        <w:t xml:space="preserve">Rachel Soihet, Suely Gomes Costa e Rosana M. Alves Soares, 2001.  </w:t>
      </w:r>
    </w:p>
    <w:p w:rsidR="003C742A" w:rsidRDefault="003C742A" w:rsidP="003C742A">
      <w:pPr>
        <w:jc w:val="center"/>
        <w:rPr>
          <w:szCs w:val="24"/>
        </w:rPr>
      </w:pPr>
    </w:p>
    <w:p w:rsidR="003C742A" w:rsidRDefault="003C742A" w:rsidP="003C742A">
      <w:pPr>
        <w:rPr>
          <w:sz w:val="28"/>
          <w:szCs w:val="28"/>
        </w:rPr>
      </w:pPr>
    </w:p>
    <w:p w:rsidR="00397550" w:rsidRDefault="00397550" w:rsidP="003C742A">
      <w:pPr>
        <w:rPr>
          <w:sz w:val="28"/>
          <w:szCs w:val="28"/>
        </w:rPr>
      </w:pPr>
    </w:p>
    <w:p w:rsidR="00397550" w:rsidRDefault="00397550" w:rsidP="003C742A">
      <w:pPr>
        <w:rPr>
          <w:sz w:val="28"/>
          <w:szCs w:val="28"/>
        </w:rPr>
      </w:pPr>
    </w:p>
    <w:p w:rsidR="00397550" w:rsidRDefault="00397550" w:rsidP="003C742A">
      <w:pPr>
        <w:rPr>
          <w:sz w:val="28"/>
          <w:szCs w:val="28"/>
        </w:rPr>
      </w:pPr>
    </w:p>
    <w:p w:rsidR="003C742A" w:rsidRDefault="003C742A" w:rsidP="003C742A">
      <w:pPr>
        <w:rPr>
          <w:sz w:val="28"/>
          <w:szCs w:val="28"/>
        </w:rPr>
      </w:pPr>
      <w:r>
        <w:rPr>
          <w:sz w:val="28"/>
          <w:szCs w:val="28"/>
        </w:rPr>
        <w:t>Considerações Iniciais</w:t>
      </w:r>
    </w:p>
    <w:p w:rsidR="003C742A" w:rsidRDefault="003C742A" w:rsidP="003C742A"/>
    <w:p w:rsidR="003C742A" w:rsidRDefault="003C742A" w:rsidP="003C742A">
      <w:r>
        <w:t xml:space="preserve">O “empoderamento das mulheres”, neologismo construído para definir a ação de “tomar o poder” por aqueles que carecem dele, significa para o universo feminino não um ato de subordinação das pessoas, mas a garantia dos meios necessários ao combate aos estereótipos de que são objeto e à conquista de um </w:t>
      </w:r>
      <w:r>
        <w:rPr>
          <w:i/>
        </w:rPr>
        <w:t>status quo</w:t>
      </w:r>
      <w:r>
        <w:t xml:space="preserve"> social que lhes permita defender e representar idéias e comportamentos na sociedade. </w:t>
      </w:r>
    </w:p>
    <w:p w:rsidR="003C742A" w:rsidRDefault="003C742A" w:rsidP="003C742A">
      <w:pPr>
        <w:rPr>
          <w:i/>
        </w:rPr>
      </w:pPr>
      <w:r>
        <w:tab/>
        <w:t xml:space="preserve"> Para a pesquisadora do Núcleo de Estudos Interdisciplinares sobre a Mulher (NEIM) e professora da Universidade Federal da Bahia (UFBA), Ana Alice Costa (s.d., s.p.), </w:t>
      </w:r>
      <w:r>
        <w:rPr>
          <w:i/>
        </w:rPr>
        <w:t>“os problemas ligados às questões de poder têm sido um dos principais entraves aos projetos de desenvolvimento”</w:t>
      </w:r>
      <w:r>
        <w:t xml:space="preserve">, ao passo que Julieta Kirkwood (1986, s.p.) completa essa idéia ao afirmar </w:t>
      </w:r>
      <w:r>
        <w:rPr>
          <w:i/>
        </w:rPr>
        <w:t xml:space="preserve">que “o poder não é, o poder se exerce. E se exerce em atos, em linguagem. Não é uma essência. Ninguém pode tomar o poder e guardá-lo em uma caixa forte”. </w:t>
      </w:r>
    </w:p>
    <w:p w:rsidR="003C742A" w:rsidRDefault="003C742A" w:rsidP="003C742A">
      <w:pPr>
        <w:rPr>
          <w:i/>
        </w:rPr>
      </w:pPr>
      <w:r>
        <w:tab/>
        <w:t xml:space="preserve">No século XX, a partir dos anos 70, debates acerca dos rumos que objetos de investigação dos estudos de gênero e das teorias feministas ganham vozes principalmente na América Latina e Europa. Para a historiadora espanhola Maria Antonia García León, professora titular de Sociologia da Universidade Complutense de Madrid (1999), ao estabelecermos balanços, assinalarmos problemas e sublinharmos idéias e forças sobre o tema, estamos contribuindo para a disseminação da luta a favor da mudança de paradigma do significado de uma expressão escrita por D. Fernando Bertrán de Lis em 1859: </w:t>
      </w:r>
      <w:r>
        <w:rPr>
          <w:i/>
        </w:rPr>
        <w:t xml:space="preserve">“el silencio es el ornato de la mujer”. </w:t>
      </w:r>
    </w:p>
    <w:p w:rsidR="003C742A" w:rsidRDefault="003C742A" w:rsidP="003C742A">
      <w:r>
        <w:tab/>
        <w:t xml:space="preserve">García de León traçou muito bem o balanço da trajetória bibliográfica sobre as mulheres nas últimas décadas, tendo com referência as observações feitas por especialistas francesas, como Michel Perrot (1986), que a divide no seguinte quadro: 1. A predileção sempre presente pelos estudos do corpo, da sexualidade, da </w:t>
      </w:r>
      <w:r>
        <w:lastRenderedPageBreak/>
        <w:t xml:space="preserve">maternidade, da fisiologia feminina e das profissões próximas a “natureza feminina”; 2. A dialética relacionada às relações de poder, dominação e opressão, que assumem quase em sua totalidade, sentido tautológico, em um ato de omissão de análises que considerem o tempo e espaço dessas relações; 3. A superestimação dos estudos de discursos normativos que não delegam atenção e mérito necessários das práticas sociais e dos modos de resistência a tais discursos, o que provocam, muitas vezes, um modelo de autofascinação pela “desgraça”; 4. A ausência de conhecimento da história do feminismo e de sua articulação com a história política e social; e, finalmente, 5. A falta de reflexão metodológica e teórica.  </w:t>
      </w:r>
    </w:p>
    <w:p w:rsidR="003C742A" w:rsidRDefault="003C742A" w:rsidP="003C742A">
      <w:r>
        <w:tab/>
        <w:t xml:space="preserve">Partilhamos da mesma ponderação da socióloga: essas debilidades, em sua maioria, já foram superadas pelos estudos feministas, talvez restando ainda, ranços referentes à predileção por estudos mais próximos a natureza feminina no mundo do trabalho, da sexualidade e da família. </w:t>
      </w:r>
    </w:p>
    <w:p w:rsidR="003C742A" w:rsidRDefault="003C742A" w:rsidP="003C742A">
      <w:pPr>
        <w:rPr>
          <w:i/>
        </w:rPr>
      </w:pPr>
      <w:r>
        <w:tab/>
        <w:t>Entre 14 e 18 de julho de 1999, especialistas nos estudos de gênero participaram da Mesa Redonda “Mulheres e homens, uma história em comum</w:t>
      </w:r>
      <w:r>
        <w:rPr>
          <w:rFonts w:ascii="Arial" w:hAnsi="Arial" w:cs="Arial"/>
        </w:rPr>
        <w:t xml:space="preserve">?” </w:t>
      </w:r>
      <w:r>
        <w:t xml:space="preserve">no II Congresso Internacional História em Debate, espaço que testemunhou propostas e desafios para a História das Mulheres, tema que merece destaque entre as preocupações atuais, como bem frisou a investigadora Alicia Itati Palermo da Universidade Nacional de Luján (2000, p.3): </w:t>
      </w:r>
      <w:r>
        <w:rPr>
          <w:i/>
        </w:rPr>
        <w:t>“la de una historia común, al amparo de la unidad de la ciencia; la de una historia de las mujeres sin otra referencia que las propias mujeres y la de una historia de las mujeres desde el punto de vista relacional”.</w:t>
      </w:r>
    </w:p>
    <w:p w:rsidR="003C742A" w:rsidRDefault="003C742A" w:rsidP="003C742A">
      <w:r>
        <w:tab/>
        <w:t xml:space="preserve">Unidade privilegiada da agenda social nas últimas décadas, as mulheres vêm sendo alvo de propostas de intervenções dos programas sociais do atual governo federal que, através de políticas, buscam beneficiar esse grupo através da diminuição do peso da pobreza e da melhoria dos serviços básicos prestados pelo Estado, nas áreas da educação, saúde e assistência social. Essa ação se volta, sobretudo, à urgência do aumento da valorização dos sujeitos e do fortalecimento de suas identidades, enfraquecidas pelo aumento constante dos vários tipos de violências sofridas e praticadas nos espaços públicos e privados, onde destacamos a violência doméstica, a de gênero e a intrafamiliar que andam na contramão da garantia dos direitos humanos. (CAVALCANTI, 2005). </w:t>
      </w:r>
    </w:p>
    <w:p w:rsidR="003C742A" w:rsidRDefault="003C742A" w:rsidP="003C742A">
      <w:pPr>
        <w:rPr>
          <w:color w:val="FF0000"/>
        </w:rPr>
      </w:pPr>
      <w:r>
        <w:tab/>
      </w:r>
      <w:r>
        <w:rPr>
          <w:color w:val="FF0000"/>
        </w:rPr>
        <w:t xml:space="preserve"> </w:t>
      </w:r>
      <w:r>
        <w:t xml:space="preserve">Caminhando pelo século XXI, encontramos entre os programas direcionados à construção da cidadania e à ruptura do ciclo intergeracional do quadro de vulnerabilidade social que caracteriza o cotidiano dessas meninas, adolescentes e mulheres em todo país, projetos e programas como os Planos Nacionais de Políticas para as Mulheres e de Igualdade Racial, o Programa Gestão Pública e Cidadania, o SENTINELA, o Projeto Se Essa </w:t>
      </w:r>
      <w:r>
        <w:lastRenderedPageBreak/>
        <w:t>Casa Fosse Minha, o Programa Saúde na Família, PRONAF, o Agente Jovem (para 2008 tal programa será migrado para o Bolsa Família, com alteração de nome – PROJOVEM Adolescente, agregando o eixo profissionalizante) e aqueles que de forma transversal se propõem a considerar o enfoque de gênero, a citar o Programa Bolsa Família.</w:t>
      </w:r>
    </w:p>
    <w:p w:rsidR="003C742A" w:rsidRDefault="003C742A" w:rsidP="003C742A">
      <w:r>
        <w:tab/>
        <w:t>O Programa Bolsa Família implantado em outubro de 2003 e promulgado em 2004 com a criação da lei nº 10.836 de 09 de janeiro de 2004 pela atual gestão do presidente Luis Inácio Lula da Silva</w:t>
      </w:r>
      <w:r>
        <w:rPr>
          <w:rStyle w:val="Refdenotaderodap"/>
        </w:rPr>
        <w:footnoteReference w:id="41"/>
      </w:r>
      <w:r>
        <w:t xml:space="preserve"> tem por princípio norteador o combate à fome e à pobreza no país, resultado da unificação dos Programas de Garantia de Renda Mínima (PGRM) – Bolsa Alimentação, Bolsa Escola e Programa Auxílio-Gás, que tem a pretensão de uma gestão descentralizada, com destaque para a intersetorialidade entre os entes federados, com a participação comunitária e o controle social.  </w:t>
      </w:r>
    </w:p>
    <w:p w:rsidR="003C742A" w:rsidRDefault="003C742A" w:rsidP="003C742A">
      <w:r>
        <w:tab/>
        <w:t xml:space="preserve">As três dimensões que pautam o programa estão articuladas de forma que promovam o </w:t>
      </w:r>
      <w:r>
        <w:rPr>
          <w:i/>
        </w:rPr>
        <w:t>“alívio imediato da pobreza”</w:t>
      </w:r>
      <w:r>
        <w:t xml:space="preserve"> através da transferência direta da renda às famílias beneficiárias, reforcem ação dos direitos básicos nas áreas da Saúde e Educação utilizando as condicionalidades (ferramentas criadas para controlar e “garantir” o acesso aos serviços médicos e a presença de crianças e adolescentes nas escolas), </w:t>
      </w:r>
      <w:r>
        <w:rPr>
          <w:i/>
        </w:rPr>
        <w:t>“o que contribui para que as famílias consigam romper o ciclo da pobreza entre gerações”</w:t>
      </w:r>
      <w:r>
        <w:t xml:space="preserve">. (MDS, 2004). </w:t>
      </w:r>
    </w:p>
    <w:p w:rsidR="003C742A" w:rsidRDefault="003C742A" w:rsidP="003C742A">
      <w:r>
        <w:tab/>
        <w:t>Por último, a política prevê o trabalho de coordenação de programas complementares que visem o desenvolvimento do capital econômico, cultural e social</w:t>
      </w:r>
      <w:r>
        <w:rPr>
          <w:rStyle w:val="Refdenotaderodap"/>
        </w:rPr>
        <w:footnoteReference w:id="42"/>
      </w:r>
      <w:r>
        <w:t xml:space="preserve"> das famílias, por meio de ações nas áreas de geração </w:t>
      </w:r>
      <w:r>
        <w:lastRenderedPageBreak/>
        <w:t>de emprego e renda, políticas afirmativas de raça-etnia e gênero, alfabetização de jovens e adultos e documentação como registros civis.</w:t>
      </w:r>
    </w:p>
    <w:p w:rsidR="003C742A" w:rsidRDefault="003C742A" w:rsidP="003C742A">
      <w:pPr>
        <w:rPr>
          <w:szCs w:val="24"/>
        </w:rPr>
      </w:pPr>
      <w:r>
        <w:tab/>
        <w:t xml:space="preserve">O enfoque de gênero e, destarte, o empoderamento da mulher são sub-temas alocados na agenda social do programa, apesar de não serem incorporados legalmente por sua normativa e diretrizes. De fato, </w:t>
      </w:r>
      <w:r>
        <w:rPr>
          <w:szCs w:val="24"/>
        </w:rPr>
        <w:t xml:space="preserve">a primeira avaliação de âmbito nacional que traça o perfil das famílias beneficiárias do PBF, realizado em março de 2007 e publicado em 21 de agosto de 2007 pelo Ministério do Desenvolvimento Social e Combate à Fome (MDS), traz uma fotografia sobre números e não um diagnóstico de como o programa está sendo desenvolvido e acompanhado nos municípios. </w:t>
      </w:r>
    </w:p>
    <w:p w:rsidR="003C742A" w:rsidRDefault="003C742A" w:rsidP="003C742A">
      <w:pPr>
        <w:rPr>
          <w:szCs w:val="24"/>
        </w:rPr>
      </w:pPr>
      <w:r>
        <w:rPr>
          <w:szCs w:val="24"/>
        </w:rPr>
        <w:tab/>
        <w:t xml:space="preserve">O documento utiliza como referência de análise, os dados da última </w:t>
      </w:r>
      <w:r>
        <w:t>Pesquisa Nacional por Amostras de Domicílios</w:t>
      </w:r>
      <w:r>
        <w:rPr>
          <w:szCs w:val="24"/>
        </w:rPr>
        <w:t xml:space="preserve"> (PNAD) realizada em 2006, onde compara estatísticas referentes às condições de moradia, saneamento básico e escolaridade ao número de famílias pobres, homens, mulheres, adolescentes e crianças considerando as categorias raça-etnia e faixa etária. Identificamos como problemas de ordem maior, a não-convergência de elementos referenciais fundamentais para o estudo comparativo, como demonstra as confusões conceituais acerca da família contemporânea. Entendemos, portanto, que há um prejuízo que recai nas interpretações sócio-econômicas do instrumento, haja vista as considerações produzidas pelo mesmo.</w:t>
      </w:r>
    </w:p>
    <w:p w:rsidR="003C742A" w:rsidRDefault="003C742A" w:rsidP="003C742A">
      <w:r>
        <w:tab/>
        <w:t>Em paralelo, os pesquisadores Marcelo Medeiros (2007), coordenador do IPEA no Centro Internacional de Pobreza (IPC) /Programas das Nações Unidas (PNUD), a pesquisadora visitante do IPC, Tatiana Britto e o técnico da coordenação do IPEA no Centro Internacional de Pobreza (IPC) /Programas das Nações Unidas (PNUD), Fábio Soares, em artigo recente sobre o programa, dedicam um sub-capítulo à temática gênero e sua relação com os resultados do Bolsa Família ao longo desses três anos de vida.</w:t>
      </w:r>
    </w:p>
    <w:p w:rsidR="003C742A" w:rsidRDefault="003C742A" w:rsidP="003C742A">
      <w:r>
        <w:tab/>
        <w:t xml:space="preserve">O estudo traz alguns argumentos favoráveis à assertiva relacionada à concretização de uma realidade crescente do empoderamento das mulheres beneficiárias do programa ou ligadas à gestão do Bolsa Família. Como referência para essa ponderação, os pesquisadores baseiam suas críticas na Avaliação desenvolvida pela “Ações em Gênero, Cidadania e Desenvolvimento” –AGENDE para o MDS em 2006 com apoio do Departament for International Development.  </w:t>
      </w:r>
    </w:p>
    <w:p w:rsidR="003C742A" w:rsidRDefault="003C742A" w:rsidP="003C742A">
      <w:r>
        <w:tab/>
        <w:t xml:space="preserve">Nos limites deste artigo, nosso objetivo é apresentar algumas considerações acerca das perspectivas defendidas pelo MDS que afirmam o crescimento de elementos que justifiquem o aumento do empoderamento feminino das beneficiárias do Programa Bolsa Família através da transferência direta da renda e pelo índice </w:t>
      </w:r>
      <w:r>
        <w:lastRenderedPageBreak/>
        <w:t xml:space="preserve">ocupacional na gestão do programa pelas mulheres. Os dados e análises aqui descritos integram o projeto de pesquisa “Programa Bolsa Família, Gênero e Juventude”, coordenado pela professora Dra. Vanessa Ribeiro Simon Cavalcanti e iniciado em julho de 2007 com previsão de conclusão em janeiro de 2008. </w:t>
      </w:r>
    </w:p>
    <w:p w:rsidR="003C742A" w:rsidRDefault="003C742A" w:rsidP="003C742A">
      <w:r>
        <w:tab/>
        <w:t xml:space="preserve">No entanto, já é possível apresentar aspectos relevantes sobre a condição do acompanhamento das condicionalidades direcionadas às mulheres no programa. A investigação compõe o quadro de projetos desenvolvidos pelo Núcleo de Pesquisa e Estudos sobre Juventude, Identidade, Cidadania e Cultura (NPEJI), alocado no Mestrado em Família na Sociedade Contemporânea/Universidade Católica do Salvador (UCSAL) e aborda, além do tema aqui estudado, a interseção entre o Bolsa Família e o Programa Agente Jovem, objeto de análise de outros trabalhos da equipe.  </w:t>
      </w:r>
    </w:p>
    <w:p w:rsidR="003C742A" w:rsidRDefault="003C742A" w:rsidP="003C742A">
      <w:r>
        <w:tab/>
        <w:t xml:space="preserve">Os dados e depoimentos apresentados foram coletados entre os meses de setembro e outubro em 96 municípios baianos. O critério de seleção das localidades foi o valor numérico apresentado pela IGD e gestões respectivas durante o primeiro semestre de 2007, sendo incluídos no recorte espacial aquelas gestões que obtiveram o desempenho no programa inferior a 0,6, o que significa, segundo parâmetros do MDS, que as ações de oferta, monitoramento e fiscalização da política está aquém do objetivo traçado pelo governo. </w:t>
      </w:r>
    </w:p>
    <w:p w:rsidR="003C742A" w:rsidRDefault="003C742A" w:rsidP="003C742A">
      <w:pPr>
        <w:rPr>
          <w:color w:val="FF0000"/>
        </w:rPr>
      </w:pPr>
    </w:p>
    <w:p w:rsidR="003C742A" w:rsidRDefault="003C742A" w:rsidP="003C742A">
      <w:pPr>
        <w:spacing w:line="240" w:lineRule="auto"/>
        <w:rPr>
          <w:sz w:val="28"/>
          <w:szCs w:val="28"/>
        </w:rPr>
      </w:pPr>
      <w:r>
        <w:rPr>
          <w:sz w:val="28"/>
          <w:szCs w:val="28"/>
        </w:rPr>
        <w:t xml:space="preserve">2. Políticas de ações afirmativas ou manutenção de práticas assistencialistas? </w:t>
      </w:r>
    </w:p>
    <w:p w:rsidR="003C742A" w:rsidRDefault="003C742A" w:rsidP="003C742A"/>
    <w:p w:rsidR="003C742A" w:rsidRDefault="003C742A" w:rsidP="003C742A">
      <w:r>
        <w:t xml:space="preserve">Entre os meses de junho e julho de 2006, o Ministério do Desenvolvimento Social e Combate a Pobreza (MDS) em parceria com a Secretaria de Combate à Pobreza e às Desigualdades Sociais no Estado da Bahia (SECOMP) iniciaram a primeira etapa do Plano Estadual de Apoio aos Municípios, desenvolvido pelo Centro Educacional de Tecnologia em Administração (CETEAD). </w:t>
      </w:r>
    </w:p>
    <w:p w:rsidR="003C742A" w:rsidRDefault="003C742A" w:rsidP="003C742A">
      <w:pPr>
        <w:ind w:firstLine="708"/>
      </w:pPr>
      <w:r>
        <w:t>O objetivo principal do projeto foi de acompanhar e apoiar as gestões municipais baianas do Bolsa Família no que diz respeito a dois aspectos: à intersetorialidade entre as esferas envolvidas (Governo Federal, Estado, Prefeituras e Caixa Econômica Federal) e a eficiência da gestão descentralizada proposta pelo programa.</w:t>
      </w:r>
    </w:p>
    <w:p w:rsidR="003C742A" w:rsidRDefault="003C742A" w:rsidP="003C742A">
      <w:pPr>
        <w:ind w:firstLine="708"/>
      </w:pPr>
      <w:r>
        <w:t xml:space="preserve">A primeira etapa compreendeu a realização de Oficinas de Instância de Controle Social, das quais participei como apoio técnico. Esse momento foi criado para reunir os gestores e representantes da sociedade civil com o desejo de escutar e registrar as principais demandas locais em torno do objetivo geral. Ao todo, dos </w:t>
      </w:r>
      <w:r>
        <w:lastRenderedPageBreak/>
        <w:t>417 (quatrocentos e dezessete) municípios baianos, 387 (trezentos e oitenta e sete) participaram das 21 (vinte e uma) oficinas, o que resulta um percentual de aproximadamente 93% (noventa e três) do estado.</w:t>
      </w:r>
    </w:p>
    <w:p w:rsidR="003C742A" w:rsidRDefault="003C742A" w:rsidP="003C742A">
      <w:pPr>
        <w:ind w:firstLine="708"/>
      </w:pPr>
      <w:r>
        <w:t xml:space="preserve"> O caminho percorrido enveredou pela metodologia quantitativa e qualitativa. Diante dos resultados da primeira etapa que acabamos de descrever – Oficinas de Instância de Controle Social com a presença de mais de seiscentos e cinqüenta e oito pessoas (658), entre gestores municipais e sociedade civil – onde verificamos os problemas mais freqüentes e os principais desafios do programa, pudemos traçar um mapa das questões essenciais que queríamos abordar com o desejo de conhecer e analisar a realidade relativa ao cumprimento das condicionalidades em âmbito local. </w:t>
      </w:r>
    </w:p>
    <w:p w:rsidR="003C742A" w:rsidRDefault="003C742A" w:rsidP="003C742A">
      <w:r>
        <w:t xml:space="preserve">O ponto de partida foi construído a partir de tal levantamento que possibilitou a produção de números que estão traduzidos em três pontos relevantes: 1. Problemas de comunicação entre as esferas envolvidas no programa; 2. Problemas de informação entre os sistemas e instrumentos de fiscalização do programa; e 3. Problemas e desafios envolvidos na organização social municipal referente ao cumprimento das condicionalidades da política pública. </w:t>
      </w:r>
    </w:p>
    <w:p w:rsidR="003C742A" w:rsidRDefault="003C742A" w:rsidP="003C742A">
      <w:r>
        <w:t>Foram aplicados na segunda etapa do projeto, noventa e seis (96) questionários envolvendo os representantes municipais (gestores, secretários, diretores de escolas, médicos, enfermeiras, agentes de saúde e assistentes sociais). Posicionamo-nos diante da seguinte reflexão: Há alguma interferência sensível dos problemas de comunicação e organização social enfrentados pelo PBF no atendimento e desenvolvimento do programa? Munidas de tais informações elaboramos um questionário dividido com enfoque nas áreas da educação, saúde e assistência social. Para a análise em questão, selecionamos o quadro das condicionalidades ofertadas pelos dois últimos enfoques.</w:t>
      </w:r>
    </w:p>
    <w:p w:rsidR="003C742A" w:rsidRDefault="003C742A" w:rsidP="003C742A"/>
    <w:p w:rsidR="003C742A" w:rsidRDefault="003C742A" w:rsidP="003C742A"/>
    <w:p w:rsidR="003C742A" w:rsidRDefault="003C742A" w:rsidP="003C742A">
      <w:pPr>
        <w:suppressAutoHyphens/>
        <w:spacing w:line="240" w:lineRule="auto"/>
        <w:jc w:val="center"/>
        <w:rPr>
          <w:sz w:val="20"/>
          <w:szCs w:val="20"/>
        </w:rPr>
      </w:pPr>
      <w:r>
        <w:rPr>
          <w:sz w:val="20"/>
          <w:szCs w:val="20"/>
        </w:rPr>
        <w:t>Tabela 01. Resultado Geral dos 96 municípios entrevistados. Dados referentes à situação da Saúde no acompanhamento das famílias beneficiárias pelo Programa Bolsa Família.</w:t>
      </w:r>
    </w:p>
    <w:p w:rsidR="003C742A" w:rsidRDefault="00572729" w:rsidP="003C742A">
      <w:r>
        <w:rPr>
          <w:noProof/>
          <w:lang w:eastAsia="pt-BR"/>
        </w:rPr>
        <w:drawing>
          <wp:inline distT="0" distB="0" distL="0" distR="0">
            <wp:extent cx="5610225" cy="866775"/>
            <wp:effectExtent l="19050" t="0" r="9525" b="0"/>
            <wp:docPr id="11" name="Imagem 2" descr="Tabe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abela 22"/>
                    <pic:cNvPicPr>
                      <a:picLocks noChangeAspect="1" noChangeArrowheads="1"/>
                    </pic:cNvPicPr>
                  </pic:nvPicPr>
                  <pic:blipFill>
                    <a:blip r:embed="rId18" cstate="print"/>
                    <a:srcRect/>
                    <a:stretch>
                      <a:fillRect/>
                    </a:stretch>
                  </pic:blipFill>
                  <pic:spPr bwMode="auto">
                    <a:xfrm>
                      <a:off x="0" y="0"/>
                      <a:ext cx="5610225" cy="866775"/>
                    </a:xfrm>
                    <a:prstGeom prst="rect">
                      <a:avLst/>
                    </a:prstGeom>
                    <a:noFill/>
                    <a:ln w="9525">
                      <a:noFill/>
                      <a:miter lim="800000"/>
                      <a:headEnd/>
                      <a:tailEnd/>
                    </a:ln>
                  </pic:spPr>
                </pic:pic>
              </a:graphicData>
            </a:graphic>
          </wp:inline>
        </w:drawing>
      </w:r>
    </w:p>
    <w:p w:rsidR="003C742A" w:rsidRDefault="003C742A" w:rsidP="003C742A">
      <w:pPr>
        <w:spacing w:line="240" w:lineRule="auto"/>
      </w:pPr>
      <w:r>
        <w:rPr>
          <w:iCs/>
          <w:sz w:val="20"/>
          <w:szCs w:val="20"/>
        </w:rPr>
        <w:lastRenderedPageBreak/>
        <w:t>Fonte:</w:t>
      </w:r>
      <w:r>
        <w:rPr>
          <w:sz w:val="20"/>
          <w:szCs w:val="20"/>
        </w:rPr>
        <w:t xml:space="preserve"> Elaboração da autora. Dados coletados em 96 municípios baianos</w:t>
      </w:r>
      <w:r>
        <w:rPr>
          <w:rStyle w:val="Refdenotaderodap"/>
          <w:sz w:val="20"/>
          <w:szCs w:val="20"/>
        </w:rPr>
        <w:footnoteReference w:id="43"/>
      </w:r>
      <w:r>
        <w:rPr>
          <w:sz w:val="20"/>
          <w:szCs w:val="20"/>
        </w:rPr>
        <w:t xml:space="preserve"> entre 10/2006 e 12/2006 com IGD menor que 0,6. </w:t>
      </w:r>
    </w:p>
    <w:p w:rsidR="003C742A" w:rsidRDefault="003C742A" w:rsidP="003C742A"/>
    <w:p w:rsidR="003C742A" w:rsidRDefault="003C742A" w:rsidP="003C742A"/>
    <w:p w:rsidR="003C742A" w:rsidRDefault="003C742A" w:rsidP="003C742A"/>
    <w:p w:rsidR="003C742A" w:rsidRDefault="003C742A" w:rsidP="003C742A"/>
    <w:p w:rsidR="003C742A" w:rsidRDefault="003C742A" w:rsidP="003C742A">
      <w:pPr>
        <w:suppressAutoHyphens/>
        <w:spacing w:line="240" w:lineRule="auto"/>
        <w:jc w:val="center"/>
        <w:rPr>
          <w:sz w:val="20"/>
          <w:szCs w:val="20"/>
        </w:rPr>
      </w:pPr>
      <w:r>
        <w:rPr>
          <w:sz w:val="20"/>
          <w:szCs w:val="20"/>
        </w:rPr>
        <w:t>Tabela 02. Resultado Geral dos 96 municípios entrevistados. Dados referentes à situação da Assistência Social às famílias beneficiárias pelo Programa Bolsa Família.</w:t>
      </w:r>
    </w:p>
    <w:p w:rsidR="003C742A" w:rsidRDefault="00572729" w:rsidP="003C742A">
      <w:r>
        <w:rPr>
          <w:noProof/>
          <w:lang w:eastAsia="pt-BR"/>
        </w:rPr>
        <w:drawing>
          <wp:inline distT="0" distB="0" distL="0" distR="0">
            <wp:extent cx="5610225" cy="1190625"/>
            <wp:effectExtent l="19050" t="0" r="9525" b="0"/>
            <wp:docPr id="6" name="Imagem 3" descr="Tabe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Tabela 23"/>
                    <pic:cNvPicPr>
                      <a:picLocks noChangeAspect="1" noChangeArrowheads="1"/>
                    </pic:cNvPicPr>
                  </pic:nvPicPr>
                  <pic:blipFill>
                    <a:blip r:embed="rId19" cstate="print"/>
                    <a:srcRect/>
                    <a:stretch>
                      <a:fillRect/>
                    </a:stretch>
                  </pic:blipFill>
                  <pic:spPr bwMode="auto">
                    <a:xfrm>
                      <a:off x="0" y="0"/>
                      <a:ext cx="5610225" cy="1190625"/>
                    </a:xfrm>
                    <a:prstGeom prst="rect">
                      <a:avLst/>
                    </a:prstGeom>
                    <a:noFill/>
                    <a:ln w="9525">
                      <a:noFill/>
                      <a:miter lim="800000"/>
                      <a:headEnd/>
                      <a:tailEnd/>
                    </a:ln>
                  </pic:spPr>
                </pic:pic>
              </a:graphicData>
            </a:graphic>
          </wp:inline>
        </w:drawing>
      </w:r>
    </w:p>
    <w:p w:rsidR="003C742A" w:rsidRDefault="003C742A" w:rsidP="003C742A">
      <w:pPr>
        <w:spacing w:line="240" w:lineRule="auto"/>
      </w:pPr>
      <w:r>
        <w:rPr>
          <w:iCs/>
          <w:sz w:val="20"/>
          <w:szCs w:val="20"/>
        </w:rPr>
        <w:t>Fonte:</w:t>
      </w:r>
      <w:r>
        <w:rPr>
          <w:sz w:val="20"/>
          <w:szCs w:val="20"/>
        </w:rPr>
        <w:t xml:space="preserve"> Elaboração da autora. Dados coletados em 96 municípios baianos entre 10/2006 e 12/2006 com IGD menor que 0,6. </w:t>
      </w:r>
    </w:p>
    <w:p w:rsidR="003C742A" w:rsidRDefault="003C742A" w:rsidP="003C742A"/>
    <w:p w:rsidR="003C742A" w:rsidRDefault="003C742A" w:rsidP="003C742A"/>
    <w:p w:rsidR="003C742A" w:rsidRDefault="003C742A" w:rsidP="003C742A">
      <w:r>
        <w:tab/>
        <w:t xml:space="preserve">Para a saúde encontramos um contexto que legitima os índices para essa condicionalidade que não apresentou melhorias entre o mês de julho de 2006 e março de 2007. Somente registram o acompanhamento realizado nos postos de saúde da família (PSFs) e outros pontos de atendimento 58,96% dos entrevistados. Dessa parcela, apenas 6,37% apresentam os relatórios à gestão do programa e 78,52% enviam diretamente ao Sistema de Vigilância Alimentar e Nutricional (SISVAN). Todavia, os índices nulos relacionados ao Índice Condicionalidade Saúde (ICS), ou seja, o não recebimento do acompanhamento pelas equipes de saúde como mostram os dados do Ministério da Saúde alertam para um problema: como poderia ao menos garantir que as </w:t>
      </w:r>
      <w:r>
        <w:lastRenderedPageBreak/>
        <w:t xml:space="preserve">famílias estivessem recebendo serviços básicos como pré-natal, vacinação, acompanhamento de peso e medida das crianças e orientações acerca do aleitamento materno? </w:t>
      </w:r>
    </w:p>
    <w:p w:rsidR="003C742A" w:rsidRDefault="003C742A" w:rsidP="003C742A">
      <w:r>
        <w:tab/>
        <w:t xml:space="preserve">Porém, a situação da Assistência Social ofertada às famílias nesses municípios talvez seja o problema mais grave enfrentado pelo programa na atividade de priorizar esse grupo social como unidade interventora da política, principalmente as mulheres. Devemos, antes de qualquer crítica apontar que essa área é a única que não possui valor numérico que participe e interfira diretamente no cálculo do IGD e, portanto, na avaliação do programa e das gestões locais. Isso significa que a Assistência Social possui uma função de suporte às ações complementares à saúde e à educação, para não esquecermos o CADÚNICO. Só 6,38% do universo pesquisado possuem instrumentos para acompanhar as condicionalidades. </w:t>
      </w:r>
    </w:p>
    <w:p w:rsidR="003C742A" w:rsidRDefault="003C742A" w:rsidP="003C742A">
      <w:r>
        <w:tab/>
        <w:t xml:space="preserve">Ressaltamos também, o fato de que em muitos casos, a Secretaria de Assistência Social é a responsável pela gestão do programa. 25,21% informam que possuem algum plano de aplicação do recurso repassado de acordo com os valores alcançados pelo IGD, o que traduz uma frágil atuação no que tange à proposta de aplicação dos recursos disponibilizados pelo MDS à melhoria da política através da promoção de programas complementares de geração de renda e de educação de jovens e adultos, símbolos da porta de saída do PBF. </w:t>
      </w:r>
    </w:p>
    <w:p w:rsidR="003C742A" w:rsidRDefault="003C742A" w:rsidP="003C742A">
      <w:r>
        <w:t xml:space="preserve">Desses 25,21%, somente 19,43% constroem atividades que integrem a Assistência Social e o PBF. Menos da metade possui o Centro de Referência da Assistência Social (CRAS), o que torna ainda mais fraca a atuação desse setor nos municípios já que para receber alguns benefícios e programas sociais ofertados por estes devem estar habilitados nesse conselho, inclusive o próprio recurso IGD que só é repassado àqueles nessa condição. </w:t>
      </w:r>
    </w:p>
    <w:p w:rsidR="003C742A" w:rsidRDefault="003C742A" w:rsidP="003C742A">
      <w:r>
        <w:tab/>
        <w:t xml:space="preserve">E, por fim, um número gritante: só 3,24% das gestões PBF aplicam os recursos do IGD nos planos de ação do CRAS.  A partir desse quadro, percebemos que as ferramentas de controle social que compõe o mecanismo de gestão dos benefícios ainda precisam colocar as pedras ordenadas que formem a longa estrada da Bolsa Família. </w:t>
      </w:r>
    </w:p>
    <w:p w:rsidR="003C742A" w:rsidRDefault="003C742A" w:rsidP="003C742A">
      <w:r>
        <w:tab/>
        <w:t>A terceira</w:t>
      </w:r>
      <w:r>
        <w:rPr>
          <w:rStyle w:val="Refdenotaderodap"/>
        </w:rPr>
        <w:footnoteReference w:id="44"/>
      </w:r>
      <w:r>
        <w:t xml:space="preserve"> etapa da pesquisa, a realização de grupos focais com as famílias beneficiárias, onde em sua totalidade foram compostos por mulheres jovens, traz outros aspectos relevantes que nos conduzem a responder de forma clara o argumento do IPEA e da agência VOXPOPULIS sobre a simbologia do </w:t>
      </w:r>
      <w:r>
        <w:lastRenderedPageBreak/>
        <w:t xml:space="preserve">empoderamento da mulher, representado pela posse do cartão de benefícios e pela presença feminina majoritária nos cargos de gestor municipal do programa. Com efeito, o universo de quatrocentos e cinqüenta e três (453) representantes municipais distribuídos pelas trezentas e oitenta sete localidades baianas indica numericamente a predominância das mulheres na gestão do Bolsa Família como mostra o gráfico 01. De fato, os relatos das mulheres beneficiárias do programa que participaram dos grupos focais caminham na contramão da idéia de gênero construída pelo governo federal e pela visão econômica do IPEA. </w:t>
      </w:r>
    </w:p>
    <w:p w:rsidR="003C742A" w:rsidRDefault="003C742A" w:rsidP="003C742A"/>
    <w:p w:rsidR="003C742A" w:rsidRDefault="003C742A" w:rsidP="003C742A"/>
    <w:p w:rsidR="003C742A" w:rsidRDefault="003C742A" w:rsidP="003C742A"/>
    <w:p w:rsidR="003C742A" w:rsidRDefault="003C742A" w:rsidP="003C742A">
      <w:pPr>
        <w:keepNext/>
        <w:spacing w:line="240" w:lineRule="auto"/>
        <w:ind w:left="2835" w:right="3117"/>
        <w:jc w:val="center"/>
        <w:rPr>
          <w:sz w:val="20"/>
          <w:szCs w:val="20"/>
        </w:rPr>
      </w:pPr>
      <w:r>
        <w:rPr>
          <w:sz w:val="20"/>
          <w:szCs w:val="20"/>
        </w:rPr>
        <w:t>GRÁFICO 01 – Presença Feminina na Gestão do Programa Bolsa Família em 387 municípios baianos.</w:t>
      </w:r>
    </w:p>
    <w:p w:rsidR="003C742A" w:rsidRDefault="003C742A" w:rsidP="003C742A">
      <w:pPr>
        <w:keepNext/>
        <w:spacing w:line="240" w:lineRule="auto"/>
        <w:ind w:right="3117"/>
        <w:rPr>
          <w:sz w:val="20"/>
          <w:szCs w:val="20"/>
        </w:rPr>
      </w:pPr>
    </w:p>
    <w:p w:rsidR="003C742A" w:rsidRDefault="00572729" w:rsidP="003C742A">
      <w:pPr>
        <w:keepNext/>
        <w:spacing w:line="240" w:lineRule="auto"/>
        <w:ind w:right="3117"/>
        <w:jc w:val="center"/>
        <w:rPr>
          <w:sz w:val="20"/>
          <w:szCs w:val="20"/>
        </w:rPr>
      </w:pPr>
      <w:r>
        <w:rPr>
          <w:noProof/>
          <w:lang w:eastAsia="pt-BR"/>
        </w:rPr>
        <w:drawing>
          <wp:anchor distT="0" distB="0" distL="114300" distR="114300" simplePos="0" relativeHeight="251619840" behindDoc="0" locked="0" layoutInCell="1" allowOverlap="1">
            <wp:simplePos x="0" y="0"/>
            <wp:positionH relativeFrom="column">
              <wp:align>center</wp:align>
            </wp:positionH>
            <wp:positionV relativeFrom="paragraph">
              <wp:posOffset>3810</wp:posOffset>
            </wp:positionV>
            <wp:extent cx="3438525" cy="1628775"/>
            <wp:effectExtent l="19050" t="0" r="9525" b="0"/>
            <wp:wrapNone/>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grayscl/>
                    </a:blip>
                    <a:srcRect/>
                    <a:stretch>
                      <a:fillRect/>
                    </a:stretch>
                  </pic:blipFill>
                  <pic:spPr bwMode="auto">
                    <a:xfrm>
                      <a:off x="0" y="0"/>
                      <a:ext cx="3438525" cy="1628775"/>
                    </a:xfrm>
                    <a:prstGeom prst="rect">
                      <a:avLst/>
                    </a:prstGeom>
                    <a:noFill/>
                    <a:ln w="9525">
                      <a:noFill/>
                      <a:miter lim="800000"/>
                      <a:headEnd/>
                      <a:tailEnd/>
                    </a:ln>
                  </pic:spPr>
                </pic:pic>
              </a:graphicData>
            </a:graphic>
          </wp:anchor>
        </w:drawing>
      </w:r>
    </w:p>
    <w:p w:rsidR="003C742A" w:rsidRDefault="003C742A" w:rsidP="003C742A">
      <w:pPr>
        <w:jc w:val="center"/>
      </w:pPr>
    </w:p>
    <w:p w:rsidR="003C742A" w:rsidRDefault="003C742A" w:rsidP="003C742A"/>
    <w:p w:rsidR="003C742A" w:rsidRDefault="003C742A" w:rsidP="003C742A"/>
    <w:p w:rsidR="003C742A" w:rsidRDefault="003C742A" w:rsidP="003C742A"/>
    <w:p w:rsidR="003C742A" w:rsidRDefault="003C742A" w:rsidP="003C742A"/>
    <w:p w:rsidR="003C742A" w:rsidRDefault="003C742A" w:rsidP="003C742A">
      <w:pPr>
        <w:tabs>
          <w:tab w:val="left" w:pos="7305"/>
        </w:tabs>
      </w:pPr>
      <w:r>
        <w:tab/>
      </w:r>
    </w:p>
    <w:p w:rsidR="003C742A" w:rsidRDefault="003C742A" w:rsidP="003C742A">
      <w:pPr>
        <w:keepNext/>
        <w:spacing w:line="240" w:lineRule="auto"/>
        <w:ind w:left="1843" w:right="1840"/>
        <w:rPr>
          <w:sz w:val="20"/>
          <w:szCs w:val="20"/>
        </w:rPr>
      </w:pPr>
      <w:r>
        <w:rPr>
          <w:sz w:val="20"/>
          <w:szCs w:val="20"/>
        </w:rPr>
        <w:t>Fonte: Elaboração da autora. Dados obtidos nas Oficinas da Instância de Controle Social. Junho/junho 2006, Salvador, BA.</w:t>
      </w:r>
    </w:p>
    <w:p w:rsidR="003C742A" w:rsidRDefault="003C742A" w:rsidP="003C742A"/>
    <w:p w:rsidR="003C742A" w:rsidRDefault="003C742A" w:rsidP="003C742A"/>
    <w:p w:rsidR="003C742A" w:rsidRDefault="003C742A" w:rsidP="003C742A">
      <w:r>
        <w:tab/>
        <w:t xml:space="preserve">Devemos lembrar a memória histórica que traz a feminização da trajetória de algumas profissões no Brasil, originada por valores sociais e caracterizada inclusive, pela segregação de gênero ou por conotações discriminatórias (por serem funções que se aproximam da idéia dos deveres maternos e cuidados familiares), como se observa a área da assistência social no Brasil. (JACOBSEN, 2003). </w:t>
      </w:r>
    </w:p>
    <w:p w:rsidR="003C742A" w:rsidRDefault="003C742A" w:rsidP="003C742A">
      <w:r>
        <w:tab/>
        <w:t xml:space="preserve">Aliado a esse contexto, nos remetemos mais uma vez ao fato de que na maioria dos municípios, a gestão do programa é responsabilidade da assistência social e, portanto, uma atividade inserida no universo majoritariamente feminino. Fator que indica a fragilidade do argumento dos economistas do IPEA (MEDEIROS ET </w:t>
      </w:r>
      <w:r>
        <w:lastRenderedPageBreak/>
        <w:t xml:space="preserve">AL, 2007) acerca do aumento da autonomia da mulher na vida pública local: os números que apresentamos confirmam uma quase tradição na distribuição ocupacional entre os setores brasileiros e apontam que ainda é perigoso trabalhar em cima de informações inconsistentes. </w:t>
      </w:r>
    </w:p>
    <w:p w:rsidR="003C742A" w:rsidRDefault="003C742A" w:rsidP="003C742A">
      <w:r>
        <w:tab/>
        <w:t xml:space="preserve">Ao lermos os resultados da pesquisa realizada pela agência Voxpopulis, que traz como tema central o aumento do “empoderamento das mulheres” simbolicamente representado pela posse do cartão de benefícios do programa, indagamos que debates sobre relações de gênero a sociedade brasileira, os meios de comunicação e o Estado estão propondo e protagonizando. O governo federal parece satisfeito com as considerações do IPEA (MEDEIROS et al, 2007) e do relatório final de atividades das Ações em Gênero, Cidadania e Desenvolvimento (AGENDE/MDS, 2006), ao abordar “os papéis de gênero”. </w:t>
      </w:r>
    </w:p>
    <w:p w:rsidR="003C742A" w:rsidRDefault="003C742A" w:rsidP="003C742A">
      <w:r>
        <w:t xml:space="preserve">De acordo com a AGENDE (2006), </w:t>
      </w:r>
    </w:p>
    <w:p w:rsidR="003C742A" w:rsidRDefault="003C742A" w:rsidP="003C742A">
      <w:pPr>
        <w:spacing w:line="240" w:lineRule="auto"/>
        <w:ind w:left="2268"/>
        <w:rPr>
          <w:sz w:val="20"/>
          <w:szCs w:val="20"/>
        </w:rPr>
      </w:pPr>
      <w:r>
        <w:rPr>
          <w:sz w:val="20"/>
          <w:szCs w:val="20"/>
        </w:rPr>
        <w:t xml:space="preserve">a mudança que requer mais atenção, tanto por ser generalizada como por se constituir na mais sólida das bases para a saída da condição de pobreza, é o fato de as mulheres terem começado a tomar consciência, do significado da cidadania. </w:t>
      </w:r>
    </w:p>
    <w:p w:rsidR="003C742A" w:rsidRDefault="003C742A" w:rsidP="003C742A"/>
    <w:p w:rsidR="003C742A" w:rsidRDefault="003C742A" w:rsidP="003C742A">
      <w:r>
        <w:tab/>
        <w:t xml:space="preserve">Por outro lado, os programas de transferência de renda são acusados de contribuir para a manutenção das desigualdades presentes nesse debate ao longo da história das políticas sociais que adotam esse modelo. Essa “acusação”, embora não seja mais divulgada entre os analistas dos PGRMs, está vinculada à idéia de que a renda seria a responsável pela retirada das mulheres do mercado de trabalho para se dedicarem aos cuidados dos filhos, parentes idosos ou que portasse alguma necessidade especial. (MEDEIROS et al, 2007).  </w:t>
      </w:r>
    </w:p>
    <w:p w:rsidR="003C742A" w:rsidRDefault="003C742A" w:rsidP="003C742A">
      <w:r>
        <w:t xml:space="preserve">De acordo com a pesquisa, </w:t>
      </w:r>
    </w:p>
    <w:p w:rsidR="003C742A" w:rsidRDefault="003C742A" w:rsidP="003C742A">
      <w:pPr>
        <w:spacing w:line="240" w:lineRule="auto"/>
        <w:ind w:left="2268"/>
        <w:rPr>
          <w:sz w:val="20"/>
          <w:szCs w:val="20"/>
        </w:rPr>
      </w:pPr>
      <w:r>
        <w:rPr>
          <w:sz w:val="20"/>
          <w:szCs w:val="20"/>
        </w:rPr>
        <w:t xml:space="preserve">programas condicionais, como o Bolsa Família, teriam um papel mais perverso ainda, pois forçariam as mulheres à tarefa adicional de assegurar que as crianças cumprissem as condicionalidades de saúde e educação. Já se viu anteriormente que não é razoável crer que as transferências de um programa como o Bolsa Família tenham impactos negativos significativos sobre a participação no mercado de trabalho das famílias beneficiarias; ao contrário, ele pode até mesmo aumentar essa participação. E, à medida que os programas tenham impacto sobre a escolarização, o razoável é assumir que podem liberar parte do tempo das mulheres envolvidas no cuidado infantil para exercer outras atividades, inclusive remuneradas. (MEDEIROS et al, 2007, p.22). </w:t>
      </w:r>
    </w:p>
    <w:p w:rsidR="003C742A" w:rsidRDefault="003C742A" w:rsidP="003C742A">
      <w:pPr>
        <w:spacing w:line="240" w:lineRule="auto"/>
        <w:ind w:left="2268"/>
        <w:rPr>
          <w:sz w:val="20"/>
          <w:szCs w:val="20"/>
        </w:rPr>
      </w:pPr>
    </w:p>
    <w:p w:rsidR="003C742A" w:rsidRDefault="003C742A" w:rsidP="003C742A">
      <w:pPr>
        <w:rPr>
          <w:szCs w:val="24"/>
        </w:rPr>
      </w:pPr>
    </w:p>
    <w:p w:rsidR="003C742A" w:rsidRDefault="003C742A" w:rsidP="003C742A">
      <w:pPr>
        <w:rPr>
          <w:szCs w:val="24"/>
        </w:rPr>
      </w:pPr>
      <w:r>
        <w:rPr>
          <w:szCs w:val="24"/>
        </w:rPr>
        <w:t xml:space="preserve">Identificamos pontos de reflexão essenciais para essa questão: 1) Cumprimentos das condicionalidades X Manutenção/Autonomia nos espaços público e privado; 2) O significado da cidadania e sua relação com a posse </w:t>
      </w:r>
      <w:r>
        <w:rPr>
          <w:szCs w:val="24"/>
        </w:rPr>
        <w:lastRenderedPageBreak/>
        <w:t xml:space="preserve">do cartão/recebimento do benefício pelas mulheres; 3) Ações complementares do programa e a participação das mulheres no mercado de trabalho. </w:t>
      </w:r>
    </w:p>
    <w:p w:rsidR="003C742A" w:rsidRDefault="003C742A" w:rsidP="003C742A">
      <w:pPr>
        <w:rPr>
          <w:szCs w:val="24"/>
        </w:rPr>
      </w:pPr>
      <w:r>
        <w:rPr>
          <w:szCs w:val="24"/>
        </w:rPr>
        <w:t xml:space="preserve">Tendo em vista os números resultantes da pesquisa com amostragem de noventa e seis municípios baianos sobre o acompanhamento das condicionalidades de saúde e assistência social, iremos aproveitar esse quadro para refletir sobre os pontos que acabamos de levantar. A primeira questão nos reporta à distância das prerrogativas sobre gênero presente entre a intenção e o gesto, nas mentalidades que trilham caminhos onde a vida privada cruza a estrada da vida pública no processo de mistura de sentimentos e percepções sobre os papéis de homens e mulheres. Esses, por sua vez, enveredam por posições extremistas, a citar a função protetora masculina e a imagem da mulher cuidadora. (ARAÚJO &amp; SCALON, 2006).  </w:t>
      </w:r>
    </w:p>
    <w:p w:rsidR="003C742A" w:rsidRDefault="003C742A" w:rsidP="003C742A">
      <w:pPr>
        <w:rPr>
          <w:szCs w:val="24"/>
        </w:rPr>
      </w:pPr>
      <w:r>
        <w:rPr>
          <w:szCs w:val="24"/>
        </w:rPr>
        <w:t xml:space="preserve">Em quase sua totalidade, a mulher/mãe é a responsável legal pelo recebimento do benefício, informações familiares no Cadastramento Único e pelo cumprimento das condicionalidades. Ao responsável cabe, enfim, o monitoramento das atividades exigidas como contrapartida pelo governo federal, ou seja, garantir a presença das crianças e adolescentes na escola, atualização do cartão de vacinação de crianças entre 0 e 6 anos e freqüência nas consultas médicas de pré-natal (gestantes), campanhas de aleitamento materno, dentre outras. </w:t>
      </w:r>
    </w:p>
    <w:p w:rsidR="003C742A" w:rsidRDefault="003C742A" w:rsidP="003C742A">
      <w:pPr>
        <w:rPr>
          <w:szCs w:val="24"/>
        </w:rPr>
      </w:pPr>
      <w:r>
        <w:rPr>
          <w:szCs w:val="24"/>
        </w:rPr>
        <w:t xml:space="preserve">É verdade que esse quadro de atividades descritas não se distancia muito do cotidiano das famílias brasileiras; no entanto, os depoimentos das mulheres nos grupos focais produzidos para uma amostra de vinte grupos (aproximadamente vinte e um por cento -21% das localidades avaliadas) delineiam as percepções que elas vivenciam. O perfil geral das participantes aponta um alto nível de desemprego e o exercício de prestação de serviços bem esporádico. Quando questionadas sobre a relação trabalho/família/maternidade, 56,8% concordam plenamente que, ao trabalhar fora, a mulher contribui para a melhoria da qualidade de vida da família e 73,4% acredita ser esse o caminho da conquista de sua independência. </w:t>
      </w:r>
      <w:r>
        <w:rPr>
          <w:szCs w:val="24"/>
        </w:rPr>
        <w:tab/>
        <w:t xml:space="preserve">Quase 80% declararam que a educação dos filhos é prejudicada pela ausência das mães. </w:t>
      </w:r>
      <w:r>
        <w:rPr>
          <w:i/>
          <w:szCs w:val="24"/>
        </w:rPr>
        <w:t>“A educação é o que eu posso deixar para meus filhos, sem ela, eles não terão chance na vida”</w:t>
      </w:r>
      <w:r>
        <w:rPr>
          <w:szCs w:val="24"/>
        </w:rPr>
        <w:t xml:space="preserve">, afirma Gilvânia, 24 anos, casada, empregada doméstica. Retomando a idéia sobre </w:t>
      </w:r>
      <w:r>
        <w:t xml:space="preserve">a importância da família, destacamos a reflexão da antropóloga Cintya Sarti (2005) que nos lembra que essa instituição não é </w:t>
      </w:r>
      <w:r>
        <w:rPr>
          <w:i/>
        </w:rPr>
        <w:t xml:space="preserve">“funcional”, </w:t>
      </w:r>
      <w:r>
        <w:t xml:space="preserve">idéia afinada com o discurso apresentado pelas mulheres dos grupos: os papéis e as funções delegadas a cada pessoa estão mais ligados à identidade que se constrói a cada problema ou situação enfrentados do que uma estruturação bem definida das atividades e símbolos das figuras maternas e paternas, masculinas e femininas. </w:t>
      </w:r>
    </w:p>
    <w:p w:rsidR="003C742A" w:rsidRDefault="003C742A" w:rsidP="003C742A">
      <w:r>
        <w:lastRenderedPageBreak/>
        <w:tab/>
        <w:t xml:space="preserve">Acreditamos dessa forma que há uma distinção bem clara acerca do significado dos vínculos biológicos e afetivos que permeiam as relações familiares e sociais dessas pessoas. No universo das famílias pobres, a divisão entre o mundo público e o privado é mais complexa, desenrolando-se uma série de questões: ela passa a não mais se constituir como núcleo, ainda que numericamente a consideremos como família nuclear (pai, mãe e filhos), mas </w:t>
      </w:r>
      <w:r>
        <w:rPr>
          <w:i/>
        </w:rPr>
        <w:t>“como uma rede, com ramificações que envolvem a rede de parentesco como um todo, configurando uma trama de obrigações morais que enreda seus membros...”</w:t>
      </w:r>
      <w:r>
        <w:t xml:space="preserve">, afirma Sarti. (2005, p.70).   </w:t>
      </w:r>
    </w:p>
    <w:p w:rsidR="003C742A" w:rsidRDefault="003C742A" w:rsidP="003C742A">
      <w:r>
        <w:tab/>
        <w:t xml:space="preserve">Essa rede assume não somente a condução dos aspectos da vida privada, mas, sobretudo, inicia uma ação de compartilhar e de ajuda mútua, uma verdadeira rede de solidariedade, com a relativização de papéis, na maior parte do tempo impulsionada pelas necessidades diárias de sobrevivência, das relações intrafamiliares e de sua dinâmica. </w:t>
      </w:r>
    </w:p>
    <w:p w:rsidR="003C742A" w:rsidRDefault="003C742A" w:rsidP="003C742A">
      <w:r>
        <w:tab/>
        <w:t xml:space="preserve">Em paralelo, quando colocadas diante de perguntas como “quem é o (a) chefe de família em sua casa?” Surge pela primeira vez um discurso discordante entre os participantes. </w:t>
      </w:r>
      <w:r>
        <w:rPr>
          <w:i/>
        </w:rPr>
        <w:t>“Quem tem que ganhar o dinheiro, dar o sustento é meu marido. Mas quem decide o que fazer com o dinheiro é eu, eu não sou a mulher da casa?”</w:t>
      </w:r>
      <w:r>
        <w:t xml:space="preserve"> responde Gilvânia com um olhar de enfrentamento às outras mulheres que mostraram um posicionamento distinto para o mesmo tema. </w:t>
      </w:r>
    </w:p>
    <w:p w:rsidR="003C742A" w:rsidRDefault="003C742A" w:rsidP="003C742A">
      <w:r>
        <w:tab/>
        <w:t xml:space="preserve">Esse fato lembrado por Silvana, 22 anos, casada, dona de casa, nos remete a citar que o próprio Bolsa Família coloca como prioridade de delegação do responsável legal pelo recebimento do benefício, a mãe, a figura feminina, por considerar que a mulher possui um caráter de maior responsabilidade e confiança para gerir os gastos do benefício. </w:t>
      </w:r>
    </w:p>
    <w:p w:rsidR="003C742A" w:rsidRDefault="003C742A" w:rsidP="003C742A">
      <w:r>
        <w:tab/>
        <w:t xml:space="preserve">Entretanto, esse elemento não garante uma análise de ordem geral para nosso estudo: a figura do homem ganha um sentido mais relacionado ao papel de “protetor” da família, </w:t>
      </w:r>
      <w:r>
        <w:rPr>
          <w:i/>
        </w:rPr>
        <w:t>“de intermediário entre a família e o mundo externo, em seu papel de guardião da respeitabilidade familiar”</w:t>
      </w:r>
      <w:r>
        <w:t xml:space="preserve">, superando a autoridade ligada ao sustento financeiro do grupo e ganhando a posição de proteção contra os diversos tipos de violências ou a manutenção do vínculo matrimonial, essa última idéia destacada por Sílvia Carbonera. (SARTI, 2005, p.70; CARBONERA, 1999).  </w:t>
      </w:r>
    </w:p>
    <w:p w:rsidR="003C742A" w:rsidRDefault="003C742A" w:rsidP="003C742A">
      <w:pPr>
        <w:spacing w:line="240" w:lineRule="auto"/>
        <w:ind w:left="2268"/>
        <w:rPr>
          <w:sz w:val="20"/>
          <w:szCs w:val="20"/>
        </w:rPr>
      </w:pPr>
      <w:r>
        <w:rPr>
          <w:sz w:val="20"/>
          <w:szCs w:val="20"/>
        </w:rPr>
        <w:t>Aqui em casa quem manda sou eu. Quem sustenta meus filhos sou eu. Quando falta o pão, sou eu que dou jeito. Isso não quer dizer que o pai não seja importante. É bom para as crianças a presença dele. E eu me sinto mais segura. Com homem dentro de casa, os de fora vai pensar duas vezes em fazer alguma coisa contra eu e meus filhos. (Depoimento de Luzinete, 23 anos, casada, 5 filhos, faxineira).</w:t>
      </w:r>
    </w:p>
    <w:p w:rsidR="003C742A" w:rsidRDefault="003C742A" w:rsidP="003C742A"/>
    <w:p w:rsidR="003C742A" w:rsidRDefault="003C742A" w:rsidP="003C742A"/>
    <w:p w:rsidR="003C742A" w:rsidRDefault="003C742A" w:rsidP="003C742A">
      <w:r>
        <w:tab/>
        <w:t xml:space="preserve">A conquista de cidadania dessas mulheres, portanto, não é determinada em geral pela posse do cartão e recebimento do benefício, mas sim pela construção diária de identidades, da definição de papéis e pela luta cotidiana do equilíbrio entre as responsabilidades dos gêneros. </w:t>
      </w:r>
      <w:r>
        <w:tab/>
        <w:t xml:space="preserve">Segundo Nathalie Reis Itaboraí (2005), um resumo comparativo entre dois modelos de família (o patriarcal e o eudemonista) caracteriza a história do direito desses grupos no Brasil. Grande parte das falas denuncia esse contexto, novos paradigmas presentes nos princípios educativos e nos padrões da moralidade dos costumes familiares. Por outro lado, se as condicionalidades estipuladas pelo governo são direcionadas ao bem-estar social de crianças, adolescentes e mães, não estabelecendo uma política de intervenção direta ao bem-estar social dos demais integrantes das famílias encontramos nas declarações das mulheres elementos não apenas de relações de poder, a exemplo do posicionamento de Gilvânia, mas, sobretudo, a manutenção de uma relação de interdependência, de ajuda mútua. </w:t>
      </w:r>
    </w:p>
    <w:p w:rsidR="003C742A" w:rsidRDefault="003C742A" w:rsidP="003C742A">
      <w:r>
        <w:tab/>
        <w:t xml:space="preserve">De acordo com as falas, o benefício em sua maioria é utilizado em bens materiais para os filhos, o que não significa que não sirva em algumas ocasiões para o bem-estar de todos os membros do grupo. </w:t>
      </w:r>
      <w:r>
        <w:rPr>
          <w:i/>
        </w:rPr>
        <w:t>“Com o dinheiro do cartão (Bolsa Família), a gente pode comprar outras coisas: falta um caderno, às vezes o menino precisa de um sapato ou mesmo remédio. Não resolve tudo, mais ajuda sim”.</w:t>
      </w:r>
      <w:r>
        <w:t xml:space="preserve"> Nesse sentido, vemos a importância do argumento de Robert Castel estar presente na formulação e implantação de uma política como essa: uma sociedade de semelhantes e não de iguais: </w:t>
      </w:r>
    </w:p>
    <w:p w:rsidR="003C742A" w:rsidRDefault="003C742A" w:rsidP="003C742A">
      <w:pPr>
        <w:spacing w:line="240" w:lineRule="auto"/>
        <w:ind w:left="2268"/>
      </w:pPr>
      <w:r>
        <w:rPr>
          <w:sz w:val="20"/>
          <w:szCs w:val="20"/>
        </w:rPr>
        <w:t xml:space="preserve">Uma sociedade de semelhantes é uma sociedade diferenciada, portanto, hierarquizada, mas na qual todos os membros podem manter relações de interdependência porque eles dispõem de um fundo de recursos comuns e de direitos </w:t>
      </w:r>
      <w:r>
        <w:t xml:space="preserve">comuns.  (CASTEL, 2005, p.36). </w:t>
      </w:r>
    </w:p>
    <w:p w:rsidR="003C742A" w:rsidRDefault="003C742A" w:rsidP="003C742A"/>
    <w:p w:rsidR="003C742A" w:rsidRDefault="003C742A" w:rsidP="003C742A">
      <w:r>
        <w:tab/>
        <w:t xml:space="preserve">Contudo, encontramos outro desafio na concretização de uma sociedade de semelhantes: ao reconhecermos que as famílias se estruturam a partir de relações de poder, o que é inegável, haja vista as relações de gênero e geracionais, reafirmamos o pressuposto, como aponta Itaboraí, de que tais relações </w:t>
      </w:r>
    </w:p>
    <w:p w:rsidR="003C742A" w:rsidRDefault="003C742A" w:rsidP="003C742A">
      <w:pPr>
        <w:spacing w:line="240" w:lineRule="auto"/>
        <w:ind w:left="2268"/>
        <w:rPr>
          <w:sz w:val="20"/>
          <w:szCs w:val="20"/>
        </w:rPr>
      </w:pPr>
      <w:r>
        <w:rPr>
          <w:sz w:val="20"/>
          <w:szCs w:val="20"/>
        </w:rPr>
        <w:t xml:space="preserve">não garantem uma redistribuição equânime de recursos, o que torna fantasiosa a expressão renda per capita, acena para a necessidade de pensar a tensão indivíduo - família e o papel que o Estado pode ter para assegurar o bem estar individual e familiar. (ITABORAÍ, 2005, p.04). </w:t>
      </w:r>
    </w:p>
    <w:p w:rsidR="003C742A" w:rsidRDefault="003C742A" w:rsidP="003C742A">
      <w:r>
        <w:tab/>
      </w:r>
    </w:p>
    <w:p w:rsidR="003C742A" w:rsidRDefault="003C742A" w:rsidP="003C742A">
      <w:r>
        <w:lastRenderedPageBreak/>
        <w:t xml:space="preserve">Desejamos dizer que diante de tal situação, há um excesso de responsabilidades delegadas às famílias e principalmente às mulheres, quando o Estado e o mercado não conseguem controlar socialmente os impactos provocados por mudanças relativas ao trabalho, à educação, a saúde e a própria assistência social traduzindo uma realidade perversa como caracteriza Ana Maria Goldani (2002) vivida pelo processo de </w:t>
      </w:r>
      <w:r>
        <w:rPr>
          <w:i/>
        </w:rPr>
        <w:t>“passagem da mobilização de recursos da pobreza para a pobreza de recursos”</w:t>
      </w:r>
      <w:r>
        <w:t xml:space="preserve">. O discurso do empoderamento da mulher se torna frágil a partir das argumentações apresentadas pelos estudos aqui citados: os espaços familiares em sua maioria demonstram diferentes e contrárias percepções para a mulher e para o homem, contexto para qual Joan Scott traz sua contribuição, quando declara que, </w:t>
      </w:r>
    </w:p>
    <w:p w:rsidR="003C742A" w:rsidRDefault="003C742A" w:rsidP="003C742A"/>
    <w:p w:rsidR="003C742A" w:rsidRDefault="003C742A" w:rsidP="003C742A">
      <w:pPr>
        <w:spacing w:line="240" w:lineRule="auto"/>
        <w:ind w:left="2268"/>
      </w:pPr>
      <w:r>
        <w:rPr>
          <w:sz w:val="20"/>
          <w:szCs w:val="20"/>
        </w:rPr>
        <w:t xml:space="preserve">Não existem soluções simples para as questões, debatidas calorosamente, da igualdade e da diferença, dos direitos individuais e das identidades de grupo; de que posicioná-los como conceitos opostos significa perder o ponto de suas interconexões. Pelo contrário, reconhecer e manter uma tensão necessária entre igualdade e diferença, entre direitos individuais e identidades grupais, é o que possibilita encontrarmos resultados melhores e mais democráticos. (SCOTT, 2005, p.12).  </w:t>
      </w:r>
    </w:p>
    <w:p w:rsidR="003C742A" w:rsidRDefault="003C742A" w:rsidP="003C742A">
      <w:pPr>
        <w:pStyle w:val="Recuodecorpodetexto"/>
      </w:pPr>
    </w:p>
    <w:p w:rsidR="003C742A" w:rsidRDefault="003C742A" w:rsidP="003C742A"/>
    <w:p w:rsidR="003C742A" w:rsidRDefault="003C742A" w:rsidP="003C742A">
      <w:r>
        <w:tab/>
        <w:t>Em terceiro lugar, ao analisarmos a relação entre o incentivo à participação das mulheres no mercado de trabalho e o Bolsa Família, verificamos que o estudo do IPEA e o relatório da AGENDE trabalharam com o parâmetro da transferência direta de renda, omitindo a avaliação de números sobre as ações complementares previstas ao programa através de suas diretrizes. Do ponto de vista do “crédito”, é viável afirmarmos que a política está sendo eficiente ao cumprir as metas estabelecidas de famílias pobres beneficiárias (com base nas estimativas da PNAD e do Instituto Brasileiro e Geográfico de Estatísticas – IBGE para os anos de 2006).</w:t>
      </w:r>
    </w:p>
    <w:p w:rsidR="003C742A" w:rsidRDefault="003C742A" w:rsidP="003C742A">
      <w:r>
        <w:tab/>
        <w:t xml:space="preserve">Todavia, acreditamos que as ações mais concretas e efetivas para a promoção da emancipação têm nos programas complementares de geração de empregos e renda e de alfabetização de jovens e adultos, talvez um âmbito maior de oportunidades. A oferta desses serviços integra a contrapartida municipal, sobretudo, como atividades obrigatórias da agenda social das gestões locais. O planejamento da política prevê um repasse financeiro complementar às gestões do Bolsa Família para o desenvolvimento de tais ações,  estabelecidos de acordo com os números indicativos do índice de Gestão Descentralizado (IGD) que resulta na média dos índices da saúde, educação e cadastramento único local. </w:t>
      </w:r>
    </w:p>
    <w:p w:rsidR="003C742A" w:rsidRDefault="003C742A" w:rsidP="003C742A">
      <w:r>
        <w:lastRenderedPageBreak/>
        <w:t xml:space="preserve">Entretanto, as estatísticas levantadas pela Tabela 02 traçam a precária condição de ofertas da assistência social a essas famílias e mulheres beneficiárias. Retomando os números anteriormente analisados, apenas 6,38% da assistência social dos municípios possuem instrumentos para acompanhar as condicionalidades do programa; 25,21% declararam a existência de um plano de aplicação dos recursos do IGD em ações voltadas para a garantia da porta de saída dos beneficiários. </w:t>
      </w:r>
    </w:p>
    <w:p w:rsidR="003C742A" w:rsidRDefault="003C742A" w:rsidP="003C742A">
      <w:r>
        <w:t xml:space="preserve">Quando muito, as atividades planejadas para o grupo feminino são direcionadas aos cursos de corte e costura, culinária e artesanato. Os depoimentos dos grupos focais confirmam o tímido trabalho realizado pela assistência que insistem em reproduzir os mesmos problemas e práticas assistencialistas que vêem se desenrolando ao longo do processo de implantação de políticas públicas no país. </w:t>
      </w:r>
      <w:r>
        <w:rPr>
          <w:i/>
        </w:rPr>
        <w:t>“A prefeitura oferece os cursos. Mas aqui a gente não tem a quem vender, então não adianta de nada”</w:t>
      </w:r>
      <w:r>
        <w:t xml:space="preserve">, ou seja, planejamento de metas a serem alcançadas que não consideram questões regionais, fatores favoráveis ao desenvolvimento local e a demanda específica do comércio. Ademais, quando não são oferecidas alternativas que venham contribuir para a diminuição do isolamento social, o aumento da emancipação feminina e de sua visibilidade no exercício de dialogar e de participação das deliberações da vida pública, o processo de desprivatização de suas experiências termina por reproduzir os problemas e obstáculos intergeracionais. </w:t>
      </w:r>
    </w:p>
    <w:p w:rsidR="003C742A" w:rsidRDefault="003C742A" w:rsidP="003C742A">
      <w:pPr>
        <w:spacing w:line="240" w:lineRule="auto"/>
        <w:ind w:left="2268"/>
        <w:rPr>
          <w:sz w:val="20"/>
          <w:szCs w:val="20"/>
        </w:rPr>
      </w:pPr>
      <w:r>
        <w:rPr>
          <w:sz w:val="20"/>
          <w:szCs w:val="20"/>
        </w:rPr>
        <w:t xml:space="preserve">O reconhecimento da maior vulnerabilidade social das mulheres é também o reconhecimento de que sistemas de subordinações de cruzam, como os de classe, de raça e de gênero, o que me leva a insistir que políticas de ações afirmativas se fazem necessárias mais no sentido de minimizar discriminações por conta de identidades político-culturais, como o ser mulher, ser negra, ser jovem ou ser mais velha – não ao azar grupos mais vulneráveis, ou que vêm se destacando entre os que se encontram em relações mais precárias de trabalho, no setor informal, no serviço doméstico, em formas de terceirização, trabalhos a tempo parcial e domiciliar. (CASTRO, 1999, p. 90). </w:t>
      </w:r>
    </w:p>
    <w:p w:rsidR="003C742A" w:rsidRDefault="003C742A" w:rsidP="003C742A"/>
    <w:p w:rsidR="003C742A" w:rsidRDefault="003C742A" w:rsidP="003C742A">
      <w:r>
        <w:t xml:space="preserve">Mas alguns avanços já começam a mudar a cara desse contexto: o programa “Mulher Cidadã”, implantado pelo município de Camaçari-BA em 2007, está contribuindo para progressos da garantia de autonomia financeira das mulheres participantes, através da superação do quadro de vulnerabilidade social apresentado ao ingresso no programa. Ressaltamos que o projeto teve a preocupação metodológica de estudar o mercado econômico local, visando determinar as oficinas de profissionalização.   </w:t>
      </w:r>
    </w:p>
    <w:p w:rsidR="003C742A" w:rsidRDefault="003C742A" w:rsidP="003C742A">
      <w:r>
        <w:t xml:space="preserve">O projeto traz objetivos de capacitar, valorizar e inserir as mulheres no mercado de trabalho. Ao total são 194 beneficiárias, que recebem o auxílio mensal de R$ 120,00, durante cinco meses, de segunda a sexta-feira, das </w:t>
      </w:r>
      <w:r>
        <w:lastRenderedPageBreak/>
        <w:t xml:space="preserve">15:00 às 19:00. A programação dos cursos tem como base, assuntos do dia-a-dia: saúde da mulher, auto-estima, cidadania, culinária, meio ambiente e o Brasil Alfabetizado (alfabetização de jovens e adultos). Para participar, as candidatas devem ser maiores de 16 anos e serem beneficiárias do Bolsa Família. </w:t>
      </w:r>
    </w:p>
    <w:p w:rsidR="003C742A" w:rsidRDefault="003C742A" w:rsidP="003C742A">
      <w:pPr>
        <w:rPr>
          <w:sz w:val="28"/>
          <w:szCs w:val="28"/>
        </w:rPr>
      </w:pPr>
    </w:p>
    <w:p w:rsidR="003C742A" w:rsidRDefault="003C742A" w:rsidP="003C742A">
      <w:pPr>
        <w:rPr>
          <w:sz w:val="28"/>
          <w:szCs w:val="28"/>
        </w:rPr>
      </w:pPr>
      <w:r>
        <w:rPr>
          <w:sz w:val="28"/>
          <w:szCs w:val="28"/>
        </w:rPr>
        <w:t>Considerações Finais</w:t>
      </w:r>
    </w:p>
    <w:p w:rsidR="003C742A" w:rsidRDefault="003C742A" w:rsidP="003C742A">
      <w:pPr>
        <w:keepNext/>
        <w:spacing w:line="240" w:lineRule="auto"/>
        <w:ind w:right="3117"/>
        <w:rPr>
          <w:sz w:val="20"/>
          <w:szCs w:val="20"/>
        </w:rPr>
      </w:pPr>
    </w:p>
    <w:p w:rsidR="003C742A" w:rsidRDefault="003C742A" w:rsidP="003C742A">
      <w:pPr>
        <w:spacing w:line="240" w:lineRule="auto"/>
      </w:pPr>
    </w:p>
    <w:p w:rsidR="003C742A" w:rsidRDefault="003C742A" w:rsidP="003C742A">
      <w:r>
        <w:t>De fato, não podemos contestar, diante de estatísticas apresentadas, que políticas públicas tipologicamente planejadas pela transferência de renda direta são instrumentos eficazes na ação de reduzir desigualdades sociais. Entretanto, como pondera a socióloga Maria Alice Setubal (diretora-presidente do Centro de Estudos e Pesquisas em Educação, Cultura e Ação Comunitária e fundadora e presidente da Fundação Tide Setubal), precisamos “ir mais além” na formulação de críticas e análises. Se, de certa forma, os números que indicam que a dupla citada acima foi responsável pela diminuição em um quarto das posições desiguais na sociedade entre os beneficiários, precisamos não apenas olhar, mas enxergar os desafios do programa que aumentam à proporção de sua extensão.</w:t>
      </w:r>
    </w:p>
    <w:p w:rsidR="003C742A" w:rsidRDefault="003C742A" w:rsidP="003C742A">
      <w:pPr>
        <w:spacing w:line="240" w:lineRule="auto"/>
        <w:ind w:left="2268"/>
        <w:rPr>
          <w:sz w:val="20"/>
          <w:szCs w:val="20"/>
        </w:rPr>
      </w:pPr>
    </w:p>
    <w:p w:rsidR="003C742A" w:rsidRDefault="003C742A" w:rsidP="003C742A">
      <w:pPr>
        <w:spacing w:line="240" w:lineRule="auto"/>
        <w:ind w:left="2268"/>
        <w:rPr>
          <w:sz w:val="20"/>
          <w:szCs w:val="20"/>
        </w:rPr>
      </w:pPr>
      <w:r>
        <w:rPr>
          <w:sz w:val="20"/>
          <w:szCs w:val="20"/>
        </w:rPr>
        <w:t>Se, por um lado, a transferência de renda diretamente às famílias pobres tem se mostrado muito mais eficaz do que o emprego de mecanismos indiretos de subsídios de preços, por outro, adotada como medida isolada, quase nada contribuirá para tirar as famílias do ciclo de pobreza a que estão submetidas geração após geração. (FOLHA DE SÃO PAULO, 11/09/2007).</w:t>
      </w:r>
    </w:p>
    <w:p w:rsidR="003C742A" w:rsidRDefault="003C742A" w:rsidP="003C742A"/>
    <w:p w:rsidR="003C742A" w:rsidRDefault="003C742A" w:rsidP="003C742A">
      <w:r>
        <w:t xml:space="preserve">Concordamos com a mesma reflexão que Setubal elabora: é essencial para uma coerência de discursos e práticas, que o trabalho descentralizado e intersetorial previsto pela política assumam efetivamente lugares e papéis entre as esferas envolvidas, federal, estadual e municipal. Ao advogar essa problemática, a socióloga indica três necessidades que precisam estar integradas às ações do programa: 1. O trabalho de compreender e valorizar as dinâmicas intrafamiliares e a relação das famílias na comunidade; 2. O reconhecimento da importância de características regionais no desenvolvimento de programas que venham atender as demandas específicas dos municípios; 3. A constituição de equipes competentes, bem qualificadas e compromissadas com as políticas sociais de sustentabilidade. </w:t>
      </w:r>
    </w:p>
    <w:p w:rsidR="003C742A" w:rsidRDefault="003C742A" w:rsidP="003C742A">
      <w:r>
        <w:lastRenderedPageBreak/>
        <w:t xml:space="preserve">Além disso, acreditamos que apesar da atribuição de determinar normas fuja em boa parte das atuais competências dos governos municipais, as possibilidades favoráveis dos gestores em introduzir inovações que fortaleçam a democracia são em número maiores em vista das unidades administradas – menor população, maior homogeneidade dos problemas e desafios locais. (RITTEL &amp; WEBBER, 2000). </w:t>
      </w:r>
    </w:p>
    <w:p w:rsidR="003C742A" w:rsidRDefault="003C742A" w:rsidP="003C742A">
      <w:pPr>
        <w:spacing w:line="240" w:lineRule="auto"/>
        <w:ind w:left="2268"/>
        <w:rPr>
          <w:sz w:val="20"/>
          <w:szCs w:val="20"/>
        </w:rPr>
      </w:pPr>
      <w:r>
        <w:rPr>
          <w:sz w:val="20"/>
          <w:szCs w:val="20"/>
        </w:rPr>
        <w:t xml:space="preserve">Assim, aos governos municipais apresenta-se a oportunidade de levar a efeito uma gestão participativa que resulte na criação do espaço público como lugar de validação da realidade social inteira, por meio da visualização das experiências vividas, dos problemas enfrentados e dos interesses defendidos pelos mais diversos atores sociais. Perante a existência de um espaço público dessa natureza não se poderia ignorar a necessidade de idealizar políticas especificas, pelo menos enquanto existam indivíduos e grupos isolados das esferas de tomada de decisão, e excluídos dos direitos sociais e econômicos básicos. (SUÁREZ et al, 2002, p.77). </w:t>
      </w:r>
    </w:p>
    <w:p w:rsidR="003C742A" w:rsidRDefault="003C742A" w:rsidP="003C742A"/>
    <w:p w:rsidR="003C742A" w:rsidRDefault="003C742A" w:rsidP="003C742A">
      <w:r>
        <w:t>Partilhamos da compreensão de que o programa além de não trazer claramente em sua normativa legal, o reconhecimento das competências das famílias na sua organização interna e na superação de suas dificuldades, responde muito menos a prometida primazia da responsabilidade do Estado no fomento de políticas integradas de apoio à família e às mulheres.</w:t>
      </w:r>
    </w:p>
    <w:p w:rsidR="003C742A" w:rsidRDefault="003C742A" w:rsidP="003C742A">
      <w:r>
        <w:t>Na conquista dos meios necessários que possibilitem às mulheres defender idéias, propor debates e que garantam espaços de equidade social, o Programa Bolsa Família caminha lentamente na melhoria e crescimento dessa realidade. É essencial o aperfeiçoamento de políticas afirmativas que trabalhem no combate à redução das desigualdades de gênero, reconhecendo que tais ações assumem na sociedade brasileira atual a mesma importância da rede de proteção social que balizam as condicionalidades do programa, reduzindo ranços e promovendo avanços para o aumento do empoderamento feminino e ao enfrentamento da feminização da pobreza.</w:t>
      </w:r>
    </w:p>
    <w:p w:rsidR="003C742A" w:rsidRDefault="003C742A" w:rsidP="003C742A">
      <w:pPr>
        <w:spacing w:line="240" w:lineRule="auto"/>
      </w:pPr>
    </w:p>
    <w:p w:rsidR="003C742A" w:rsidRDefault="003C742A" w:rsidP="003C742A">
      <w:pPr>
        <w:spacing w:line="240" w:lineRule="auto"/>
      </w:pPr>
    </w:p>
    <w:p w:rsidR="003C742A" w:rsidRDefault="003C742A" w:rsidP="003C742A">
      <w:pPr>
        <w:spacing w:line="240" w:lineRule="auto"/>
      </w:pPr>
      <w:r>
        <w:t>REFERÊNCIAS</w:t>
      </w:r>
    </w:p>
    <w:p w:rsidR="003C742A" w:rsidRDefault="003C742A" w:rsidP="003C742A">
      <w:pPr>
        <w:spacing w:line="240" w:lineRule="auto"/>
        <w:ind w:left="720"/>
      </w:pPr>
    </w:p>
    <w:p w:rsidR="003C742A" w:rsidRDefault="003C742A" w:rsidP="003C742A">
      <w:pPr>
        <w:spacing w:line="240" w:lineRule="auto"/>
        <w:rPr>
          <w:b/>
          <w:szCs w:val="24"/>
        </w:rPr>
      </w:pPr>
    </w:p>
    <w:p w:rsidR="003C742A" w:rsidRDefault="003C742A" w:rsidP="003C742A">
      <w:pPr>
        <w:spacing w:line="240" w:lineRule="auto"/>
        <w:rPr>
          <w:szCs w:val="24"/>
        </w:rPr>
      </w:pPr>
      <w:r>
        <w:rPr>
          <w:b/>
          <w:szCs w:val="24"/>
        </w:rPr>
        <w:t>AÇÕES EM GÊNERO CIDADANIA E DESENVOLVIMENTO (AGENDE)</w:t>
      </w:r>
      <w:r>
        <w:rPr>
          <w:szCs w:val="24"/>
        </w:rPr>
        <w:t>. “O programa Bolsa Família e o enfrentamento das desigualdades de gênero: o desafio de promover o reordenamento do espaço doméstico e o acesso das mulheres ao espaço público”. Relatório final de atividades apresentado ao Ministério do Desenvolvimento Social e Combate à Fome (MDS) e ao Department for International Development (DFID). Mimeografado. Brasília, 2006.</w:t>
      </w:r>
    </w:p>
    <w:p w:rsidR="003C742A" w:rsidRDefault="003C742A" w:rsidP="003C742A">
      <w:pPr>
        <w:spacing w:line="240" w:lineRule="auto"/>
      </w:pPr>
    </w:p>
    <w:p w:rsidR="003C742A" w:rsidRDefault="003C742A" w:rsidP="003C742A">
      <w:pPr>
        <w:spacing w:line="240" w:lineRule="auto"/>
        <w:rPr>
          <w:szCs w:val="24"/>
        </w:rPr>
      </w:pPr>
      <w:r>
        <w:rPr>
          <w:szCs w:val="24"/>
        </w:rPr>
        <w:lastRenderedPageBreak/>
        <w:t xml:space="preserve">ARAÚJO, Clara &amp; SCALON, Celi. “Gênero e a distância entre a intenção e o gesto”. In: </w:t>
      </w:r>
      <w:r>
        <w:rPr>
          <w:b/>
          <w:szCs w:val="24"/>
        </w:rPr>
        <w:t>Revista Brasileira de Ciências Sociais</w:t>
      </w:r>
      <w:r>
        <w:rPr>
          <w:szCs w:val="24"/>
        </w:rPr>
        <w:t xml:space="preserve">. São Paulo, vol.21, nº62, outubro de 2006.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CARBONERA, Silvia Maria. “O papel jurídico do afeto nas relações de família”. In: </w:t>
      </w:r>
      <w:r>
        <w:rPr>
          <w:b/>
          <w:szCs w:val="24"/>
        </w:rPr>
        <w:t>Repensando o direito de família</w:t>
      </w:r>
      <w:r>
        <w:rPr>
          <w:i/>
          <w:szCs w:val="24"/>
        </w:rPr>
        <w:t>.</w:t>
      </w:r>
      <w:r>
        <w:rPr>
          <w:szCs w:val="24"/>
        </w:rPr>
        <w:t xml:space="preserve"> Belo Horizonte: IBDFAM, 1999.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CASTEL, Robert. “As armadilhas da exclusão”. In: BELFIORE-WANDERLEY, M., BOGUS, L. &amp; YAZBEK, M.C. </w:t>
      </w:r>
      <w:r>
        <w:rPr>
          <w:b/>
          <w:szCs w:val="24"/>
        </w:rPr>
        <w:t>Desigualdade e a questão social.</w:t>
      </w:r>
      <w:r>
        <w:rPr>
          <w:szCs w:val="24"/>
        </w:rPr>
        <w:t xml:space="preserve"> São Paulo: Educ, 2004. </w:t>
      </w:r>
    </w:p>
    <w:p w:rsidR="003C742A" w:rsidRDefault="003C742A" w:rsidP="003C742A">
      <w:pPr>
        <w:spacing w:line="240" w:lineRule="auto"/>
      </w:pPr>
    </w:p>
    <w:p w:rsidR="003C742A" w:rsidRDefault="003C742A" w:rsidP="003C742A">
      <w:pPr>
        <w:spacing w:line="240" w:lineRule="auto"/>
      </w:pPr>
      <w:r>
        <w:t xml:space="preserve">CASTRO, Mary Garcia. “Feminização da Pobreza em cenário neoliberal”. In: </w:t>
      </w:r>
      <w:r>
        <w:rPr>
          <w:b/>
        </w:rPr>
        <w:t>Anais da I Conferência Estadual da Mulher</w:t>
      </w:r>
      <w:r>
        <w:t xml:space="preserve">. Rio Grande do Sul: Coordenadoria Estadual da Mulher – Governo do Estado do Rio Grande do Sul, 1999. </w:t>
      </w:r>
    </w:p>
    <w:p w:rsidR="003C742A" w:rsidRDefault="003C742A" w:rsidP="003C742A">
      <w:pPr>
        <w:spacing w:line="240" w:lineRule="auto"/>
      </w:pPr>
    </w:p>
    <w:p w:rsidR="003C742A" w:rsidRDefault="003C742A" w:rsidP="003C742A">
      <w:pPr>
        <w:spacing w:line="240" w:lineRule="auto"/>
      </w:pPr>
      <w:r>
        <w:t xml:space="preserve">CAVALCANTI, Vanessa R. S. “Mujeres, derechos humanos y políticas públicas en Brasil”. </w:t>
      </w:r>
      <w:r>
        <w:rPr>
          <w:b/>
        </w:rPr>
        <w:t>Portuguese Studies Review</w:t>
      </w:r>
      <w:r>
        <w:t>. Peterborough, v. 12, n. 2, p. 189-208, 2005.</w:t>
      </w:r>
    </w:p>
    <w:p w:rsidR="003C742A" w:rsidRDefault="003C742A" w:rsidP="003C742A">
      <w:pPr>
        <w:spacing w:line="240" w:lineRule="auto"/>
      </w:pPr>
    </w:p>
    <w:p w:rsidR="003C742A" w:rsidRDefault="003C742A" w:rsidP="003C742A">
      <w:pPr>
        <w:spacing w:line="240" w:lineRule="auto"/>
      </w:pPr>
      <w:r>
        <w:t xml:space="preserve">COSTA, Ana Alice. “Gênero, Poder e Empoderamento das Mulheres”. Disponível através de </w:t>
      </w:r>
      <w:hyperlink r:id="rId21" w:history="1">
        <w:r>
          <w:rPr>
            <w:rStyle w:val="Hyperlink"/>
          </w:rPr>
          <w:t>www.agende.org.br</w:t>
        </w:r>
      </w:hyperlink>
      <w:r>
        <w:t xml:space="preserve">. Acessado em 23/08/2007. </w:t>
      </w:r>
    </w:p>
    <w:p w:rsidR="003C742A" w:rsidRDefault="003C742A" w:rsidP="003C742A">
      <w:pPr>
        <w:spacing w:line="240" w:lineRule="auto"/>
      </w:pPr>
    </w:p>
    <w:p w:rsidR="003C742A" w:rsidRDefault="003C742A" w:rsidP="003C742A">
      <w:pPr>
        <w:spacing w:line="240" w:lineRule="auto"/>
      </w:pPr>
      <w:r>
        <w:t xml:space="preserve">GOLDANI, Ana Maria. “Família, gênero e políticas: famílias brasileiras nos anos 90 e seus desafios como fator de proteção”. </w:t>
      </w:r>
      <w:r>
        <w:rPr>
          <w:b/>
        </w:rPr>
        <w:t>Revista Brasileira de Estudos de População.</w:t>
      </w:r>
      <w:r>
        <w:t xml:space="preserve"> São Paulo: Universidade Estadual de Campinas, 2002.</w:t>
      </w:r>
    </w:p>
    <w:p w:rsidR="003C742A" w:rsidRDefault="003C742A" w:rsidP="003C742A">
      <w:pPr>
        <w:spacing w:line="240" w:lineRule="auto"/>
        <w:rPr>
          <w:szCs w:val="24"/>
        </w:rPr>
      </w:pPr>
    </w:p>
    <w:p w:rsidR="003C742A" w:rsidRDefault="003C742A" w:rsidP="003C742A">
      <w:pPr>
        <w:pStyle w:val="WW-Default"/>
        <w:jc w:val="both"/>
        <w:rPr>
          <w:bCs/>
        </w:rPr>
      </w:pPr>
      <w:r>
        <w:rPr>
          <w:bCs/>
        </w:rPr>
        <w:t xml:space="preserve">HASENBALG, Carlos. “A distribuição de recursos familiares”. In: HASENBALG, Carlos &amp; SILVA, Nelson do Valle. </w:t>
      </w:r>
      <w:r>
        <w:rPr>
          <w:b/>
          <w:bCs/>
        </w:rPr>
        <w:t>Origens e destinos: desigualdades sociais ao longo da vida.</w:t>
      </w:r>
      <w:r>
        <w:rPr>
          <w:bCs/>
        </w:rPr>
        <w:t xml:space="preserve"> Rio de Janeiro: Topbooks, 2003.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ITABORAÍ, Nathalie Reis. “A proteção social da família brasileira contemporânea: reflexões sobre a dimensão simbólica das políticas públicas”. In: </w:t>
      </w:r>
      <w:r>
        <w:rPr>
          <w:b/>
          <w:szCs w:val="24"/>
        </w:rPr>
        <w:t>Anais do Seminário Famílias e Políticas Públicas</w:t>
      </w:r>
      <w:r>
        <w:rPr>
          <w:szCs w:val="24"/>
        </w:rPr>
        <w:t>. Porto Alegre: ABEP, 2005.</w:t>
      </w:r>
    </w:p>
    <w:p w:rsidR="003C742A" w:rsidRDefault="003C742A" w:rsidP="003C742A">
      <w:pPr>
        <w:spacing w:line="240" w:lineRule="auto"/>
        <w:rPr>
          <w:szCs w:val="24"/>
        </w:rPr>
      </w:pPr>
    </w:p>
    <w:p w:rsidR="003C742A" w:rsidRDefault="003C742A" w:rsidP="003C742A">
      <w:pPr>
        <w:spacing w:line="240" w:lineRule="auto"/>
        <w:rPr>
          <w:szCs w:val="24"/>
        </w:rPr>
      </w:pPr>
      <w:r>
        <w:rPr>
          <w:szCs w:val="24"/>
          <w:lang w:val="en-US"/>
        </w:rPr>
        <w:t xml:space="preserve">JACOBSEN, Joyce P. </w:t>
      </w:r>
      <w:r>
        <w:rPr>
          <w:b/>
          <w:szCs w:val="24"/>
          <w:lang w:val="en-US"/>
        </w:rPr>
        <w:t>The Economics of Gender</w:t>
      </w:r>
      <w:r>
        <w:rPr>
          <w:szCs w:val="24"/>
          <w:lang w:val="en-US"/>
        </w:rPr>
        <w:t xml:space="preserve">. </w:t>
      </w:r>
      <w:r>
        <w:rPr>
          <w:szCs w:val="24"/>
        </w:rPr>
        <w:t xml:space="preserve">Blackwell: Mass, 2003.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KIRKWOOD, Julieta. </w:t>
      </w:r>
      <w:r>
        <w:rPr>
          <w:b/>
          <w:szCs w:val="24"/>
          <w:lang w:val="es-ES_tradnl"/>
        </w:rPr>
        <w:t>Ser política en Chile: las feministas y los partidos políticos</w:t>
      </w:r>
      <w:r>
        <w:rPr>
          <w:szCs w:val="24"/>
          <w:lang w:val="es-ES_tradnl"/>
        </w:rPr>
        <w:t xml:space="preserve">. </w:t>
      </w:r>
      <w:r>
        <w:rPr>
          <w:szCs w:val="24"/>
        </w:rPr>
        <w:t xml:space="preserve">Santiago: FLACSO, 1986.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LEÓN, Maria Antonia García de. “Los Estudios de Género em España (Um balance)”. In: </w:t>
      </w:r>
      <w:r>
        <w:rPr>
          <w:b/>
          <w:szCs w:val="24"/>
        </w:rPr>
        <w:t>Revista Complutense de Madri</w:t>
      </w:r>
      <w:r>
        <w:rPr>
          <w:szCs w:val="24"/>
        </w:rPr>
        <w:t xml:space="preserve">. Espanha: vol. 10, n.’ 2:167-187, 1999. </w:t>
      </w:r>
    </w:p>
    <w:p w:rsidR="003C742A" w:rsidRDefault="003C742A" w:rsidP="003C742A">
      <w:pPr>
        <w:spacing w:line="240" w:lineRule="auto"/>
        <w:rPr>
          <w:szCs w:val="24"/>
        </w:rPr>
      </w:pPr>
    </w:p>
    <w:p w:rsidR="003C742A" w:rsidRDefault="003C742A" w:rsidP="003C742A">
      <w:pPr>
        <w:spacing w:line="240" w:lineRule="auto"/>
      </w:pPr>
      <w:r>
        <w:rPr>
          <w:szCs w:val="24"/>
        </w:rPr>
        <w:t xml:space="preserve">MEDEIROS, Marcelo, BRITTO, Tatiana &amp; SOARES, Fábio. “Programas Focalizados de Transferência de Renda no Brasil: Contribuições para o Debate”. In: </w:t>
      </w:r>
      <w:r>
        <w:rPr>
          <w:b/>
          <w:szCs w:val="24"/>
        </w:rPr>
        <w:t xml:space="preserve">Textos para Discussão. </w:t>
      </w:r>
      <w:r>
        <w:rPr>
          <w:szCs w:val="24"/>
        </w:rPr>
        <w:t xml:space="preserve">Brasília: IPEA, junho de 2007. </w:t>
      </w:r>
    </w:p>
    <w:p w:rsidR="003C742A" w:rsidRDefault="003C742A" w:rsidP="003C742A">
      <w:pPr>
        <w:rPr>
          <w:b/>
          <w:szCs w:val="24"/>
        </w:rPr>
      </w:pPr>
    </w:p>
    <w:p w:rsidR="003C742A" w:rsidRDefault="003C742A" w:rsidP="003C742A">
      <w:pPr>
        <w:spacing w:line="240" w:lineRule="auto"/>
        <w:rPr>
          <w:i/>
          <w:szCs w:val="24"/>
        </w:rPr>
      </w:pPr>
      <w:r>
        <w:rPr>
          <w:b/>
          <w:szCs w:val="24"/>
        </w:rPr>
        <w:t>Ministério do Desenvolvimento Social e Combate à Fome</w:t>
      </w:r>
      <w:r>
        <w:rPr>
          <w:i/>
          <w:szCs w:val="24"/>
        </w:rPr>
        <w:t xml:space="preserve">. </w:t>
      </w:r>
      <w:r>
        <w:rPr>
          <w:szCs w:val="24"/>
        </w:rPr>
        <w:t xml:space="preserve">“O Brasil e o Cumprimento da CEDAW”. In: Contra-Informe da Sociedade Civil. Ao VI Relatório Brasileiro à Convenção sobre a Eliminação de todas as formas de Discriminação contra a Mulher – CEDAW. Período de 2001-2005. Brasília: MDS, 2007. </w:t>
      </w:r>
    </w:p>
    <w:p w:rsidR="003C742A" w:rsidRDefault="003C742A" w:rsidP="003C742A">
      <w:pPr>
        <w:spacing w:line="240" w:lineRule="auto"/>
        <w:rPr>
          <w:i/>
          <w:szCs w:val="24"/>
        </w:rPr>
      </w:pPr>
    </w:p>
    <w:p w:rsidR="003C742A" w:rsidRDefault="003C742A" w:rsidP="003C742A">
      <w:pPr>
        <w:spacing w:line="240" w:lineRule="auto"/>
      </w:pPr>
      <w:r>
        <w:rPr>
          <w:b/>
          <w:szCs w:val="24"/>
        </w:rPr>
        <w:t>Ministério do Desenvolvimento Social e Combate à Fome</w:t>
      </w:r>
      <w:r>
        <w:rPr>
          <w:szCs w:val="24"/>
        </w:rPr>
        <w:t xml:space="preserve">. “Lei 10.836, de 09 de janeiro de 2004”. Disponível através de </w:t>
      </w:r>
      <w:hyperlink r:id="rId22" w:history="1">
        <w:r>
          <w:rPr>
            <w:rStyle w:val="Hyperlink"/>
            <w:szCs w:val="24"/>
          </w:rPr>
          <w:t>www.mds.gov.br</w:t>
        </w:r>
      </w:hyperlink>
    </w:p>
    <w:p w:rsidR="003C742A" w:rsidRDefault="003C742A" w:rsidP="003C742A">
      <w:pPr>
        <w:spacing w:line="240" w:lineRule="auto"/>
        <w:rPr>
          <w:szCs w:val="24"/>
        </w:rPr>
      </w:pPr>
    </w:p>
    <w:p w:rsidR="003C742A" w:rsidRDefault="003C742A" w:rsidP="003C742A">
      <w:pPr>
        <w:pStyle w:val="Textodenotadefim"/>
        <w:jc w:val="both"/>
        <w:rPr>
          <w:sz w:val="24"/>
          <w:szCs w:val="24"/>
          <w:lang w:val="es-ES_tradnl"/>
        </w:rPr>
      </w:pPr>
      <w:r>
        <w:rPr>
          <w:sz w:val="24"/>
          <w:szCs w:val="24"/>
        </w:rPr>
        <w:t xml:space="preserve">PALERMO, Alicia Itati. “Reseñas de las Actas del II Congreso Internacional Historia a Debate”. España: 2000. Disponible en: </w:t>
      </w:r>
      <w:hyperlink r:id="rId23" w:history="1">
        <w:r>
          <w:rPr>
            <w:rStyle w:val="Hyperlink"/>
            <w:sz w:val="24"/>
            <w:szCs w:val="24"/>
          </w:rPr>
          <w:t>www.h-debate.com</w:t>
        </w:r>
      </w:hyperlink>
      <w:r>
        <w:rPr>
          <w:sz w:val="24"/>
          <w:szCs w:val="24"/>
        </w:rPr>
        <w:t xml:space="preserve"> </w:t>
      </w:r>
    </w:p>
    <w:p w:rsidR="003C742A" w:rsidRDefault="003C742A" w:rsidP="003C742A">
      <w:pPr>
        <w:spacing w:line="240" w:lineRule="auto"/>
        <w:rPr>
          <w:b/>
          <w:szCs w:val="24"/>
          <w:lang w:val="es-ES_tradnl"/>
        </w:rPr>
      </w:pPr>
    </w:p>
    <w:p w:rsidR="003C742A" w:rsidRDefault="003C742A" w:rsidP="003C742A">
      <w:pPr>
        <w:spacing w:line="240" w:lineRule="auto"/>
        <w:rPr>
          <w:szCs w:val="24"/>
        </w:rPr>
      </w:pPr>
      <w:r>
        <w:rPr>
          <w:b/>
          <w:szCs w:val="24"/>
        </w:rPr>
        <w:t>Perfil das Famílias Beneficiárias do Programa Bolsa Família.</w:t>
      </w:r>
      <w:r>
        <w:rPr>
          <w:szCs w:val="24"/>
        </w:rPr>
        <w:t xml:space="preserve"> Brasília: MDS, março de 2007. Publicado em 22/08/2007. Disponível através do www.mds.gov.br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RITTEL Horst &amp; WEBBER, Melvin. </w:t>
      </w:r>
      <w:r>
        <w:rPr>
          <w:szCs w:val="24"/>
          <w:lang w:val="es-ES_tradnl"/>
        </w:rPr>
        <w:t xml:space="preserve">“Dilemas de uma teoría general de planeación”. In: VILLANUEVA, Luiz F. </w:t>
      </w:r>
      <w:r>
        <w:rPr>
          <w:b/>
          <w:szCs w:val="24"/>
          <w:lang w:val="es-ES_tradnl"/>
        </w:rPr>
        <w:t>Problemas públicos y agenda de gobierno</w:t>
      </w:r>
      <w:r>
        <w:rPr>
          <w:szCs w:val="24"/>
          <w:lang w:val="es-ES_tradnl"/>
        </w:rPr>
        <w:t xml:space="preserve">. </w:t>
      </w:r>
      <w:r>
        <w:rPr>
          <w:szCs w:val="24"/>
        </w:rPr>
        <w:t xml:space="preserve">México: Miguel Angel Porrua Editorial, 2000. p.161-188.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SARTI, Cynthia Andersen. “A família como ordem simbólica”. In: </w:t>
      </w:r>
      <w:r>
        <w:rPr>
          <w:b/>
          <w:szCs w:val="24"/>
        </w:rPr>
        <w:t>Revista de Psicologia USP</w:t>
      </w:r>
      <w:r>
        <w:rPr>
          <w:szCs w:val="24"/>
        </w:rPr>
        <w:t xml:space="preserve">. São Paulo: 2004, 15(3), p. 11/28. </w:t>
      </w:r>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SCOTT, Joan W. “O enigma da igualdade”. In: </w:t>
      </w:r>
      <w:r>
        <w:rPr>
          <w:b/>
          <w:szCs w:val="24"/>
        </w:rPr>
        <w:t>Estudos Feministas</w:t>
      </w:r>
      <w:r>
        <w:rPr>
          <w:szCs w:val="24"/>
        </w:rPr>
        <w:t xml:space="preserve">. Florianópolis, 13(1): 216, janeiro-abril, 2005. Disponível através de </w:t>
      </w:r>
      <w:hyperlink r:id="rId24" w:history="1">
        <w:r>
          <w:rPr>
            <w:rStyle w:val="Hyperlink"/>
            <w:szCs w:val="24"/>
          </w:rPr>
          <w:t>www.scielo.org.br</w:t>
        </w:r>
      </w:hyperlink>
    </w:p>
    <w:p w:rsidR="003C742A" w:rsidRDefault="003C742A" w:rsidP="003C742A">
      <w:pPr>
        <w:spacing w:line="240" w:lineRule="auto"/>
        <w:rPr>
          <w:szCs w:val="24"/>
        </w:rPr>
      </w:pPr>
    </w:p>
    <w:p w:rsidR="003C742A" w:rsidRDefault="003C742A" w:rsidP="003C742A">
      <w:pPr>
        <w:spacing w:line="240" w:lineRule="auto"/>
        <w:rPr>
          <w:szCs w:val="24"/>
        </w:rPr>
      </w:pPr>
      <w:r>
        <w:rPr>
          <w:szCs w:val="24"/>
        </w:rPr>
        <w:t xml:space="preserve">SETUBAL, Maria Alice. “Muito além da transferência de renda”. In: </w:t>
      </w:r>
      <w:r>
        <w:rPr>
          <w:b/>
          <w:szCs w:val="24"/>
        </w:rPr>
        <w:t>Tendências/Debates</w:t>
      </w:r>
      <w:r>
        <w:rPr>
          <w:i/>
          <w:szCs w:val="24"/>
        </w:rPr>
        <w:t>.</w:t>
      </w:r>
      <w:r>
        <w:rPr>
          <w:szCs w:val="24"/>
        </w:rPr>
        <w:t xml:space="preserve"> São Paulo: Folha de São Paulo. 11/09/2007.</w:t>
      </w:r>
    </w:p>
    <w:p w:rsidR="003C742A" w:rsidRDefault="003C742A" w:rsidP="003C742A">
      <w:pPr>
        <w:spacing w:line="240" w:lineRule="auto"/>
        <w:rPr>
          <w:szCs w:val="24"/>
          <w:lang w:eastAsia="pt-BR"/>
        </w:rPr>
      </w:pPr>
    </w:p>
    <w:p w:rsidR="003C742A" w:rsidRDefault="003C742A" w:rsidP="003C742A">
      <w:pPr>
        <w:spacing w:line="240" w:lineRule="auto"/>
        <w:rPr>
          <w:szCs w:val="24"/>
          <w:lang w:eastAsia="pt-BR"/>
        </w:rPr>
      </w:pPr>
      <w:r>
        <w:rPr>
          <w:szCs w:val="24"/>
          <w:lang w:eastAsia="pt-BR"/>
        </w:rPr>
        <w:t xml:space="preserve">SOARES, Fábio. V. </w:t>
      </w:r>
      <w:r>
        <w:rPr>
          <w:i/>
          <w:iCs/>
          <w:szCs w:val="24"/>
          <w:lang w:eastAsia="pt-BR"/>
        </w:rPr>
        <w:t>et. al</w:t>
      </w:r>
      <w:r>
        <w:rPr>
          <w:szCs w:val="24"/>
          <w:lang w:eastAsia="pt-BR"/>
        </w:rPr>
        <w:t>. “</w:t>
      </w:r>
      <w:r>
        <w:rPr>
          <w:iCs/>
          <w:szCs w:val="24"/>
          <w:lang w:eastAsia="pt-BR"/>
        </w:rPr>
        <w:t>Programas de transferência de renda no Brasil</w:t>
      </w:r>
      <w:r>
        <w:rPr>
          <w:szCs w:val="24"/>
          <w:lang w:eastAsia="pt-BR"/>
        </w:rPr>
        <w:t xml:space="preserve">: impactos sobre a desigualdade”. In: </w:t>
      </w:r>
      <w:r>
        <w:rPr>
          <w:b/>
          <w:szCs w:val="24"/>
          <w:lang w:eastAsia="pt-BR"/>
        </w:rPr>
        <w:t>Textos para Discussão</w:t>
      </w:r>
      <w:r>
        <w:rPr>
          <w:szCs w:val="24"/>
          <w:lang w:eastAsia="pt-BR"/>
        </w:rPr>
        <w:t xml:space="preserve">. Nº 1228. Brasília: IPEA, 2006. </w:t>
      </w:r>
    </w:p>
    <w:p w:rsidR="003C742A" w:rsidRDefault="003C742A" w:rsidP="003C742A">
      <w:pPr>
        <w:spacing w:line="240" w:lineRule="auto"/>
        <w:rPr>
          <w:szCs w:val="24"/>
          <w:lang w:eastAsia="pt-BR"/>
        </w:rPr>
      </w:pPr>
    </w:p>
    <w:p w:rsidR="003C742A" w:rsidRDefault="003C742A" w:rsidP="003C742A">
      <w:pPr>
        <w:spacing w:line="240" w:lineRule="auto"/>
      </w:pPr>
      <w:r>
        <w:rPr>
          <w:szCs w:val="24"/>
          <w:lang w:eastAsia="pt-BR"/>
        </w:rPr>
        <w:t xml:space="preserve">SUÁREZ, Mireya, TEIXEIRA, Marlene &amp; CLEAVER, Ana Julieta Teodoro. “Gestão Local e Desigualdades de Gênero”. In: </w:t>
      </w:r>
      <w:r>
        <w:rPr>
          <w:b/>
          <w:szCs w:val="24"/>
          <w:lang w:eastAsia="pt-BR"/>
        </w:rPr>
        <w:t>Cadernos AGENDE.</w:t>
      </w:r>
      <w:r>
        <w:rPr>
          <w:szCs w:val="24"/>
          <w:lang w:eastAsia="pt-BR"/>
        </w:rPr>
        <w:t xml:space="preserve"> Brasília: AGENDE, 2002. </w:t>
      </w:r>
    </w:p>
    <w:p w:rsidR="00771796" w:rsidRDefault="00771796" w:rsidP="009741F1"/>
    <w:p w:rsidR="003C742A" w:rsidRDefault="003C742A" w:rsidP="009741F1"/>
    <w:p w:rsidR="003C742A" w:rsidRDefault="003C742A" w:rsidP="009741F1"/>
    <w:p w:rsidR="003C742A" w:rsidRDefault="003C742A"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 xml:space="preserve">Nome </w:t>
            </w:r>
          </w:p>
          <w:p w:rsidR="00771796" w:rsidRPr="00397550" w:rsidRDefault="00397550" w:rsidP="00397550">
            <w:pPr>
              <w:spacing w:line="240" w:lineRule="auto"/>
              <w:rPr>
                <w:rFonts w:ascii="Times New Roman" w:hAnsi="Times New Roman"/>
                <w:sz w:val="24"/>
                <w:szCs w:val="24"/>
              </w:rPr>
            </w:pPr>
            <w:r w:rsidRPr="00397550">
              <w:rPr>
                <w:rFonts w:ascii="Times New Roman" w:hAnsi="Times New Roman"/>
                <w:sz w:val="24"/>
                <w:szCs w:val="24"/>
              </w:rPr>
              <w:t>ECONOMIA FEMINISTA: UMA PROPOSTA EPISTEMOLÓGICA EM DEFESA DO PLURALISMO</w:t>
            </w:r>
          </w:p>
        </w:tc>
        <w:tc>
          <w:tcPr>
            <w:tcW w:w="1873" w:type="dxa"/>
            <w:vMerge w:val="restart"/>
            <w:shd w:val="clear" w:color="auto" w:fill="auto"/>
          </w:tcPr>
          <w:p w:rsidR="00771796" w:rsidRPr="001E2C63" w:rsidRDefault="00771796" w:rsidP="00505E82">
            <w:pPr>
              <w:spacing w:line="240" w:lineRule="auto"/>
              <w:rPr>
                <w:rFonts w:ascii="Times New Roman" w:hAnsi="Times New Roman"/>
                <w:b/>
                <w:sz w:val="36"/>
                <w:szCs w:val="36"/>
              </w:rPr>
            </w:pPr>
            <w:r>
              <w:rPr>
                <w:rFonts w:ascii="Times New Roman" w:hAnsi="Times New Roman"/>
                <w:b/>
                <w:sz w:val="36"/>
                <w:szCs w:val="36"/>
              </w:rPr>
              <w:t>A 00</w:t>
            </w:r>
            <w:r w:rsidR="003C742A">
              <w:rPr>
                <w:rFonts w:ascii="Times New Roman" w:hAnsi="Times New Roman"/>
                <w:b/>
                <w:sz w:val="36"/>
                <w:szCs w:val="36"/>
              </w:rPr>
              <w:t>5</w:t>
            </w:r>
          </w:p>
          <w:p w:rsidR="00771796" w:rsidRPr="001E2C63" w:rsidRDefault="00771796" w:rsidP="00505E82">
            <w:pPr>
              <w:spacing w:line="240" w:lineRule="auto"/>
              <w:rPr>
                <w:rFonts w:ascii="Times New Roman" w:hAnsi="Times New Roman"/>
                <w:sz w:val="24"/>
                <w:szCs w:val="24"/>
              </w:rPr>
            </w:pPr>
            <w:r>
              <w:rPr>
                <w:rFonts w:ascii="Times New Roman" w:hAnsi="Times New Roman"/>
                <w:b/>
                <w:sz w:val="36"/>
                <w:szCs w:val="36"/>
              </w:rPr>
              <w:t>Premiado</w:t>
            </w:r>
          </w:p>
        </w:tc>
      </w:tr>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 xml:space="preserve">Autora/o </w:t>
            </w:r>
            <w:r w:rsidR="00397550" w:rsidRPr="00397550">
              <w:rPr>
                <w:rFonts w:ascii="Times New Roman" w:hAnsi="Times New Roman"/>
                <w:sz w:val="24"/>
                <w:szCs w:val="24"/>
              </w:rPr>
              <w:t>Brena Paula Magno Fernandez</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 xml:space="preserve">Orientadora/o </w:t>
            </w:r>
            <w:r w:rsidR="00397550" w:rsidRPr="00397550">
              <w:rPr>
                <w:rFonts w:ascii="Times New Roman" w:hAnsi="Times New Roman"/>
                <w:sz w:val="24"/>
                <w:szCs w:val="24"/>
              </w:rPr>
              <w:t>Supervisor: Marcos Barbosa de Oliveira</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IES:</w:t>
            </w:r>
            <w:r w:rsidR="00397550" w:rsidRPr="00397550">
              <w:rPr>
                <w:rFonts w:ascii="Times New Roman" w:hAnsi="Times New Roman"/>
                <w:sz w:val="24"/>
                <w:szCs w:val="24"/>
              </w:rPr>
              <w:t xml:space="preserve"> USP </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 xml:space="preserve">Cidade/Estado: </w:t>
            </w:r>
            <w:r w:rsidR="00397550" w:rsidRPr="00397550">
              <w:rPr>
                <w:rFonts w:ascii="Times New Roman" w:hAnsi="Times New Roman"/>
                <w:sz w:val="24"/>
                <w:szCs w:val="24"/>
              </w:rPr>
              <w:t xml:space="preserve"> São Paulo </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397550" w:rsidRDefault="00771796" w:rsidP="00397550">
            <w:pPr>
              <w:spacing w:line="240" w:lineRule="auto"/>
              <w:rPr>
                <w:rFonts w:ascii="Times New Roman" w:hAnsi="Times New Roman"/>
                <w:sz w:val="24"/>
                <w:szCs w:val="24"/>
              </w:rPr>
            </w:pPr>
            <w:r w:rsidRPr="00397550">
              <w:rPr>
                <w:rFonts w:ascii="Times New Roman" w:hAnsi="Times New Roman"/>
                <w:sz w:val="24"/>
                <w:szCs w:val="24"/>
              </w:rPr>
              <w:t>Outras Informações:</w:t>
            </w:r>
            <w:r w:rsidR="00397550" w:rsidRPr="00397550">
              <w:rPr>
                <w:rFonts w:ascii="Times New Roman" w:hAnsi="Times New Roman"/>
                <w:sz w:val="24"/>
                <w:szCs w:val="24"/>
              </w:rPr>
              <w:t xml:space="preserve"> Estudante de Graduada</w:t>
            </w:r>
            <w:r w:rsidRPr="00397550">
              <w:rPr>
                <w:rFonts w:ascii="Times New Roman" w:hAnsi="Times New Roman"/>
                <w:sz w:val="24"/>
                <w:szCs w:val="24"/>
              </w:rPr>
              <w:t xml:space="preserve"> </w:t>
            </w:r>
            <w:r w:rsidR="00397550" w:rsidRPr="00397550">
              <w:rPr>
                <w:rFonts w:ascii="Times New Roman" w:hAnsi="Times New Roman"/>
                <w:sz w:val="24"/>
                <w:szCs w:val="24"/>
              </w:rPr>
              <w:t>Pesquisadora de Pós-</w:t>
            </w:r>
            <w:r w:rsidR="00397550" w:rsidRPr="00397550">
              <w:rPr>
                <w:rFonts w:ascii="Times New Roman" w:hAnsi="Times New Roman"/>
                <w:sz w:val="24"/>
                <w:szCs w:val="24"/>
              </w:rPr>
              <w:lastRenderedPageBreak/>
              <w:t>Doutorado da Universidade de São Paulo. Bolsista CNPq.</w:t>
            </w:r>
          </w:p>
          <w:p w:rsidR="00771796" w:rsidRPr="00397550" w:rsidRDefault="00771796" w:rsidP="00397550">
            <w:pPr>
              <w:spacing w:line="240" w:lineRule="auto"/>
              <w:rPr>
                <w:rFonts w:ascii="Times New Roman" w:hAnsi="Times New Roman"/>
                <w:sz w:val="24"/>
                <w:szCs w:val="24"/>
              </w:rPr>
            </w:pP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bl>
    <w:p w:rsidR="00771796" w:rsidRDefault="00771796" w:rsidP="009741F1"/>
    <w:p w:rsidR="00397550" w:rsidRDefault="00397550" w:rsidP="00397550">
      <w:r>
        <w:tab/>
        <w:t xml:space="preserve"> </w:t>
      </w:r>
    </w:p>
    <w:p w:rsidR="00397550" w:rsidRDefault="00397550" w:rsidP="00397550"/>
    <w:p w:rsidR="00397550" w:rsidRDefault="00397550" w:rsidP="00397550">
      <w:pPr>
        <w:pStyle w:val="Corpodetexto"/>
        <w:jc w:val="both"/>
      </w:pPr>
      <w:r>
        <w:t>Introdução</w:t>
      </w:r>
    </w:p>
    <w:p w:rsidR="00397550" w:rsidRDefault="00397550" w:rsidP="00397550">
      <w:pPr>
        <w:pStyle w:val="Corpodetexto"/>
        <w:jc w:val="both"/>
      </w:pPr>
    </w:p>
    <w:p w:rsidR="00397550" w:rsidRPr="00397550" w:rsidRDefault="00397550" w:rsidP="00397550">
      <w:pPr>
        <w:pStyle w:val="Corpodetexto"/>
        <w:ind w:firstLine="708"/>
        <w:jc w:val="both"/>
        <w:rPr>
          <w:b/>
          <w:bCs/>
        </w:rPr>
      </w:pPr>
      <w:r w:rsidRPr="00397550">
        <w:rPr>
          <w:b/>
          <w:bCs/>
        </w:rPr>
        <w:t xml:space="preserve">As práticas predominantes da ciência moderna, desde o seu estabelecimento no século XVII até hoje, incorporaram algumas suposições particulares acerca da realidade e sobre como ela pode (e deve) ser investigada pelo homem. Podemos esquematizá-las da seguinte forma: [1] Existe um mundo de ‘fatos puros’ </w:t>
      </w:r>
      <w:r w:rsidRPr="00397550">
        <w:rPr>
          <w:b/>
          <w:bCs/>
          <w:lang w:val="pt-PT"/>
        </w:rPr>
        <w:t xml:space="preserve">(ou algo semelhante a isso), </w:t>
      </w:r>
      <w:r w:rsidRPr="00397550">
        <w:rPr>
          <w:b/>
          <w:bCs/>
        </w:rPr>
        <w:t>[2] Existe uma ordem nomológica subjacente a esse mundo, [3] Existe uma (e apenas uma) ciência que expressa [2], representando bastante adequadamente [1].</w:t>
      </w:r>
    </w:p>
    <w:p w:rsidR="00397550" w:rsidRPr="00397550" w:rsidRDefault="00397550" w:rsidP="00397550">
      <w:pPr>
        <w:pStyle w:val="Corpodetexto"/>
        <w:ind w:firstLine="708"/>
        <w:jc w:val="both"/>
        <w:rPr>
          <w:b/>
          <w:bCs/>
        </w:rPr>
      </w:pPr>
      <w:r w:rsidRPr="00397550">
        <w:rPr>
          <w:b/>
          <w:bCs/>
        </w:rPr>
        <w:t xml:space="preserve">No âmbito social, historicamente a Economia foi a disciplina que mais de perto seguiu esse ideal nomológico de objetividade. A teoria econômica neoclássica assenta-se nos mesmos elementos que supostamente garantiriam o rigor na formulação das verdades científicas na física clássica: o caráter nomológico na construção das teorias, o formalismo e, por fim, a matematização, para citar apenas três dentre os mais relevantes. </w:t>
      </w:r>
    </w:p>
    <w:p w:rsidR="00397550" w:rsidRPr="00397550" w:rsidRDefault="00397550" w:rsidP="00397550">
      <w:pPr>
        <w:pStyle w:val="Corpodetexto"/>
        <w:ind w:firstLine="708"/>
        <w:jc w:val="both"/>
        <w:rPr>
          <w:b/>
          <w:bCs/>
        </w:rPr>
      </w:pPr>
      <w:r w:rsidRPr="00397550">
        <w:rPr>
          <w:b/>
          <w:bCs/>
        </w:rPr>
        <w:t xml:space="preserve">Note-se que a </w:t>
      </w:r>
      <w:r w:rsidRPr="00397550">
        <w:rPr>
          <w:b/>
          <w:bCs/>
          <w:i/>
          <w:iCs/>
        </w:rPr>
        <w:t>neutralidade axiológica</w:t>
      </w:r>
      <w:r w:rsidRPr="00397550">
        <w:rPr>
          <w:b/>
          <w:bCs/>
        </w:rPr>
        <w:t xml:space="preserve"> aparece tanto aqui como no caso das ciências naturais como uma pré-condição para a objetividade do conhecimento que se almeja alcançar. Os valores devem permanecer restritos à esfera normativa, enquanto que a Economia positiva do </w:t>
      </w:r>
      <w:r w:rsidRPr="00397550">
        <w:rPr>
          <w:b/>
          <w:bCs/>
          <w:i/>
          <w:iCs/>
        </w:rPr>
        <w:t>mainstream</w:t>
      </w:r>
      <w:r w:rsidRPr="00397550">
        <w:rPr>
          <w:b/>
          <w:bCs/>
        </w:rPr>
        <w:t xml:space="preserve"> ocupa-se tão somente com o estudo </w:t>
      </w:r>
      <w:r w:rsidRPr="00397550">
        <w:rPr>
          <w:b/>
          <w:bCs/>
          <w:i/>
          <w:iCs/>
        </w:rPr>
        <w:t>objetivo</w:t>
      </w:r>
      <w:r w:rsidRPr="00397550">
        <w:rPr>
          <w:b/>
          <w:bCs/>
        </w:rPr>
        <w:t xml:space="preserve"> baseado nas ‘leis’ da economia (como por exemplo a lei da oferta e demanda, ou a lei de Say), num nítido paralelo com as leis da física.</w:t>
      </w:r>
    </w:p>
    <w:p w:rsidR="00397550" w:rsidRPr="00397550" w:rsidRDefault="00397550" w:rsidP="00397550">
      <w:pPr>
        <w:pStyle w:val="Corpodetexto"/>
        <w:ind w:firstLine="708"/>
        <w:jc w:val="both"/>
        <w:rPr>
          <w:b/>
          <w:bCs/>
        </w:rPr>
      </w:pPr>
      <w:r w:rsidRPr="00397550">
        <w:rPr>
          <w:b/>
          <w:bCs/>
        </w:rPr>
        <w:t>Apesar de bastante consolidada e ainda dominante, essa concepção geral de ciência vem sendo confrontada com diferentes tipos de críticas ao longo das últimas quatro décadas, pelo menos. Em comum, essas críticas pós-positivistas – sejam elas kuhnianas, feministas ou dos filósofos que reivindicam falar em nome de segmentos oprimidos do terceiro mundo – compartilham justamente a rejeição da idéia de que os valores não exerçam qualquer papel significativo nas ciências. Inserindo-se nessa tradição crítica, a análise que faz o filósofo Hugh Lacey (1998,1999) tem como alvo a</w:t>
      </w:r>
      <w:r w:rsidRPr="00397550">
        <w:t xml:space="preserve"> </w:t>
      </w:r>
      <w:r w:rsidRPr="00397550">
        <w:rPr>
          <w:b/>
          <w:bCs/>
        </w:rPr>
        <w:t xml:space="preserve">pretensão – própria da ciência moderna – de revelar a realidade em todos os seus aspectos ‘tal qual ela realmente é’. Segundo sua abordagem, há (e deve haver) uma interação profunda entre ciência e valores, que é essencial para a metodologia científica. Lacey mantém que tanto valores sociais quanto cognitivos desempenham papéis importantes na atividade científica, porém em momentos lógicos distintos. A proposição de que as ciências estão livres de valores não cognitivos constitui, desta forma, o cerne de sua discussão crítica. De acordo com seu modelo, o que de fato ocorre é que ciência moderna foi, desde seus primórdios, norteada pela </w:t>
      </w:r>
      <w:r w:rsidRPr="00397550">
        <w:rPr>
          <w:b/>
          <w:bCs/>
          <w:i/>
          <w:iCs/>
        </w:rPr>
        <w:t>metafísica materialista</w:t>
      </w:r>
      <w:r w:rsidRPr="00397550">
        <w:rPr>
          <w:b/>
          <w:bCs/>
        </w:rPr>
        <w:t xml:space="preserve">, segundo a qual, como vimos acima, o mundo é constituído por objetos e processos governados por leis universais, aos quais podem, em princípio, ser reduzidos </w:t>
      </w:r>
      <w:r w:rsidRPr="00397550">
        <w:rPr>
          <w:b/>
          <w:bCs/>
          <w:i/>
          <w:iCs/>
        </w:rPr>
        <w:t>todos</w:t>
      </w:r>
      <w:r w:rsidRPr="00397550">
        <w:rPr>
          <w:b/>
          <w:bCs/>
        </w:rPr>
        <w:t xml:space="preserve"> os fenômenos investigados, sejam eles naturais, sociais, econômicos </w:t>
      </w:r>
      <w:r w:rsidRPr="00397550">
        <w:rPr>
          <w:b/>
          <w:bCs/>
        </w:rPr>
        <w:lastRenderedPageBreak/>
        <w:t>ou humanos. Uma tal metafísica apóia-se em evidências impessoais, predominantemente quantificáveis, e oferece, segundo Lacey, uma compreensão dos objetos e fenômenos do mundo a partir de um viés muito próprio: sua capacidade de serem (tecnicamente) manipulados e, portanto, controlados. É por essa razão que a estratégia de pesquisa materialista reflete uma decisão (valoração) social oculta – o controle sobre a natureza – sendo, por sua vez, reforçada (i.e. estimulada) em decorrência do controle que propicia.</w:t>
      </w:r>
    </w:p>
    <w:p w:rsidR="00397550" w:rsidRPr="00397550" w:rsidRDefault="00397550" w:rsidP="00397550">
      <w:pPr>
        <w:spacing w:line="240" w:lineRule="auto"/>
        <w:ind w:firstLine="708"/>
        <w:rPr>
          <w:rFonts w:ascii="Times New Roman" w:hAnsi="Times New Roman"/>
          <w:sz w:val="24"/>
          <w:szCs w:val="24"/>
        </w:rPr>
      </w:pPr>
      <w:r w:rsidRPr="00397550">
        <w:rPr>
          <w:rFonts w:ascii="Times New Roman" w:hAnsi="Times New Roman"/>
          <w:sz w:val="24"/>
          <w:szCs w:val="24"/>
        </w:rPr>
        <w:t>Entretanto, a prerrogativa da perspectiva de valor que favorece o controle (ou os ‘modernos valores de controle’) – que está consolidada nas estratégias materialistas – não se aplicaria a alguns fenômenos-chave contemporâneos, bem como aos projetos a eles relevantes. Pelo menos quatro movimentos são identificados por Lacey por sustentarem perspectivas de valor que se chocam frontalmente com os modernos valores de controle: o ambientalismo, todo o conglomerado antiglobalização, os movimentos de base da América Latina e o</w:t>
      </w:r>
      <w:r w:rsidRPr="00397550">
        <w:rPr>
          <w:rFonts w:ascii="Times New Roman" w:hAnsi="Times New Roman"/>
          <w:i/>
          <w:iCs/>
          <w:sz w:val="24"/>
          <w:szCs w:val="24"/>
        </w:rPr>
        <w:t xml:space="preserve"> </w:t>
      </w:r>
      <w:r w:rsidRPr="00397550">
        <w:rPr>
          <w:rFonts w:ascii="Times New Roman" w:hAnsi="Times New Roman"/>
          <w:sz w:val="24"/>
          <w:szCs w:val="24"/>
        </w:rPr>
        <w:t>feminismo. Estes movimentos adotam perspectivas de valor alternativas, que enfatizam principalmente aspectos como a sustentabilidade ambiental e a preservação do meio-ambiente e da biodiversidade, a participação popular, o reconhecimento completo dos direitos humanos (especificados pelos documentos internacionais), a solidariedade, a cooperação e o direito à diversidade e ao pluralismo cultural.</w:t>
      </w:r>
    </w:p>
    <w:p w:rsidR="00397550" w:rsidRDefault="00397550" w:rsidP="00397550">
      <w:pPr>
        <w:ind w:firstLine="709"/>
      </w:pPr>
      <w:r>
        <w:t xml:space="preserve">À luz da crítica de Lacey e de suas correspondentes propostas de alternativas, o presente trabalho está voltado para a exploração teórica de um desses grupos de resistência: a crítica feminista, ou, mais especificamente, a crítica feminista da ciência aplicada ao âmbito da Economia – a Economia Feminista. </w:t>
      </w:r>
    </w:p>
    <w:p w:rsidR="00397550" w:rsidRDefault="00397550" w:rsidP="00397550">
      <w:pPr>
        <w:ind w:firstLine="709"/>
      </w:pPr>
      <w:r>
        <w:t xml:space="preserve">De acordo com teoria feminista, por exemplo, a escassa participação das mulheres nas ciências, em geral, denota não apenas os preconceitos de uma sociedade que combina diferentes tipos de discriminação – sejam elas sociais, culturais, econômicas, raciais ou de gênero –, como também, e fundamentalmente, sugere que os parâmetros mais caros ao conhecimento científico refletem um viés androcêntrico. </w:t>
      </w:r>
    </w:p>
    <w:p w:rsidR="00397550" w:rsidRDefault="00397550" w:rsidP="00397550">
      <w:pPr>
        <w:ind w:firstLine="709"/>
      </w:pPr>
      <w:r>
        <w:t>Se, como propõe Helen Longino (1993a, p.264), a filosofia da ciência feminista deve ser entendida como “novas e mais apropriadas maneiras de entender o mundo”, então colocar a descoberto o gênero (</w:t>
      </w:r>
      <w:r>
        <w:rPr>
          <w:i/>
        </w:rPr>
        <w:t>to reveal gender</w:t>
      </w:r>
      <w:r>
        <w:t xml:space="preserve">) significa revelar uma relação assimétrica de poder que suprime a atividade independente daqueles indivíduos do gênero feminino. Essa relação assimétrica é sustentada seja por instituições sociais, seja por práticas simbólicas arraigadas, e feita invisível enquanto relação de poder através da ‘naturalização’ das diferenças de gênero nos modelos tradicionais das ciências da vida, do comportamento e das sociedades. </w:t>
      </w:r>
    </w:p>
    <w:p w:rsidR="00397550" w:rsidRDefault="00397550" w:rsidP="00397550">
      <w:pPr>
        <w:pStyle w:val="TextosemFormatao"/>
        <w:spacing w:line="360" w:lineRule="auto"/>
        <w:ind w:firstLine="709"/>
        <w:jc w:val="both"/>
        <w:rPr>
          <w:rFonts w:ascii="Times New Roman" w:hAnsi="Times New Roman"/>
          <w:sz w:val="24"/>
        </w:rPr>
      </w:pPr>
      <w:r>
        <w:rPr>
          <w:rFonts w:ascii="Times New Roman" w:hAnsi="Times New Roman"/>
          <w:sz w:val="24"/>
        </w:rPr>
        <w:t xml:space="preserve">No âmbito sócio-econômico, é justamente a essa tarefa que se propõe a Economia Feminista: revelar esses efeitos perversos e essas relações desiguais de poder. Ou seja, a crítica feminista à Economia que discutiremos nesse trabalho pretende reconceitualizar aquelas categorias nada neutras com as quais se define, se mede e se estuda o fenômeno econômico na teoria neoclássica, colocando em </w:t>
      </w:r>
      <w:r>
        <w:rPr>
          <w:rFonts w:ascii="Times New Roman" w:hAnsi="Times New Roman"/>
          <w:sz w:val="24"/>
        </w:rPr>
        <w:lastRenderedPageBreak/>
        <w:t xml:space="preserve">questão a suposta objetividade que o modelo tradicional reclama possuir. Além disso, ela também se propõe a desenvolver novas perspectivas e novas formas de ver o mundo social e econômico que permitam tornar visível o que tradicionalmente a disciplina mantém como oculto. </w:t>
      </w:r>
    </w:p>
    <w:p w:rsidR="00397550" w:rsidRDefault="00397550" w:rsidP="00397550">
      <w:pPr>
        <w:pStyle w:val="TextosemFormatao"/>
        <w:ind w:firstLine="709"/>
        <w:jc w:val="both"/>
        <w:rPr>
          <w:rFonts w:ascii="Times New Roman" w:hAnsi="Times New Roman"/>
          <w:sz w:val="24"/>
        </w:rPr>
      </w:pPr>
    </w:p>
    <w:p w:rsidR="00397550" w:rsidRDefault="00397550" w:rsidP="00397550">
      <w:pPr>
        <w:pStyle w:val="TextosemFormatao"/>
        <w:spacing w:line="360" w:lineRule="auto"/>
        <w:jc w:val="both"/>
        <w:rPr>
          <w:rFonts w:ascii="Times New Roman" w:hAnsi="Times New Roman"/>
          <w:b/>
          <w:bCs/>
          <w:sz w:val="24"/>
          <w:lang w:val="pt-PT"/>
        </w:rPr>
      </w:pPr>
      <w:r>
        <w:rPr>
          <w:rFonts w:ascii="Times New Roman" w:hAnsi="Times New Roman"/>
          <w:b/>
          <w:bCs/>
          <w:sz w:val="24"/>
        </w:rPr>
        <w:t>1. O que é a Economia Feminista</w:t>
      </w:r>
      <w:r>
        <w:rPr>
          <w:rFonts w:ascii="Times New Roman" w:hAnsi="Times New Roman"/>
          <w:b/>
          <w:bCs/>
          <w:sz w:val="24"/>
          <w:lang w:val="pt-PT"/>
        </w:rPr>
        <w:t>?</w:t>
      </w:r>
    </w:p>
    <w:p w:rsidR="00397550" w:rsidRDefault="00397550" w:rsidP="00397550">
      <w:pPr>
        <w:pStyle w:val="TextosemFormatao"/>
        <w:jc w:val="both"/>
        <w:rPr>
          <w:rFonts w:ascii="Times New Roman" w:hAnsi="Times New Roman"/>
          <w:sz w:val="24"/>
        </w:rPr>
      </w:pPr>
    </w:p>
    <w:p w:rsidR="00397550" w:rsidRDefault="00397550" w:rsidP="00397550">
      <w:pPr>
        <w:pStyle w:val="TextosemFormatao"/>
        <w:spacing w:line="360" w:lineRule="auto"/>
        <w:ind w:firstLine="709"/>
        <w:jc w:val="both"/>
        <w:rPr>
          <w:rFonts w:ascii="Times New Roman" w:hAnsi="Times New Roman"/>
          <w:sz w:val="24"/>
        </w:rPr>
      </w:pPr>
      <w:r>
        <w:rPr>
          <w:rFonts w:ascii="Times New Roman" w:hAnsi="Times New Roman"/>
          <w:sz w:val="24"/>
        </w:rPr>
        <w:t xml:space="preserve">A Economia Feminista é um dos mais recentes programas de pesquisa em ciência econômica. Surge em 1990, quando a Conferência Anual da </w:t>
      </w:r>
      <w:r>
        <w:rPr>
          <w:rFonts w:ascii="Times New Roman" w:hAnsi="Times New Roman"/>
          <w:i/>
          <w:iCs/>
          <w:sz w:val="24"/>
        </w:rPr>
        <w:t>American Economic Association</w:t>
      </w:r>
      <w:r>
        <w:rPr>
          <w:rFonts w:ascii="Times New Roman" w:hAnsi="Times New Roman"/>
          <w:sz w:val="24"/>
        </w:rPr>
        <w:t xml:space="preserve"> pela primeira vez inclui um painel relacionado especificamente às perspectivas feministas na Economia. Uma seleção dos artigos então apresentados é posteriormente publicada por Marianne Ferber e Julie Nelson, numa coletânea intitulada </w:t>
      </w:r>
      <w:r>
        <w:rPr>
          <w:rFonts w:ascii="Times New Roman" w:hAnsi="Times New Roman"/>
          <w:i/>
          <w:sz w:val="24"/>
          <w:lang w:val="pt-PT"/>
        </w:rPr>
        <w:t>Beyond Economic Man: Feminist Theory and Economics</w:t>
      </w:r>
      <w:r>
        <w:rPr>
          <w:rFonts w:ascii="Times New Roman" w:hAnsi="Times New Roman"/>
          <w:sz w:val="24"/>
          <w:lang w:val="pt-PT"/>
        </w:rPr>
        <w:t xml:space="preserve"> (1993). Desde então, o </w:t>
      </w:r>
      <w:r>
        <w:rPr>
          <w:rFonts w:ascii="Times New Roman" w:hAnsi="Times New Roman"/>
          <w:sz w:val="24"/>
        </w:rPr>
        <w:t xml:space="preserve">processo de consolidação dessa abordagem vem se desenvolvendo, particularmente após a criação, nos Estados Unidos, da </w:t>
      </w:r>
      <w:r>
        <w:rPr>
          <w:rFonts w:ascii="Times New Roman" w:hAnsi="Times New Roman"/>
          <w:i/>
          <w:iCs/>
          <w:sz w:val="24"/>
        </w:rPr>
        <w:t>International Association For Feminist Economics</w:t>
      </w:r>
      <w:r>
        <w:rPr>
          <w:rFonts w:ascii="Times New Roman" w:hAnsi="Times New Roman"/>
          <w:sz w:val="24"/>
        </w:rPr>
        <w:t xml:space="preserve"> (IAFFE): espaço de debate dos diversos enfoques possíveis da Economia Feminista, e que passa a publicar a primeira revista desta natureza – </w:t>
      </w:r>
      <w:r>
        <w:rPr>
          <w:rFonts w:ascii="Times New Roman" w:hAnsi="Times New Roman"/>
          <w:i/>
          <w:sz w:val="24"/>
        </w:rPr>
        <w:t>Feminist Economics</w:t>
      </w:r>
      <w:r>
        <w:rPr>
          <w:rFonts w:ascii="Times New Roman" w:hAnsi="Times New Roman"/>
          <w:iCs/>
          <w:sz w:val="24"/>
        </w:rPr>
        <w:t xml:space="preserve"> –, em 1995. </w:t>
      </w:r>
      <w:r>
        <w:rPr>
          <w:rFonts w:ascii="Times New Roman" w:hAnsi="Times New Roman"/>
          <w:sz w:val="24"/>
        </w:rPr>
        <w:t xml:space="preserve">No Brasil, no entanto, essa corrente teórica ainda é extremamente incipiente, mesmo entre as abordagens ditas heterodoxas, que se contrapõem ao domínio neoclássico. </w:t>
      </w:r>
      <w:r>
        <w:rPr>
          <w:rFonts w:ascii="Times New Roman" w:hAnsi="Times New Roman"/>
          <w:sz w:val="24"/>
          <w:szCs w:val="24"/>
        </w:rPr>
        <w:t>Mas, afinal, o</w:t>
      </w:r>
      <w:r>
        <w:rPr>
          <w:rFonts w:ascii="Times New Roman" w:hAnsi="Times New Roman"/>
          <w:sz w:val="24"/>
        </w:rPr>
        <w:t xml:space="preserve"> que constitui o programa de pesquisa em Economia Feminista</w:t>
      </w:r>
      <w:r>
        <w:rPr>
          <w:rFonts w:ascii="Times New Roman" w:hAnsi="Times New Roman"/>
          <w:sz w:val="24"/>
          <w:lang w:val="pt-PT"/>
        </w:rPr>
        <w:t>?</w:t>
      </w:r>
      <w:r>
        <w:rPr>
          <w:rFonts w:ascii="Times New Roman" w:hAnsi="Times New Roman"/>
          <w:sz w:val="24"/>
        </w:rPr>
        <w:t xml:space="preserve"> Qual o escopo de sua pesquisa e quais são suas características epistemológicas e metodológicas distintivas em relação aos outros programas heterodoxos de pesquisa em Economia, como a corrente histórica, a neo-keynesiana, a ecológica, a evolucionista e a do antigo institucionalismo, por exemplo?</w:t>
      </w:r>
    </w:p>
    <w:p w:rsidR="00397550" w:rsidRDefault="00397550" w:rsidP="00397550">
      <w:pPr>
        <w:pStyle w:val="Recuodecorpodetexto3"/>
      </w:pPr>
      <w:r>
        <w:t>A despeito do fato de a Economia Feminista dificilmente poder ser classificada como um bloco monolítico de pensamento</w:t>
      </w:r>
      <w:r>
        <w:rPr>
          <w:rStyle w:val="Refdenotaderodap"/>
        </w:rPr>
        <w:footnoteReference w:id="45"/>
      </w:r>
      <w:r>
        <w:t xml:space="preserve">, podemos dizer que, em que pesem suas divergências internas, a característica comum que permite seu tratamento como uma corrente teórica é a introdução do </w:t>
      </w:r>
      <w:r>
        <w:rPr>
          <w:i/>
          <w:iCs/>
        </w:rPr>
        <w:t>gênero</w:t>
      </w:r>
      <w:r>
        <w:t xml:space="preserve"> como categoria analítica também na Economia.</w:t>
      </w:r>
    </w:p>
    <w:p w:rsidR="00397550" w:rsidRDefault="00397550" w:rsidP="00397550">
      <w:pPr>
        <w:pStyle w:val="Recuodecorpodetexto3"/>
      </w:pPr>
      <w:r>
        <w:lastRenderedPageBreak/>
        <w:t xml:space="preserve">“Gênero”, tal como o termo é definido por muitas feministas, “é o </w:t>
      </w:r>
      <w:r>
        <w:rPr>
          <w:i/>
          <w:iCs/>
        </w:rPr>
        <w:t>significado social</w:t>
      </w:r>
      <w:r>
        <w:t xml:space="preserve"> atribuído às diferenças biológicas entre os sexos” (Ferber &amp; Nelson, 1993, p. 9). Refere-se, portanto, a construções culturais e não a dados biológicos. É uma reivindicação recorrente da crítica feminista que características tradicionalmente atribuídas tanto a homens quanto a mulheres como ‘naturais’ (no sentido de biológicas) sejam características, em última instância, comuns a toda espécie humana, sendo sua identificação como tipicamente ‘masculinas’ ou ‘femininas’ uma questão histórica e cultural.</w:t>
      </w:r>
    </w:p>
    <w:p w:rsidR="00397550" w:rsidRDefault="00397550" w:rsidP="00397550">
      <w:pPr>
        <w:pStyle w:val="Recuodecorpodetexto3"/>
      </w:pPr>
      <w:r>
        <w:t xml:space="preserve">A predominância e o privilégio de traços tradicionalmente considerados como tipicamente masculinos na moderna cultura ocidental promoveram – de acordo com a visão feminista – uma injusta e nefasta subjugação dos aspectos e características entendidos como predominantemente femininos – considerados inferiores e marginais. Isso posto, com o intuito de organizar a discussão que segue, podemos dizer que a introdução do gênero pela crítica feminista na Economia atua em dois níveis, possuindo dois sentidos inter-relacionados. </w:t>
      </w:r>
    </w:p>
    <w:p w:rsidR="00397550" w:rsidRDefault="00397550" w:rsidP="00397550">
      <w:pPr>
        <w:pStyle w:val="Recuodecorpodetexto3"/>
        <w:spacing w:line="240" w:lineRule="auto"/>
        <w:ind w:firstLine="709"/>
      </w:pPr>
    </w:p>
    <w:p w:rsidR="00397550" w:rsidRDefault="00397550" w:rsidP="00397550">
      <w:pPr>
        <w:pStyle w:val="Recuodecorpodetexto3"/>
        <w:rPr>
          <w:b/>
          <w:bCs/>
        </w:rPr>
      </w:pPr>
      <w:r>
        <w:rPr>
          <w:b/>
          <w:bCs/>
        </w:rPr>
        <w:t>1.1 Gênero – lado pragmático da crítica</w:t>
      </w:r>
    </w:p>
    <w:p w:rsidR="00397550" w:rsidRDefault="00397550" w:rsidP="00397550">
      <w:pPr>
        <w:pStyle w:val="Recuodecorpodetexto3"/>
        <w:spacing w:line="240" w:lineRule="auto"/>
        <w:ind w:firstLine="709"/>
      </w:pPr>
    </w:p>
    <w:p w:rsidR="00397550" w:rsidRDefault="00397550" w:rsidP="00397550">
      <w:pPr>
        <w:pStyle w:val="Recuodecorpodetexto3"/>
      </w:pPr>
      <w:r>
        <w:t xml:space="preserve">Num primeiro sentido, mais </w:t>
      </w:r>
      <w:r>
        <w:rPr>
          <w:i/>
          <w:iCs/>
        </w:rPr>
        <w:t>literal</w:t>
      </w:r>
      <w:r>
        <w:t xml:space="preserve"> e </w:t>
      </w:r>
      <w:r>
        <w:rPr>
          <w:i/>
          <w:iCs/>
        </w:rPr>
        <w:t>pragmático</w:t>
      </w:r>
      <w:r>
        <w:t xml:space="preserve">, o uso do gênero como categoria analítica permite às economistas feministas teorizar sobre desigualdades persistentes entre homens e mulheres, que emergem desses diferentes papéis sociais e de suas respectivas relações desiguais de poder. </w:t>
      </w:r>
    </w:p>
    <w:p w:rsidR="00397550" w:rsidRDefault="00397550" w:rsidP="00397550">
      <w:pPr>
        <w:pStyle w:val="Recuodecorpodetexto3"/>
      </w:pPr>
      <w:r>
        <w:t xml:space="preserve">Nesse primeiro sentido, a introdução do gênero visa a reivindicar a inclusão de problemas que são típicos daqueles indivíduos do gênero feminino como questões relevantes do ponto de vista econômico. Algumas de suas preocupações mais evidentes possuem, portanto, um caráter </w:t>
      </w:r>
      <w:r>
        <w:rPr>
          <w:i/>
          <w:iCs/>
        </w:rPr>
        <w:t>eminentemente prático</w:t>
      </w:r>
      <w:r>
        <w:t>, como, por exemplo: propor a discussão – e o posterior equacionamento – da questão do trabalho doméstico (não remunerado), dos diferentes aspectos da participação e da discriminação das mulheres no mercado de trabalho (como o problema dos salários desiguais para trabalhos iguais), bem como da ‘invisibilidade’ de parte significativa do trabalho feminino na produção da riqueza nacional.</w:t>
      </w:r>
    </w:p>
    <w:p w:rsidR="00397550" w:rsidRDefault="00397550" w:rsidP="00397550">
      <w:pPr>
        <w:pStyle w:val="Recuodecorpodetexto3"/>
      </w:pPr>
      <w:r>
        <w:t xml:space="preserve">Um exemplo conspícuo da ‘invisibilidade econômica’ do trabalho feminino não remunerado, e de como isso repercute negativamente no sentido de perpetuar desigualdades econômicas (e sociais) arraigadas é o caso do cálculo do produto nacional. Segundo a crítica da Economia Feminista, pela metodologia atualmente vigente os verdadeiros índices de produção são grosseiramente subestimados. Em outras palavras: a estimativa da produção nacional, se entendida como uma medida da atividade produtiva </w:t>
      </w:r>
      <w:r>
        <w:rPr>
          <w:i/>
          <w:iCs/>
        </w:rPr>
        <w:t>total</w:t>
      </w:r>
      <w:r>
        <w:t>, é destorcida, e as políticas sociais implementadas tomando por base estes dados são igualmente insatisfatórias para uma parcela significativa da população. O problema da metodologia nos cálculos destes índices está atrelado à incapacidade do paradigma econômico vigente de captar tudo aquilo que não for quantificável (voltaremos a tratar desta questão mais detalhadamente abaixo).</w:t>
      </w:r>
    </w:p>
    <w:p w:rsidR="00397550" w:rsidRDefault="00397550" w:rsidP="00397550">
      <w:pPr>
        <w:pStyle w:val="Recuodecorpodetexto3"/>
        <w:ind w:firstLine="709"/>
      </w:pPr>
      <w:r>
        <w:t>Mais recentemente, a Economia Feminista vem desenvolvendo ainda diversas outras linhas de pesquisa que exploram questões contemporâneas. Uma delas está relacionada aos efeitos perversos específicos derivados da aplicação de políticas macroeconômicas de inspiração neoliberal sobre a vida e o trabalho das mulheres. As políticas de ajuste produzem como efeito imediato, por um lado, a precarização do mercado de trabalho (desemprego, aumento no número de trabalhadores informais). Por outro, acarretam ainda uma drástica redução dos benefícios sociais, o que se traduz – desta vez indiretamente – na intensificação do trabalho familiar</w:t>
      </w:r>
      <w:r>
        <w:rPr>
          <w:lang w:val="pt-PT"/>
        </w:rPr>
        <w:t>/dom</w:t>
      </w:r>
      <w:r>
        <w:t xml:space="preserve">éstico realizado pelas mulheres, que procuram a todo custo compensar as perdas reais de renda e garantir um mínimo de estabilidade familiar. Nos países industrializados, esta situação se configura numa piora </w:t>
      </w:r>
      <w:r>
        <w:lastRenderedPageBreak/>
        <w:t xml:space="preserve">das condições de vida particularmente das mulheres e dos jovens nos grupos de baixa renda – fenômeno que vem se tornando conhecido como a ‘feminização da pobreza’. Nos países periféricos, é dispensável recordar, mas a situação é ainda mais grave, tendo em vista que engendra um círculo vicioso que perpetua cenários de desigualdade e pobreza. Por um lado, as mulheres ganham menos no mercado de trabalho e são as primeiras a sofrerem as conseqüências das políticas macroeconômicas de ajuste – seja o desemprego, seja a necessidade de aceitação de sub-empregos – em decorrência de suas responsabilidades em casa, ou seja, porque historicamente especializaram-se no trabalho doméstico. Por outro lado, particularmente nas camadas sociais mais baixas, especializam-se cada vez mais no trabalho doméstico, uma vez que suas expectativas de inserção no mercado formal de trabalho são cada vez piores, e os retornos financeiros esperados, cada vez menores. </w:t>
      </w:r>
    </w:p>
    <w:p w:rsidR="00397550" w:rsidRDefault="00397550" w:rsidP="00397550">
      <w:pPr>
        <w:pStyle w:val="Recuodecorpodetexto3"/>
        <w:ind w:firstLine="709"/>
      </w:pPr>
      <w:r>
        <w:t>Estas pesquisas têm se generalizado sob a forma de estudos denominados ‘gênero e desenvolvimento’ (Barber &amp; Kuiper, 2003</w:t>
      </w:r>
      <w:r>
        <w:rPr>
          <w:lang w:val="pt-PT"/>
        </w:rPr>
        <w:t>; Carrasco, 1999; Robeyns, 2001</w:t>
      </w:r>
      <w:r>
        <w:t>) e o tipo de análise proposta coloca em questão a suposta neutralidade dos modelos macroeconômicos, no nível de suas repercussões pragmáticas: já que os enormes custos dos ajustes estruturais afetam de forma diferenciada (para pior) a uma camada específica da população, estes modelos possuem, de acordo com esse enfoque crítico, um viés de gênero, classe, e raça.</w:t>
      </w:r>
    </w:p>
    <w:p w:rsidR="00397550" w:rsidRDefault="00397550" w:rsidP="00397550">
      <w:pPr>
        <w:pStyle w:val="Recuodecorpodetexto3"/>
        <w:rPr>
          <w:szCs w:val="24"/>
        </w:rPr>
      </w:pPr>
      <w:r>
        <w:rPr>
          <w:szCs w:val="24"/>
        </w:rPr>
        <w:t>O projeto da Economia Feminista, entretanto, não pretende reduzir-se a esses aspectos pragmáticos da crítica, ou seja, apenas à inclusão de tópicos e questões marcadamente ‘femininos’ na ciência, mas sim apontar também para uma re-configuração de toda constelação científica em seu fulcro teórico. Isto porque estes problemas práticos estão – argumentam – diretamente vinculados a uma inadequação teórico-metodológica.</w:t>
      </w:r>
    </w:p>
    <w:p w:rsidR="00397550" w:rsidRDefault="00397550" w:rsidP="00397550">
      <w:pPr>
        <w:pStyle w:val="Recuodecorpodetexto3"/>
        <w:spacing w:line="240" w:lineRule="auto"/>
        <w:ind w:firstLine="709"/>
        <w:rPr>
          <w:szCs w:val="24"/>
        </w:rPr>
      </w:pPr>
    </w:p>
    <w:p w:rsidR="00397550" w:rsidRDefault="00397550" w:rsidP="00397550">
      <w:pPr>
        <w:pStyle w:val="Recuodecorpodetexto3"/>
        <w:rPr>
          <w:b/>
          <w:bCs/>
          <w:szCs w:val="24"/>
        </w:rPr>
      </w:pPr>
      <w:r>
        <w:rPr>
          <w:b/>
          <w:bCs/>
          <w:szCs w:val="24"/>
        </w:rPr>
        <w:t>1.2 Gênero – lado metodológico e epistemológico da crítica</w:t>
      </w:r>
    </w:p>
    <w:p w:rsidR="00397550" w:rsidRDefault="00397550" w:rsidP="00397550">
      <w:pPr>
        <w:pStyle w:val="Recuodecorpodetexto3"/>
        <w:spacing w:line="240" w:lineRule="auto"/>
        <w:ind w:firstLine="709"/>
        <w:rPr>
          <w:szCs w:val="24"/>
        </w:rPr>
      </w:pPr>
    </w:p>
    <w:p w:rsidR="00397550" w:rsidRDefault="00397550" w:rsidP="00397550">
      <w:pPr>
        <w:pStyle w:val="Recuodecorpodetexto3"/>
        <w:ind w:firstLine="709"/>
      </w:pPr>
      <w:r>
        <w:t xml:space="preserve">Nesse momento entra em cena o segundo sentido que a introdução da análise do gênero na Economia assume. Este possui um caráter mais </w:t>
      </w:r>
      <w:r>
        <w:rPr>
          <w:i/>
          <w:iCs/>
        </w:rPr>
        <w:t>metafórico</w:t>
      </w:r>
      <w:r>
        <w:t xml:space="preserve"> e situa-se no nível da </w:t>
      </w:r>
      <w:r>
        <w:rPr>
          <w:i/>
          <w:iCs/>
        </w:rPr>
        <w:t xml:space="preserve">crítica metodológico-epistemológica </w:t>
      </w:r>
      <w:r>
        <w:t xml:space="preserve">da ciência tradicional. A alegação central das epistemologias feministas é que as características dominantes herdadas da ciência moderna positivista – racionalidade, objetividade, abstração, análise quantitativa e neutralidade axiológica – têm sido culturalmente associadas ao rigor e à masculinidade. Ou seja, supõem valores sexistas androcêntricos. </w:t>
      </w:r>
    </w:p>
    <w:p w:rsidR="00397550" w:rsidRDefault="00397550" w:rsidP="00397550">
      <w:pPr>
        <w:pStyle w:val="Recuodecorpodetexto3"/>
        <w:ind w:firstLine="709"/>
      </w:pPr>
      <w:r>
        <w:t>Inversa e simultaneamente, outras formas ou abordagens do conhecimento, que têm sido sistematicamente alijadas da instância oficialmente considerada como ‘científica’, carregam um viés para a cooperação, as análises qualitativas e verbais, a concretude e o comprometimento explícito com valores. Estas propostas têm sido associadas à vagueza, à imprecisão teórica e à feminilidade.</w:t>
      </w:r>
    </w:p>
    <w:p w:rsidR="00397550" w:rsidRDefault="00397550" w:rsidP="00397550">
      <w:pPr>
        <w:pStyle w:val="Recuodecorpodetexto3"/>
        <w:ind w:firstLine="709"/>
      </w:pPr>
      <w:r>
        <w:t>Estas metáforas são assimétricas, na medida em que o dualismo masculino</w:t>
      </w:r>
      <w:r>
        <w:rPr>
          <w:lang w:val="pt-PT"/>
        </w:rPr>
        <w:t>/feminino</w:t>
      </w:r>
      <w:r>
        <w:t xml:space="preserve"> é hierárquico: atividades, valores e métodos associados ao gênero masculino seriam ‘objetivos’, e conseqüentemente universalizáveis, ao passo que seus correlatos vinculados ao gênero feminino seriam ‘subjetivos’ e, portanto, deveriam restringir-se ao âmbito do particular e do específico. Assim, triunfa o rigor </w:t>
      </w:r>
      <w:r>
        <w:rPr>
          <w:lang w:val="pt-PT"/>
        </w:rPr>
        <w:t>(</w:t>
      </w:r>
      <w:r>
        <w:rPr>
          <w:i/>
          <w:iCs/>
          <w:lang w:val="pt-PT"/>
        </w:rPr>
        <w:t>hardness</w:t>
      </w:r>
      <w:r>
        <w:t xml:space="preserve">) da ciência masculina sobre a imprecisão e a vagueza </w:t>
      </w:r>
      <w:r>
        <w:rPr>
          <w:lang w:val="pt-PT"/>
        </w:rPr>
        <w:t>(</w:t>
      </w:r>
      <w:r>
        <w:rPr>
          <w:i/>
          <w:iCs/>
          <w:lang w:val="pt-PT"/>
        </w:rPr>
        <w:t>softness</w:t>
      </w:r>
      <w:r>
        <w:t xml:space="preserve">) das abordagens, métodos e valores alternativos – ‘femininos’.Note-se que, nesse nível </w:t>
      </w:r>
      <w:r>
        <w:rPr>
          <w:i/>
          <w:iCs/>
        </w:rPr>
        <w:t>metafórico</w:t>
      </w:r>
      <w:r>
        <w:t>, as críticas que a introdução do gênero suscitam são comuns àquelas das demais correntes que se contrapõem à Economia neoclássica. Prova disso são as diversas tentativas que têm sido empreendidas no sentido de explicitar as convergências entre as propostas teórico-metodológicas da Economia feminista e de outras linhas heterodoxas</w:t>
      </w:r>
      <w:r>
        <w:rPr>
          <w:rStyle w:val="Refdenotaderodap"/>
        </w:rPr>
        <w:footnoteReference w:id="46"/>
      </w:r>
      <w:r>
        <w:t>.</w:t>
      </w:r>
    </w:p>
    <w:p w:rsidR="00397550" w:rsidRDefault="00397550" w:rsidP="00397550">
      <w:pPr>
        <w:pStyle w:val="Ttulo"/>
        <w:spacing w:line="360" w:lineRule="auto"/>
        <w:ind w:firstLine="708"/>
        <w:jc w:val="both"/>
        <w:rPr>
          <w:b w:val="0"/>
          <w:bCs w:val="0"/>
        </w:rPr>
      </w:pPr>
      <w:r>
        <w:rPr>
          <w:b w:val="0"/>
          <w:bCs w:val="0"/>
        </w:rPr>
        <w:lastRenderedPageBreak/>
        <w:t>Um outro objetivo crucial da abordagem feminista, que perpassa tanto os aspectos pragmáticos da crítica quanto suas propostas metodológicas refere-se a um outro conceito: o exercício da ação (</w:t>
      </w:r>
      <w:r>
        <w:rPr>
          <w:b w:val="0"/>
          <w:bCs w:val="0"/>
          <w:i/>
          <w:iCs/>
        </w:rPr>
        <w:t>agency</w:t>
      </w:r>
      <w:r>
        <w:rPr>
          <w:b w:val="0"/>
          <w:bCs w:val="0"/>
        </w:rPr>
        <w:t xml:space="preserve">). Este conceito remete à identificação das possibilidades abertas à ação humana, às condições de sua expansão ou restrição e à descoberta de meios para que sejam ampliadas as condições dessa expansão. O movimento feminista endossa a possibilidade de se expandir o exercício da ação onde este foi diminuído ou restringido. Esta possibilidade dependerá, primeiramente, da identificação e depois da eliminação das causas que levaram à restrição da ação. Assim, expandir o exercício da ação torna-se um objetivo central tanto do movimento político feminista, quanto de seu respectivo projeto teórico. Com relação ao enfoque metodológico, algumas questões centrais seriam: “que tipo de abordagem da ciência pode servir a esse objetivo (de expandir o exercício da ação)?”, ou “que tipo de práticas científicas incorporam a preocupação da liberação das mulheres e da igualdade social e política de todas as pessoas?”, ou ainda: “que tipo de práticas científicas pode revelar o gênero?” </w:t>
      </w:r>
      <w:r>
        <w:rPr>
          <w:b w:val="0"/>
          <w:bCs w:val="0"/>
          <w:lang w:val="pt-PT"/>
        </w:rPr>
        <w:t>(Lacey, 1999, p. 202).</w:t>
      </w:r>
      <w:r>
        <w:rPr>
          <w:b w:val="0"/>
          <w:bCs w:val="0"/>
        </w:rPr>
        <w:t>Existe uma incapacidade congênita do paradigma econômico dominante para tratar questões como estas. Essa dificuldade surge, em primeiro lugar, da própria definição de seu objeto de investigação. A discussão deste problema necessita de um exame mais detido sobre alguns pressupostos centrais da abordagem neoclássica, que passamos a desenvolver a seguir.</w:t>
      </w:r>
    </w:p>
    <w:p w:rsidR="00397550" w:rsidRDefault="00397550" w:rsidP="00397550"/>
    <w:p w:rsidR="00397550" w:rsidRDefault="00397550" w:rsidP="00397550">
      <w:pPr>
        <w:rPr>
          <w:b/>
          <w:bCs/>
          <w:lang w:val="pt-PT"/>
        </w:rPr>
      </w:pPr>
      <w:r>
        <w:rPr>
          <w:b/>
          <w:bCs/>
        </w:rPr>
        <w:t>2. O que é a Economia segundo a visão neoclássica</w:t>
      </w:r>
      <w:r>
        <w:rPr>
          <w:b/>
          <w:bCs/>
          <w:lang w:val="pt-PT"/>
        </w:rPr>
        <w:t>?</w:t>
      </w:r>
    </w:p>
    <w:p w:rsidR="00397550" w:rsidRDefault="00397550" w:rsidP="00397550"/>
    <w:p w:rsidR="00397550" w:rsidRDefault="00397550" w:rsidP="00397550">
      <w:pPr>
        <w:pStyle w:val="Recuodecorpodetexto3"/>
      </w:pPr>
      <w:r>
        <w:t>A Escola Neoclássica surge como teoria econômica elaborada simultânea e independentemente por três autores, no final do século XIX: Carl Menger (</w:t>
      </w:r>
      <w:r>
        <w:rPr>
          <w:i/>
          <w:iCs/>
        </w:rPr>
        <w:t xml:space="preserve">Die </w:t>
      </w:r>
      <w:r>
        <w:rPr>
          <w:i/>
          <w:lang w:val="pt-PT"/>
        </w:rPr>
        <w:t>Grunsätze der Volkswirtschaftslehre</w:t>
      </w:r>
      <w:r>
        <w:rPr>
          <w:iCs/>
          <w:lang w:val="pt-PT"/>
        </w:rPr>
        <w:t>, de 1871</w:t>
      </w:r>
      <w:r>
        <w:rPr>
          <w:lang w:val="pt-PT"/>
        </w:rPr>
        <w:t>), William Jevons (</w:t>
      </w:r>
      <w:r>
        <w:rPr>
          <w:i/>
          <w:lang w:val="pt-PT"/>
        </w:rPr>
        <w:t>The Theory of Political Economy</w:t>
      </w:r>
      <w:r>
        <w:rPr>
          <w:iCs/>
          <w:lang w:val="pt-PT"/>
        </w:rPr>
        <w:t>, 1871</w:t>
      </w:r>
      <w:r>
        <w:rPr>
          <w:lang w:val="pt-PT"/>
        </w:rPr>
        <w:t>) e Léon Walras (</w:t>
      </w:r>
      <w:r>
        <w:rPr>
          <w:i/>
          <w:lang w:val="pt-PT"/>
        </w:rPr>
        <w:t>Élements d’Économie Politique Pure</w:t>
      </w:r>
      <w:r>
        <w:rPr>
          <w:iCs/>
          <w:lang w:val="pt-PT"/>
        </w:rPr>
        <w:t>, de 1874</w:t>
      </w:r>
      <w:r>
        <w:rPr>
          <w:lang w:val="pt-PT"/>
        </w:rPr>
        <w:t xml:space="preserve">). </w:t>
      </w:r>
      <w:r>
        <w:t xml:space="preserve">Essa teoria define o valor dos bens (e conseqüentemente seus preços) a partir de um elemento subjetivo – a utilidade –, ou a capacidade que os bens, as mercadorias e os serviços possuem para satisfazer as necessidades humanas. </w:t>
      </w:r>
    </w:p>
    <w:p w:rsidR="00397550" w:rsidRDefault="00397550" w:rsidP="00397550">
      <w:pPr>
        <w:pStyle w:val="TextosemFormatao"/>
        <w:spacing w:line="360" w:lineRule="auto"/>
        <w:ind w:firstLine="709"/>
        <w:jc w:val="both"/>
        <w:rPr>
          <w:rFonts w:ascii="Times New Roman" w:hAnsi="Times New Roman"/>
          <w:sz w:val="24"/>
        </w:rPr>
      </w:pPr>
      <w:r>
        <w:rPr>
          <w:rFonts w:ascii="Times New Roman" w:hAnsi="Times New Roman"/>
          <w:sz w:val="24"/>
        </w:rPr>
        <w:t xml:space="preserve">Essa foi uma tentativa de resolução do problema da determinação dos preços através da teoria do valor-trabalho, de seus antecessores (a Escola Clássica de Adam Smith, David Ricardo, John Stuart Mill e Karl Marx). Para os clássicos, estava claro que o valor era criado no âmbito da produção pelo trabalho </w:t>
      </w:r>
      <w:r>
        <w:rPr>
          <w:rFonts w:ascii="Times New Roman" w:hAnsi="Times New Roman"/>
          <w:sz w:val="24"/>
        </w:rPr>
        <w:lastRenderedPageBreak/>
        <w:t xml:space="preserve">humano, com todas as contradições sociais envolvidas (de um lado o </w:t>
      </w:r>
      <w:r>
        <w:rPr>
          <w:rFonts w:ascii="Times New Roman" w:hAnsi="Times New Roman"/>
          <w:i/>
          <w:sz w:val="24"/>
        </w:rPr>
        <w:t>caráter social</w:t>
      </w:r>
      <w:r>
        <w:rPr>
          <w:rFonts w:ascii="Times New Roman" w:hAnsi="Times New Roman"/>
          <w:sz w:val="24"/>
        </w:rPr>
        <w:t xml:space="preserve"> da produção e da geração do excedente econômico – o lucro –, e de outro, o </w:t>
      </w:r>
      <w:r>
        <w:rPr>
          <w:rFonts w:ascii="Times New Roman" w:hAnsi="Times New Roman"/>
          <w:i/>
          <w:sz w:val="24"/>
        </w:rPr>
        <w:t>caráter privado</w:t>
      </w:r>
      <w:r>
        <w:rPr>
          <w:rFonts w:ascii="Times New Roman" w:hAnsi="Times New Roman"/>
          <w:sz w:val="24"/>
        </w:rPr>
        <w:t xml:space="preserve"> da apropriação dos resultados do trabalho humano). Já segundo a Economia neoclássica, através do mecanismo de formação de preços no mercado, o trabalho humano não mais é considerado como o elemento criador do valor. O sujeito humano desaparece do processo (enquanto agente que cria valor), assim como desaparecem também todos os paradoxos inerentes ao sistema capitalista (explicitados na crítica marxista), e a formação dos preços torna-se um fenômeno objetivo e a-histórico, passível, portanto, de ser analisado a partir do modelo científico.</w:t>
      </w:r>
    </w:p>
    <w:p w:rsidR="00397550" w:rsidRDefault="00397550" w:rsidP="00397550">
      <w:pPr>
        <w:pStyle w:val="Recuodecorpodetexto3"/>
      </w:pPr>
      <w:r>
        <w:t>Se por um lado os neoclássicos conseguiram escapar da determinação dos preços através da teoria do valor-trabalho, problema que gerou intermináveis contendas teóricas que até hoje não foram levadas a bom termo, por outro reduziram o problema econômico a uma questão linear de alocação ótima de recursos escassos por agentes racionais. De fato, mais recentemente é bastante comum que se encontre na literatura referências à teoria neoclássica justamente como a ‘teoria da escolha racional’.</w:t>
      </w:r>
    </w:p>
    <w:p w:rsidR="00397550" w:rsidRDefault="00397550" w:rsidP="00397550">
      <w:pPr>
        <w:ind w:firstLine="708"/>
        <w:rPr>
          <w:lang w:val="pt-PT"/>
        </w:rPr>
      </w:pPr>
      <w:r>
        <w:t xml:space="preserve">A definição neoclássica de Economia como a teoria da escolha racional necessita de uma série de suposições sobre a natureza dos agentes nas interações econômicas, que podem ser esquematicamente apresentadas da seguinte forma: (a) </w:t>
      </w:r>
      <w:r>
        <w:rPr>
          <w:lang w:val="pt-PT"/>
        </w:rPr>
        <w:t xml:space="preserve">cada indivíduo dispõe de um lista de preferências, que são conhecidas, bem definidas e comparáveis entre si, (b) as preferências são exógenas (i.e., formadas fora do âmbito econômico) e permanecem inalteradas durante o processo de trocas, (c) existe informação perfeita no contexto econômico para ambas as partes: tanto em relação às informações relevantes para os consumidores, quanto em relação aos produtores, (d) os indivíduos agem movidos fundamentalmente pelo egoísmo: são orientados pela racionalidade meios-fins com o objetivo de satisfazer seus interesses pessoais e desprezando outros aspectos, considerados irrelevantes no processo, e finalmente (e) indivíduos são seres “maximizadores”, que escolhem sempre a melhor alternativa ao   menor custo possível. Esse conjunto de pressupostos sobre o agir econômico é mais comumente conhecido sob a formulação sintética do constructo </w:t>
      </w:r>
      <w:r>
        <w:rPr>
          <w:i/>
          <w:iCs/>
          <w:lang w:val="pt-PT"/>
        </w:rPr>
        <w:t>Homo economicus</w:t>
      </w:r>
      <w:r>
        <w:rPr>
          <w:lang w:val="pt-PT"/>
        </w:rPr>
        <w:t>, sem o qual, como veremos melhor adiante, os resultados da teoria não se sustentam.</w:t>
      </w:r>
    </w:p>
    <w:p w:rsidR="00397550" w:rsidRPr="00397550" w:rsidRDefault="00397550" w:rsidP="00397550">
      <w:pPr>
        <w:pStyle w:val="Corpodetexto"/>
        <w:jc w:val="both"/>
        <w:rPr>
          <w:bCs/>
        </w:rPr>
      </w:pPr>
      <w:r w:rsidRPr="00397550">
        <w:rPr>
          <w:bCs/>
          <w:lang w:val="pt-PT"/>
        </w:rPr>
        <w:t>A</w:t>
      </w:r>
      <w:r w:rsidRPr="00397550">
        <w:rPr>
          <w:bCs/>
        </w:rPr>
        <w:t xml:space="preserve"> síntese neoclássica descreve o funcionamento da Economia através da noção de </w:t>
      </w:r>
      <w:r w:rsidRPr="00397550">
        <w:rPr>
          <w:bCs/>
          <w:i/>
          <w:iCs/>
        </w:rPr>
        <w:t>livre mercado</w:t>
      </w:r>
      <w:r w:rsidRPr="00397550">
        <w:rPr>
          <w:bCs/>
        </w:rPr>
        <w:t xml:space="preserve">. Segundo essa abordagem, o sistema de preços forneceria </w:t>
      </w:r>
      <w:r w:rsidRPr="00397550">
        <w:rPr>
          <w:bCs/>
          <w:i/>
          <w:iCs/>
        </w:rPr>
        <w:t>todas</w:t>
      </w:r>
      <w:r w:rsidRPr="00397550">
        <w:rPr>
          <w:bCs/>
        </w:rPr>
        <w:t xml:space="preserve"> informações relevantes aos agentes, a fim de garantir uma situação ótima. Os preços indicariam o que (e em qual quantidade) os proprietários de recursos deveriam produzir auferindo o maior lucro possível, e também o que (e quanto, dadas suas preferências) os consumidores deveriam consumir, pagando o menor preço possível. Na distribuição da produção total, a ‘utilidade total líquida’ de todos os agentes econômicos seria, deste </w:t>
      </w:r>
      <w:r w:rsidRPr="00397550">
        <w:rPr>
          <w:bCs/>
        </w:rPr>
        <w:lastRenderedPageBreak/>
        <w:t>modo, alcançada. Em outras palavras: o comportamento interesseiro-maximizador de cada um conduziria ao ‘bem-comum’.</w:t>
      </w:r>
    </w:p>
    <w:p w:rsidR="00397550" w:rsidRPr="00397550" w:rsidRDefault="00397550" w:rsidP="00397550">
      <w:pPr>
        <w:pStyle w:val="Corpodetexto"/>
        <w:jc w:val="both"/>
        <w:rPr>
          <w:bCs/>
        </w:rPr>
      </w:pPr>
      <w:r w:rsidRPr="00397550">
        <w:rPr>
          <w:bCs/>
        </w:rPr>
        <w:t>Tendo em vista que, segundo os preceitos da teoria neoclássica, os preços se formam no mercado e a dinâmica de alocação de recursos tende a ocorrer de forma ótima – através da lei da oferta e demanda e da tendência ao equilíbrio geral dos mercados –, a ação do Estado na Economia deve ser a menor possível. Estavam então lançadas as bases teóricas de sustentação tanto do liberalismo econômico, quanto do futuro projeto político do neoliberalismo, no século XX.</w:t>
      </w:r>
    </w:p>
    <w:p w:rsidR="00397550" w:rsidRDefault="00397550" w:rsidP="00397550">
      <w:pPr>
        <w:pStyle w:val="Corpodetexto"/>
        <w:jc w:val="both"/>
        <w:rPr>
          <w:b/>
          <w:bCs/>
        </w:rPr>
      </w:pPr>
    </w:p>
    <w:p w:rsidR="00397550" w:rsidRDefault="00397550" w:rsidP="00397550">
      <w:pPr>
        <w:rPr>
          <w:b/>
          <w:bCs/>
        </w:rPr>
      </w:pPr>
      <w:r>
        <w:rPr>
          <w:b/>
          <w:bCs/>
        </w:rPr>
        <w:t>3. Alguns problemas graves apontados pela crítica feminista</w:t>
      </w:r>
    </w:p>
    <w:p w:rsidR="00397550" w:rsidRDefault="00397550" w:rsidP="00397550"/>
    <w:p w:rsidR="00397550" w:rsidRDefault="00397550" w:rsidP="00397550">
      <w:pPr>
        <w:ind w:firstLine="708"/>
        <w:rPr>
          <w:lang w:val="pt-PT"/>
        </w:rPr>
      </w:pPr>
      <w:r>
        <w:rPr>
          <w:lang w:val="pt-PT"/>
        </w:rPr>
        <w:t>As críticas feministas ao modelo neoclássico são múltiplas e referem-se aos mais diferentes aspectos</w:t>
      </w:r>
      <w:r>
        <w:rPr>
          <w:rStyle w:val="Refdenotaderodap"/>
          <w:lang w:val="pt-PT"/>
        </w:rPr>
        <w:footnoteReference w:id="47"/>
      </w:r>
      <w:r>
        <w:rPr>
          <w:lang w:val="pt-PT"/>
        </w:rPr>
        <w:t>. Para nossos propósitos aqui vamos nos restringir pontualmente àquelas que serão pertinentes para o desenvolvimento ulterior da argumentação.</w:t>
      </w:r>
    </w:p>
    <w:p w:rsidR="00397550" w:rsidRDefault="00397550" w:rsidP="00397550">
      <w:pPr>
        <w:ind w:firstLine="708"/>
        <w:rPr>
          <w:lang w:val="pt-PT"/>
        </w:rPr>
      </w:pPr>
      <w:r>
        <w:rPr>
          <w:lang w:val="pt-PT"/>
        </w:rPr>
        <w:t>Em primeiro lugar, o modelo tradicional presume que o uso do método formal matemático garanta a objetividade dos resultados alcançados pela pureza lógica de suas provas e através de sua generalidade, supostamente livre de valores. Todavia, uma crítica recorrente (também por parte de outras correntes heterodoxas) é a de que, em sua busca pela objetividade, a teoria limita o domínio da investigação apenas àqueles aspectos que são passíveis de serem formalmente modelados, de modo que são as possibilidades da metodologia que definem o objeto a ser estudado, e não o contrário, como seria de se esperar. Esta definição de Economia, que se dá, portanto, preferencialmente através de um método restritivo, ao invés de se pautar pela especificação de seu objeto de investigação tem causado alguns atropelos, sendo talvez o mais grave deles a total perda de interesse pela resolução teórica dos problemas econômicos (práticos) mais candentes que afligem a humanidade</w:t>
      </w:r>
      <w:r>
        <w:rPr>
          <w:rStyle w:val="Refdenotaderodap"/>
          <w:lang w:val="pt-PT"/>
        </w:rPr>
        <w:footnoteReference w:id="48"/>
      </w:r>
      <w:r>
        <w:rPr>
          <w:lang w:val="pt-PT"/>
        </w:rPr>
        <w:t xml:space="preserve"> (como os efeitos perversos da globalização e do livre trânsito de capitais, o desemprego, a </w:t>
      </w:r>
      <w:r>
        <w:rPr>
          <w:lang w:val="pt-PT"/>
        </w:rPr>
        <w:lastRenderedPageBreak/>
        <w:t>pobreza, a fome, a inflação, o virtual esgotamento dos recursos naturais e, naturalmente, as questões de gênero).</w:t>
      </w:r>
    </w:p>
    <w:p w:rsidR="00397550" w:rsidRDefault="00397550" w:rsidP="00397550">
      <w:pPr>
        <w:ind w:firstLine="708"/>
      </w:pPr>
      <w:r>
        <w:rPr>
          <w:lang w:val="pt-PT"/>
        </w:rPr>
        <w:t xml:space="preserve">Por outro lado, o reducionismo científico tem funcionado como uma estratégia eficiente para impedir o desenvolvimento de abordagens alternativas. </w:t>
      </w:r>
      <w:r>
        <w:t xml:space="preserve">Ao buscar assegurar as credenciais epistêmicas da Economia através de sua adesão ao método científico tradicional, a corrente teórica hegemônica passou a apresentar-se como a única forma possível de conhecimento racional, no limite interditando o avanço de correntes teóricas alternativas para a explicação do fenômeno econômico. Essa exclusão concretiza-se, em primeiro lugar, através da eliminação de cadeiras de história do pensamento econômico (onde o pensamento dominante poderia ser confrontado com outras alternativas teóricas, tanto do passado, quanto atuais) do currículo mínimo para a formação de economistas nas instituições de maior prestígio mundial. E depois sob a forma de dificuldades na obtenção de financiamentos para pesquisas, assim como nos problemas encontrados para a publicação, em bons periódicos, dos trabalhos cujos focos de interesses não se coadunam com o arcabouço analítico </w:t>
      </w:r>
      <w:r>
        <w:rPr>
          <w:lang w:val="pt-PT"/>
        </w:rPr>
        <w:t>–</w:t>
      </w:r>
      <w:r>
        <w:t xml:space="preserve"> métodos, axiomas e conceitos </w:t>
      </w:r>
      <w:r>
        <w:rPr>
          <w:lang w:val="pt-PT"/>
        </w:rPr>
        <w:t xml:space="preserve">– </w:t>
      </w:r>
      <w:r>
        <w:t xml:space="preserve">do </w:t>
      </w:r>
      <w:r>
        <w:rPr>
          <w:i/>
        </w:rPr>
        <w:t>mainstream</w:t>
      </w:r>
      <w:r>
        <w:rPr>
          <w:rStyle w:val="Refdenotaderodap"/>
          <w:i/>
        </w:rPr>
        <w:footnoteReference w:id="49"/>
      </w:r>
      <w:r>
        <w:t xml:space="preserve">. </w:t>
      </w:r>
    </w:p>
    <w:p w:rsidR="00397550" w:rsidRDefault="00397550" w:rsidP="00397550">
      <w:pPr>
        <w:ind w:firstLine="708"/>
        <w:rPr>
          <w:sz w:val="20"/>
        </w:rPr>
      </w:pPr>
      <w:r>
        <w:t>A contra-proposta apresentada pela Economia Feminista insiste, de início, que se invertam os termos, e o objeto de estudo da Economia seja claramente definido antes da deliberação sobre qual (ou quais) método(s) adotar. Depois, propõe uma redefinição do próprio objeto: ao invés da definição baseada no princípio das trocas e na maximização de ganhos individuais, que a Economia passe a ser definida como o estudo da provisão social (</w:t>
      </w:r>
      <w:r>
        <w:rPr>
          <w:i/>
          <w:iCs/>
        </w:rPr>
        <w:t>social provisioning</w:t>
      </w:r>
      <w:r>
        <w:t>). (Nelson, 1993; Power, 2004). Implícita nessa definição de Economia como provisão social está a idéia de que a atividade econômica é, antes de tudo, a maneira através da qual os indivíduos se organizam coletivamente, produzem e distribuem os meios necessários para a sua sobrevivência. O foco aqui recai sobre a produção e a geração de bens, mercadorias e serviços necessários para a manutenção da vida humana.</w:t>
      </w:r>
    </w:p>
    <w:p w:rsidR="00397550" w:rsidRDefault="00397550" w:rsidP="00397550">
      <w:r>
        <w:tab/>
        <w:t xml:space="preserve">Está claro que parte da definição de ‘provisão social’ inclui a sobrevivência física dos indivíduos – os bens e serviços </w:t>
      </w:r>
      <w:r>
        <w:rPr>
          <w:i/>
          <w:iCs/>
        </w:rPr>
        <w:t>materiais</w:t>
      </w:r>
      <w:r>
        <w:t xml:space="preserve"> que são para tanto necessários. Mas a crítica feminista demanda que se inclua ainda no conceito de ‘provisão social’ uma parte significativa de ‘serviços’ que é </w:t>
      </w:r>
      <w:r>
        <w:rPr>
          <w:i/>
          <w:iCs/>
        </w:rPr>
        <w:t>intangível</w:t>
      </w:r>
      <w:r>
        <w:t xml:space="preserve"> (os serviços e cuidados não </w:t>
      </w:r>
      <w:r>
        <w:lastRenderedPageBreak/>
        <w:t xml:space="preserve">materiais que se iniciam na infância, mas que amiúde se estendem ao longo de toda a vida adulta), como a criação e a educação dos filhos, a transmissão de valores e de habilidades, o tratamento e o suporte aos familiares nos períodos de doença ou necessidade, etc. A partir dessa redefinição de Economia, a reivindicação feminista de inclusão do trabalho não remunerado das mulheres como economicamente relevante estaria contemplada. </w:t>
      </w:r>
    </w:p>
    <w:p w:rsidR="00397550" w:rsidRDefault="00397550" w:rsidP="00397550">
      <w:pPr>
        <w:ind w:firstLine="708"/>
      </w:pPr>
      <w:r>
        <w:t xml:space="preserve">Vejamos: em primeiro lugar, a Economia entendida como </w:t>
      </w:r>
      <w:r>
        <w:rPr>
          <w:i/>
          <w:iCs/>
        </w:rPr>
        <w:t>provisão social</w:t>
      </w:r>
      <w:r>
        <w:t xml:space="preserve"> enfatiza uma análise das atividades econômicas enquanto um processo social interdependente. Enquanto processo, a Economia está sujeita a contínuas transformações, e não existe nenhum indício de que tenda a algum tipo de ‘equilíbrio’ (mesmo dinâmico). Depois, como está imbricada no contexto social, cultural e político de determinado período histórico, a Economia é afetada pela dinâmica de classes e gênero da sociedade na qual se insere, e afetará essa dinâmica em contrapartida. Entender a atividade econômica sob esse prisma teórico ilumina a maneira como a sociedade produz, se reproduz e se auto-organiza. Essa organização é fruto de um conjunto de ações sociais, e não do simples somatório de escolhas individuais independentes. Quanto à repartição de seus resultados materiais, ela é produto de divisão social, e não da maximização da ‘utilidade total líquida’.</w:t>
      </w:r>
    </w:p>
    <w:p w:rsidR="00397550" w:rsidRDefault="00397550" w:rsidP="00397550">
      <w:r>
        <w:tab/>
        <w:t xml:space="preserve">A redefinição do objeto de estudo da Economia, entretanto, é apenas a primeira parte do projeto. A segunda levanta questões vitais em relação à metodologia tradicional que é usada para explicar o mundo econômico. </w:t>
      </w:r>
    </w:p>
    <w:p w:rsidR="00397550" w:rsidRDefault="00397550" w:rsidP="00397550">
      <w:r>
        <w:tab/>
        <w:t>Diversos trabalhos têm – direta ou indiretamente – abordado a questão da parcialidade da teoria neoclássica da escolha racional. Segundo Longino (1993b: p. 167-168), modelos podem ser parciais de pelo menos três formas distintas: deixando de fora atores de um processo, deixando de fora interações de um processo, ou ainda modelando apenas uma dentre as diversas alternativas possíveis de explicação do fenômeno. Desafortunadamente, a teoria neoclássica consegue ser parcial de todas essas maneiras.</w:t>
      </w:r>
    </w:p>
    <w:p w:rsidR="00397550" w:rsidRDefault="00397550" w:rsidP="00397550">
      <w:r>
        <w:tab/>
        <w:t xml:space="preserve">O cálculo da produção nacional baseado numa metodologia que contabiliza apenas bens e serviços monetariamente trocados no mercado formal deixa de fora o trabalho doméstico (assim como todo o trabalho informal). Deste modo, exclui uma classe de </w:t>
      </w:r>
      <w:r>
        <w:rPr>
          <w:i/>
          <w:iCs/>
        </w:rPr>
        <w:t>atores</w:t>
      </w:r>
      <w:r>
        <w:t>, que é composta predominantemente por mulheres.</w:t>
      </w:r>
    </w:p>
    <w:p w:rsidR="00397550" w:rsidRDefault="00397550" w:rsidP="00397550">
      <w:r>
        <w:tab/>
        <w:t xml:space="preserve">Assente nos pressupostos (a) – (e) acima referidos, a teoria restringe a esfera econômica apenas àquele tipo de ação que reflete preferências fixas e a maximização de suas respectivas utilidades, que devem ser independentes daquelas do grupo. Essa simplificação deixa de fora toda sorte de comportamento não egoísta e </w:t>
      </w:r>
      <w:r>
        <w:lastRenderedPageBreak/>
        <w:t xml:space="preserve">auto-interessado, tornando invisíveis todas as </w:t>
      </w:r>
      <w:r>
        <w:rPr>
          <w:i/>
          <w:iCs/>
        </w:rPr>
        <w:t>interações</w:t>
      </w:r>
      <w:r>
        <w:t xml:space="preserve"> norteadas predominantemente pela cooperação, pela solidariedade ou pelo vínculo a algum valor ético (interações essas que existem mesmo dentro do mercado constituído).</w:t>
      </w:r>
    </w:p>
    <w:p w:rsidR="00397550" w:rsidRDefault="00397550" w:rsidP="00397550">
      <w:r>
        <w:tab/>
        <w:t>Já a terceira forma de parcialidade – a representação de apenas uma dentre as múltiplas configurações possíveis que o fenômeno econômico pode assumir – pode ser ainda mais viciosa. Se a Economia dedica-se a descrever as características do comportamento racional, e se coloca como a melhor – i.e, a única rigorosa e ‘objetiva’ dentre as alternativas teóricas concorrentes – ela simultaneamente produz o efeito de guia para o agir racional, nos termos acima descritos. O indivíduo, seguindo o comportamento que a teoria dominante apresenta como sendo o correto, acabaria por legitimar a própria teoria, num excelente exemplo de ‘profecia auto-realizadora’.</w:t>
      </w:r>
      <w:r>
        <w:rPr>
          <w:rStyle w:val="Refdenotaderodap"/>
        </w:rPr>
        <w:footnoteReference w:id="50"/>
      </w:r>
    </w:p>
    <w:p w:rsidR="00397550" w:rsidRDefault="00397550" w:rsidP="00397550">
      <w:pPr>
        <w:ind w:firstLine="708"/>
      </w:pPr>
      <w:r>
        <w:t xml:space="preserve">Importante a ressaltar aqui é que os resultados alcançados por uma teoria se distinguem do conceito de ‘totalidade’: é possível apresentar-se parte da verdade, de modo que se obtenha um certo significado dos fatos segundo uma determinada configuração. As teorias organizam os fenômenos investigados em padrões mais ou menos representativos, a fim de responder a alguma pergunta ou satisfazer a alguma demanda explicativa. O erro principal em não reconhecer o caráter condicionado das alegações cognitivas consiste em proclamar como uma verdade total e absoluta aquilo que só é – e que só pode ser – uma verdade parcial. </w:t>
      </w:r>
    </w:p>
    <w:p w:rsidR="00397550" w:rsidRDefault="00397550" w:rsidP="00397550">
      <w:pPr>
        <w:ind w:firstLine="708"/>
        <w:rPr>
          <w:lang w:val="pt-PT"/>
        </w:rPr>
      </w:pPr>
      <w:r>
        <w:t>À Economia Feminista interessa tornar visível o maior número possível de formas de conhecimento, inclusive aqueles não quantificáveis, que não são passíveis de representações formais, e nem refletem leis subjacentes. Presume-se que os conhecimentos desse tipo sejam de especial importância para os problemas suscitados pela introdução da discussão de gênero, seja na Economia, seja nas ciências naturais. Como então transcender a situação de múltiplas parcialidades e tornar accessível o conhecimento numa amplitude (e plenitude) cada vez maior</w:t>
      </w:r>
      <w:r>
        <w:rPr>
          <w:lang w:val="pt-PT"/>
        </w:rPr>
        <w:t>?</w:t>
      </w:r>
    </w:p>
    <w:p w:rsidR="00397550" w:rsidRDefault="00397550" w:rsidP="00397550"/>
    <w:p w:rsidR="00397550" w:rsidRDefault="00397550" w:rsidP="00397550">
      <w:pPr>
        <w:rPr>
          <w:b/>
          <w:bCs/>
        </w:rPr>
      </w:pPr>
      <w:r>
        <w:rPr>
          <w:b/>
          <w:bCs/>
        </w:rPr>
        <w:t xml:space="preserve">4. Contornos de uma Epistemologia alternativa à tradicional </w:t>
      </w:r>
    </w:p>
    <w:p w:rsidR="00397550" w:rsidRDefault="00397550" w:rsidP="00397550"/>
    <w:p w:rsidR="00397550" w:rsidRDefault="00397550" w:rsidP="00397550">
      <w:pPr>
        <w:ind w:firstLine="708"/>
      </w:pPr>
      <w:r>
        <w:t>Uma das inflexões recentes que promovem uma interessante possibilidade alternativa à epistemologia tradicional é, conforme adiantamos na introdução, a proposta epistemológica de Hugh Lacey (1998, 1999). De fato, uma de suas preocupações centrais também remete a essa questão. Isso fica claro na sua definição acerca dos objetivos da ciência: “o objetivo fundamental da investigação científica é obter entendimento cada vez mais amplo (</w:t>
      </w:r>
      <w:r>
        <w:rPr>
          <w:i/>
          <w:iCs/>
        </w:rPr>
        <w:t>wide-ranging understanding</w:t>
      </w:r>
      <w:r>
        <w:t>) e pleno (</w:t>
      </w:r>
      <w:r>
        <w:rPr>
          <w:i/>
          <w:iCs/>
        </w:rPr>
        <w:t>full</w:t>
      </w:r>
      <w:r>
        <w:t>) dos fenômenos” (Lacey, 1999, p. 256). Podemos dizer, de início, que sua proposta epistemológica possui as seguintes características: preserva a racionalidade como um ideal epistêmico chave, introduz valores não cognitivos no núcleo da metodologia científica, sem que isso comprometa a objetividade das teorias, e finalmente, possui uma acentuada veia empirista.</w:t>
      </w:r>
    </w:p>
    <w:p w:rsidR="00397550" w:rsidRPr="00397550" w:rsidRDefault="00397550" w:rsidP="00397550">
      <w:pPr>
        <w:pStyle w:val="Corpodetexto"/>
        <w:ind w:firstLine="708"/>
        <w:jc w:val="both"/>
        <w:rPr>
          <w:bCs/>
        </w:rPr>
      </w:pPr>
      <w:r w:rsidRPr="00397550">
        <w:rPr>
          <w:bCs/>
        </w:rPr>
        <w:t>Em primeiro lugar, sua abordagem tenta levar a cabo a tarefa de propor uma epistemologia alternativa à tradicional sem resvalar seja para o relativismo, seja para a incomensurabilidade, ou ainda para algum tipo de fundamentalismo. Entende-se aqui que é possível assumir uma atitude racional e objetiva com relação àquilo que desejamos conhecer, já que a perda da objetividade como categoria normativa pode ser ainda mais danosa do que sua reconsideração. Naturalmente, essa convicção contraria a alegação bastante freqüente – e particularmente característica, porém não exclusiva – dos autores pós-modernos, segundo a qual a objetividade cognitiva seria uma ilusão, e todo conhecimento será ‘situado’.</w:t>
      </w:r>
    </w:p>
    <w:p w:rsidR="00397550" w:rsidRDefault="00397550" w:rsidP="00397550">
      <w:pPr>
        <w:pStyle w:val="Recuodecorpodetexto3"/>
        <w:rPr>
          <w:szCs w:val="24"/>
        </w:rPr>
      </w:pPr>
      <w:r>
        <w:rPr>
          <w:szCs w:val="24"/>
        </w:rPr>
        <w:t xml:space="preserve">O primeiro passo importante na proposta de Lacey é sustentar que os valores sociais e morais residem dentro do próprio núcleo do saber científico. </w:t>
      </w:r>
      <w:r>
        <w:t xml:space="preserve">A explicação científica não é uma busca aleatória e cumulativa de verdades sobre o mundo: ela procura encontrar </w:t>
      </w:r>
      <w:r>
        <w:rPr>
          <w:i/>
          <w:iCs/>
        </w:rPr>
        <w:t>aquelas</w:t>
      </w:r>
      <w:r>
        <w:t xml:space="preserve"> verdades que respondem a determinadas perguntas. A motivação dessas perguntas (sua metafísica de fundo) e também as estratégias de investigação utilizadas para formulá-las estão condicionadas por valores não cognitivos e, portanto, aquilo que conta como resposta (verdade) significativa também. </w:t>
      </w:r>
      <w:r>
        <w:rPr>
          <w:szCs w:val="24"/>
        </w:rPr>
        <w:t xml:space="preserve">A ciência de corte materialista permite que se conheçam determinadas zonas da realidade e que se ignorem outras. Isso favorece que determinados grupos sociais se beneficiem do conhecimento assim obtido, e outros percam. </w:t>
      </w:r>
    </w:p>
    <w:p w:rsidR="00397550" w:rsidRDefault="00397550" w:rsidP="00397550">
      <w:pPr>
        <w:ind w:firstLine="708"/>
      </w:pPr>
      <w:r>
        <w:t xml:space="preserve">Existe, portanto, uma relação entre as teorias e os interesses de fundo que guiam a investigação através da maneira como as perguntas estão estruturadas. Os valores morais e sociais figuram legitimamente nas estratégias que norteiam a investigação científica, pois valores podem, neste marco filosófico, dizer-nos como deslocar o foco de luz, entretanto da natureza (ou do ‘mundo’) depende aquilo que nos será revelado. É nesse sentido que o modelo de Lacey, se por um lado critica a noção tradicional de neutralidade (a </w:t>
      </w:r>
      <w:r>
        <w:rPr>
          <w:i/>
          <w:iCs/>
        </w:rPr>
        <w:t>isenção</w:t>
      </w:r>
      <w:r>
        <w:t xml:space="preserve"> de valores sociais e morais da ciência), por outro não abre mão da objetividade das teorias. Esta estaria garantida através da </w:t>
      </w:r>
      <w:r>
        <w:rPr>
          <w:i/>
          <w:iCs/>
        </w:rPr>
        <w:t>imparcialidade</w:t>
      </w:r>
      <w:r>
        <w:t xml:space="preserve"> – critério a partir do qual as teorias são legitimamente aceitas ou rejeitadas, e que se fundamenta em </w:t>
      </w:r>
      <w:r>
        <w:rPr>
          <w:i/>
          <w:iCs/>
        </w:rPr>
        <w:t>valores cognitivos</w:t>
      </w:r>
      <w:r>
        <w:t xml:space="preserve"> amplamente compartilhados pela comunidade científica. Os valores, deste </w:t>
      </w:r>
      <w:r>
        <w:lastRenderedPageBreak/>
        <w:t xml:space="preserve">modo, não conformam o conteúdo da teoria, mas estabelecem sim seus contornos e a profundidade de seu alcance. </w:t>
      </w:r>
    </w:p>
    <w:p w:rsidR="00397550" w:rsidRDefault="00397550" w:rsidP="00397550">
      <w:pPr>
        <w:ind w:firstLine="708"/>
      </w:pPr>
      <w:r>
        <w:t xml:space="preserve">Com relação à veia empirista do modelo, ela se expressa, em primeiro lugar, no ‘engajamento’social com que são conduzidas as propostas de Lacey. Ela traduz-se fundamentalmente na </w:t>
      </w:r>
      <w:r>
        <w:rPr>
          <w:i/>
        </w:rPr>
        <w:t>articulação</w:t>
      </w:r>
      <w:r>
        <w:t xml:space="preserve"> promovida entre as questões epistemológicas e os problemas práticos com que seres humanos se deparam no cenário contemporâneo. A epistemologia alternativa proposta por Lacey possui, portanto, fortes vínculos pragmáticos, que se expressam na idéia de que devem ser elaboradas teorias que privilegiem a explicação de fenômenos considerados significativos, importantes, e mesmo cruciais para os grupos de pessoas (assumindo suas diversidades). Este caminho depende de se levar em conta as necessidades e os interesses específicos das comunidades (por exemplo, no caso da crítica feminista, a partir do papel das mulheres na geração e na manutenção da vida e, portanto, da formação do capital humano, em termos econômicos). </w:t>
      </w:r>
    </w:p>
    <w:p w:rsidR="00397550" w:rsidRDefault="00397550" w:rsidP="00397550">
      <w:pPr>
        <w:pStyle w:val="Recuodecorpodetexto3"/>
        <w:rPr>
          <w:sz w:val="22"/>
        </w:rPr>
      </w:pPr>
      <w:r>
        <w:t xml:space="preserve">A indicação de novas diretrizes para a ciência passa, para Lacey, pela necessidade de se desenvolver uma </w:t>
      </w:r>
      <w:r>
        <w:rPr>
          <w:i/>
        </w:rPr>
        <w:t>pluralidade de estratégias na investigação científica</w:t>
      </w:r>
      <w:r>
        <w:t xml:space="preserve">. Através de uma redefinição do conceito restrito de ciência, ampliando-o para a idéia de ‘pesquisa empírica sistemática’, a ciência poderia ser praticada a partir de uma multiplicidade de abordagens competidoras, sendo a ciência moderna uma estratégia dentre outras. </w:t>
      </w:r>
    </w:p>
    <w:p w:rsidR="00397550" w:rsidRDefault="00397550" w:rsidP="00397550">
      <w:pPr>
        <w:pStyle w:val="Recuodecorpodetexto3"/>
      </w:pPr>
      <w:r>
        <w:t xml:space="preserve">Tal proposta requer, entretanto, não a preservação da ciência da influência dos valores sociais, ou a busca de uma forma de ciência axiologicamente neutra, mas, ao contrário, uma ampliação no leque de valores influenciando o desenvolvimento da pesquisa científica (para muito além do controle). </w:t>
      </w:r>
    </w:p>
    <w:p w:rsidR="00397550" w:rsidRDefault="00397550" w:rsidP="00397550">
      <w:pPr>
        <w:pStyle w:val="Recuodecorpodetexto3"/>
        <w:spacing w:line="240" w:lineRule="auto"/>
        <w:rPr>
          <w:szCs w:val="24"/>
        </w:rPr>
      </w:pPr>
    </w:p>
    <w:p w:rsidR="00397550" w:rsidRDefault="00397550" w:rsidP="00397550">
      <w:pPr>
        <w:pStyle w:val="Recuodecorpodetexto3"/>
        <w:rPr>
          <w:b/>
          <w:bCs/>
          <w:szCs w:val="24"/>
        </w:rPr>
      </w:pPr>
      <w:r>
        <w:rPr>
          <w:b/>
          <w:bCs/>
          <w:szCs w:val="24"/>
        </w:rPr>
        <w:t xml:space="preserve">4.1 Do </w:t>
      </w:r>
      <w:r>
        <w:rPr>
          <w:b/>
          <w:bCs/>
          <w:i/>
          <w:iCs/>
          <w:szCs w:val="24"/>
        </w:rPr>
        <w:t>monismo</w:t>
      </w:r>
      <w:r>
        <w:rPr>
          <w:b/>
          <w:bCs/>
          <w:szCs w:val="24"/>
        </w:rPr>
        <w:t xml:space="preserve"> da ciência tradicional ao </w:t>
      </w:r>
      <w:r>
        <w:rPr>
          <w:b/>
          <w:bCs/>
          <w:i/>
          <w:iCs/>
          <w:szCs w:val="24"/>
        </w:rPr>
        <w:t>pluralismo</w:t>
      </w:r>
      <w:r>
        <w:rPr>
          <w:b/>
          <w:bCs/>
          <w:szCs w:val="24"/>
        </w:rPr>
        <w:t xml:space="preserve"> da pesquisa empírica sistemática</w:t>
      </w:r>
    </w:p>
    <w:p w:rsidR="00397550" w:rsidRDefault="00397550" w:rsidP="00397550">
      <w:pPr>
        <w:pStyle w:val="Recuodecorpodetexto3"/>
        <w:spacing w:line="240" w:lineRule="auto"/>
        <w:ind w:firstLine="567"/>
        <w:rPr>
          <w:szCs w:val="24"/>
        </w:rPr>
      </w:pPr>
    </w:p>
    <w:p w:rsidR="00397550" w:rsidRDefault="00397550" w:rsidP="00397550">
      <w:pPr>
        <w:pStyle w:val="Recuodecorpodetexto3"/>
        <w:ind w:firstLine="567"/>
        <w:rPr>
          <w:sz w:val="22"/>
        </w:rPr>
      </w:pPr>
      <w:r>
        <w:t xml:space="preserve">A passagem da ciência atual para a ‘nova ciência’ – pesquisa empírica sistemática – imaginada por Lacey como uma alternativa ao reducionismo científico que hoje é a regra requer que aceitemos as seguintes idéias, muito interessantes: almejar à neutralidade não significa defender uma metodologia que está isenta de influências valorativas, a neutralidade é e deve ser defensável para o </w:t>
      </w:r>
      <w:r>
        <w:rPr>
          <w:i/>
        </w:rPr>
        <w:t>conjunto</w:t>
      </w:r>
      <w:r>
        <w:t xml:space="preserve"> da prática científica, e finalmente, a neutralidade é, em sentido amplo, não-neutra. </w:t>
      </w:r>
    </w:p>
    <w:p w:rsidR="00397550" w:rsidRDefault="00397550" w:rsidP="00397550">
      <w:pPr>
        <w:pStyle w:val="Recuodecorpodetexto3"/>
        <w:ind w:firstLine="567"/>
        <w:rPr>
          <w:bCs/>
        </w:rPr>
      </w:pPr>
      <w:r>
        <w:t xml:space="preserve">Por paradoxal que possa parecer, aceitar a diversidade e pluralidade de abordagens científicas equivale a assegurar a neutralidade da ciência como uma prática social. </w:t>
      </w:r>
      <w:r>
        <w:rPr>
          <w:bCs/>
        </w:rPr>
        <w:t xml:space="preserve">Se os produtos teóricos obtidos pela ciência tradicional não são neutros, tendo em vista que, segundo a crítica de Lacey, vinculam-se dialeticamente ao complexo dos modernos valores de controle, então a investigação conduzida sob estratégias férteis (e rivais às estratégias materialistas) geraria conseqüentemente conhecimento vinculado a valores outros, do mesmo modo rivais ao controle. Um passo adiante, seguindo essa linha de argumentação, consiste na seguinte proposição: uma vez aberta a possibilidade de coexistência de uma multiplicidade de estratégias de pesquisa concorrentes (também </w:t>
      </w:r>
      <w:r>
        <w:rPr>
          <w:bCs/>
          <w:i/>
        </w:rPr>
        <w:t>não-neutras</w:t>
      </w:r>
      <w:r>
        <w:rPr>
          <w:bCs/>
        </w:rPr>
        <w:t xml:space="preserve">, uma vez que dialeticamente vinculadas a valores que se contrapõem ao controle), estaria assegurada a possibilidade de manifestação do valor da </w:t>
      </w:r>
      <w:r>
        <w:rPr>
          <w:bCs/>
          <w:i/>
        </w:rPr>
        <w:t>neutralidade</w:t>
      </w:r>
      <w:r>
        <w:rPr>
          <w:bCs/>
        </w:rPr>
        <w:t xml:space="preserve"> de uma forma mais robusta. Significa dizer que, quanto mais </w:t>
      </w:r>
      <w:r>
        <w:rPr>
          <w:bCs/>
          <w:i/>
        </w:rPr>
        <w:t xml:space="preserve">plural </w:t>
      </w:r>
      <w:r>
        <w:rPr>
          <w:bCs/>
        </w:rPr>
        <w:t>tornar-se o desenvolvimento científico, i.e., quanto maior for o número de estratégias competidoras que co-existam, maiores também serão as chances de que uma pluralidade de valores – a elas correspondentes – seja contemplada. Isso garantiria,</w:t>
      </w:r>
      <w:r>
        <w:rPr>
          <w:b/>
        </w:rPr>
        <w:t xml:space="preserve"> </w:t>
      </w:r>
      <w:r>
        <w:rPr>
          <w:bCs/>
        </w:rPr>
        <w:t xml:space="preserve">para além de um entendimento </w:t>
      </w:r>
      <w:r>
        <w:rPr>
          <w:bCs/>
          <w:i/>
        </w:rPr>
        <w:t>pleno</w:t>
      </w:r>
      <w:r>
        <w:rPr>
          <w:bCs/>
        </w:rPr>
        <w:t xml:space="preserve"> do fenômeno, a possibilidade de realização de uma autêntica forma de desenvolvimento social. </w:t>
      </w:r>
    </w:p>
    <w:p w:rsidR="00397550" w:rsidRDefault="00397550" w:rsidP="00397550">
      <w:pPr>
        <w:pStyle w:val="Ttulo"/>
        <w:spacing w:line="360" w:lineRule="auto"/>
        <w:ind w:firstLine="708"/>
        <w:jc w:val="both"/>
        <w:rPr>
          <w:b w:val="0"/>
          <w:bCs w:val="0"/>
        </w:rPr>
      </w:pPr>
      <w:r>
        <w:rPr>
          <w:b w:val="0"/>
          <w:szCs w:val="20"/>
        </w:rPr>
        <w:lastRenderedPageBreak/>
        <w:t xml:space="preserve">Se, por um lado, a perspectiva positivista outorga prestígio ao modelo econômico da escolha racional individual, por outro, uma visão mais ampla da Economia – como aquela defendida pela perspectiva epistemológica feminista que apresentamos neste trabalho – está centrada no estudo da provisão social e propõe-se a fazer uso de um amplo arsenal de instrumentos, típicos de uma racionalidade menos restritiva do que a racionalidade instrumental – informada apenas pela lógica formal e pela busca de explicações baseadas em leis. Uma tal racionalidade ampliada contemplaria, por exemplo, “o raciocínio por analogia, por metáfora, pelo reconhecimento de padrões, pela imaginação e, como Einstein certa vez colocou, pela ‘intuição baseada na compreensão empática da experiência’”. (Nelson, 1993: pp. 29-30). </w:t>
      </w:r>
      <w:r>
        <w:rPr>
          <w:b w:val="0"/>
          <w:bCs w:val="0"/>
        </w:rPr>
        <w:t xml:space="preserve">É por este motivo que a perspectiva teórica em Economia norteada pela estratégia feminista implica, no nível metodológico, na priorização de algumas formas alternativas de compreensão dos fenômenos humanos. Uma abordagem desse tipo significa, em primeiro lugar, aceitar que as explicações intencionais possuam primazia nos domínios do comportamento humano. Deste modo, as categorias primárias na explicação comportamental serão crenças, valores, desejos e intenções, no lugar de constatações baseadas em leis, processos e estruturas subjacentes aos fenômenos sociais. Muito raramente as explicações desse tipo (intencionais) deixam-se expressar com o tipo de organização formal (dedutiva e matematicamente articulada), que é típico das teorias materialistas. O mais comum é que elas sejam formuladas em termos de narrativas enriquecidas com as regularidades dependentes das situações. </w:t>
      </w:r>
    </w:p>
    <w:p w:rsidR="00397550" w:rsidRDefault="00397550" w:rsidP="00397550">
      <w:pPr>
        <w:pStyle w:val="Ttulo"/>
        <w:ind w:firstLine="709"/>
        <w:jc w:val="both"/>
        <w:rPr>
          <w:b w:val="0"/>
          <w:bCs w:val="0"/>
        </w:rPr>
      </w:pPr>
    </w:p>
    <w:p w:rsidR="00397550" w:rsidRDefault="00397550" w:rsidP="00397550">
      <w:pPr>
        <w:pStyle w:val="Ttulo"/>
        <w:spacing w:line="360" w:lineRule="auto"/>
        <w:jc w:val="both"/>
      </w:pPr>
      <w:r>
        <w:t>4.2 Epistemologia feminista como exemplo de estratégia alternativa</w:t>
      </w:r>
    </w:p>
    <w:p w:rsidR="00397550" w:rsidRDefault="00397550" w:rsidP="00397550">
      <w:pPr>
        <w:pStyle w:val="Ttulo"/>
        <w:ind w:firstLine="709"/>
        <w:jc w:val="both"/>
        <w:rPr>
          <w:b w:val="0"/>
          <w:bCs w:val="0"/>
        </w:rPr>
      </w:pPr>
    </w:p>
    <w:p w:rsidR="00397550" w:rsidRDefault="00397550" w:rsidP="00397550">
      <w:pPr>
        <w:pStyle w:val="Ttulo"/>
        <w:spacing w:line="360" w:lineRule="auto"/>
        <w:ind w:firstLine="708"/>
        <w:jc w:val="both"/>
        <w:rPr>
          <w:b w:val="0"/>
          <w:bCs w:val="0"/>
        </w:rPr>
      </w:pPr>
      <w:r>
        <w:rPr>
          <w:b w:val="0"/>
          <w:bCs w:val="0"/>
        </w:rPr>
        <w:t>Vimos acima que Lacey defende que a pesquisa científica pode – e deve – ser norteada por uma multiplicidade de abordagens, sendo a ciência moderna apenas uma delas. Note-se que, à diferença de outros teóricos, que também sustentam essa proposta, Lacey não se limita a defender o pluralismo enquanto possibilidade teórica, em termos abstratos apenas, mas aponta também para aqueles desenvolvimentos que já estão efetivamente em curso, como é o caso da abordagem feminista</w:t>
      </w:r>
      <w:r>
        <w:rPr>
          <w:rStyle w:val="Refdenotaderodap"/>
          <w:b w:val="0"/>
          <w:bCs w:val="0"/>
        </w:rPr>
        <w:footnoteReference w:id="51"/>
      </w:r>
      <w:r>
        <w:rPr>
          <w:b w:val="0"/>
          <w:bCs w:val="0"/>
        </w:rPr>
        <w:t xml:space="preserve">. </w:t>
      </w:r>
    </w:p>
    <w:p w:rsidR="00397550" w:rsidRDefault="00397550" w:rsidP="00397550">
      <w:pPr>
        <w:pStyle w:val="Ttulo"/>
        <w:spacing w:line="360" w:lineRule="auto"/>
        <w:ind w:firstLine="708"/>
        <w:jc w:val="both"/>
        <w:rPr>
          <w:b w:val="0"/>
          <w:bCs w:val="0"/>
        </w:rPr>
      </w:pPr>
      <w:r>
        <w:rPr>
          <w:b w:val="0"/>
          <w:bCs w:val="0"/>
        </w:rPr>
        <w:lastRenderedPageBreak/>
        <w:t xml:space="preserve">A estratégia feminista é um exemplo vivo nesse sentido: de concretização das alternativas à pesquisa científica tradicional. Segundo Lacey, ela encoraja a pesquisa baseada em modelos de comportamento conflitantes com o modelo ortodoxo. Esses modelos alternativos, por sua vez, devem ser suficientemente complexos de modo a serem consistentes com a intencionalidade da ação. Essas suposições tendem a direcionar as teorias rumo à “complexidade, à heterogeneidade ontológica, à interação e, conseqüentemente, ao não-reducionismo”. (Lacey, 1999, p. 208). </w:t>
      </w:r>
      <w:r>
        <w:rPr>
          <w:b w:val="0"/>
          <w:bCs w:val="0"/>
        </w:rPr>
        <w:tab/>
      </w:r>
    </w:p>
    <w:p w:rsidR="00397550" w:rsidRDefault="00397550" w:rsidP="00397550">
      <w:pPr>
        <w:pStyle w:val="Ttulo"/>
        <w:spacing w:line="360" w:lineRule="auto"/>
        <w:ind w:firstLine="708"/>
        <w:jc w:val="both"/>
        <w:rPr>
          <w:b w:val="0"/>
        </w:rPr>
      </w:pPr>
      <w:r>
        <w:rPr>
          <w:b w:val="0"/>
          <w:bCs w:val="0"/>
        </w:rPr>
        <w:t xml:space="preserve">Em poucas palavras, portanto, o argumento fundamental para a defesa da tese de que a pluralidade de teorias e de programas de pesquisa deva ser aceita como uma característica desejável para a prática científica é o seguinte: enquanto os diferentes programas de pesquisa estiverem obtendo êxito empírico que não for conseguido por outros, haverá boas razões para considerar que os valores extracientíficos que os inspiram estão funcionando como recursos epistêmicos, que auxiliam tanto na descoberta quanto no entendimento de novos aspectos da realidade, e não como obstáculos para a busca do conhecimento, como alega a epistemologia tradicional. </w:t>
      </w:r>
      <w:r>
        <w:rPr>
          <w:b w:val="0"/>
        </w:rPr>
        <w:t xml:space="preserve">(Lacey, 1999; Longino, 2002). </w:t>
      </w:r>
    </w:p>
    <w:p w:rsidR="00397550" w:rsidRDefault="00397550" w:rsidP="00397550">
      <w:pPr>
        <w:pStyle w:val="Ttulo"/>
        <w:spacing w:line="360" w:lineRule="auto"/>
        <w:ind w:firstLine="708"/>
        <w:jc w:val="both"/>
        <w:rPr>
          <w:b w:val="0"/>
        </w:rPr>
      </w:pPr>
      <w:r>
        <w:rPr>
          <w:b w:val="0"/>
        </w:rPr>
        <w:t xml:space="preserve">No caso específico da teoria feminista, o “êxito empírico” consiste, naturalmente, na </w:t>
      </w:r>
      <w:r>
        <w:rPr>
          <w:b w:val="0"/>
          <w:i/>
          <w:iCs/>
        </w:rPr>
        <w:t>resolução</w:t>
      </w:r>
      <w:r>
        <w:rPr>
          <w:b w:val="0"/>
        </w:rPr>
        <w:t xml:space="preserve"> de </w:t>
      </w:r>
      <w:r>
        <w:rPr>
          <w:b w:val="0"/>
          <w:bCs w:val="0"/>
        </w:rPr>
        <w:t>algumas questões centrais à emancipação das mulheres</w:t>
      </w:r>
      <w:r>
        <w:rPr>
          <w:rStyle w:val="Refdenotaderodap"/>
          <w:b w:val="0"/>
          <w:bCs w:val="0"/>
        </w:rPr>
        <w:footnoteReference w:id="52"/>
      </w:r>
      <w:r>
        <w:rPr>
          <w:b w:val="0"/>
          <w:bCs w:val="0"/>
        </w:rPr>
        <w:t xml:space="preserve">: “que tipo de abordagem da ciência pode servir a esse objetivo (de expandir o exercício da ação)?”, ou “que tipo de práticas científicas incorporam a preocupação da liberação das mulheres e da igualdade social e política de todas as pessoas?”, ou ainda: “que tipo de práticas científicas pode revelar o gênero?” </w:t>
      </w:r>
      <w:r>
        <w:rPr>
          <w:b w:val="0"/>
          <w:bCs w:val="0"/>
          <w:lang w:val="pt-PT"/>
        </w:rPr>
        <w:t xml:space="preserve">(Lacey, 1999, p. 202). A resolução dessas questões – na melhor das hipóteses – ou ao menos a possibilidade de sua investigação – na pior delas – propiciaria, no limite, um avanço no processo de emancipação humana, em geral, e das mulheres, em particular. Assim, </w:t>
      </w:r>
      <w:r>
        <w:rPr>
          <w:b w:val="0"/>
        </w:rPr>
        <w:t>a coexistência de várias ‘ciências’ desse tipo – ‘não-neutras’ –, nas mais diversas áreas de investigação, seria um pré-requisito necessário para a realização do antigo ideário iluminista de construção de uma relação realmente virtuosa entre ciência e sociedade. Nesse tecido cultural alternativo – onde deve prevalecer o pluralismo –, o interesse fundamental da co-existência de múltiplos valores sociais incorporados nas diferentes estratégias de pesquisa passa a ser o fomento ao desenvolvimento do</w:t>
      </w:r>
      <w:r>
        <w:rPr>
          <w:b w:val="0"/>
          <w:i/>
          <w:iCs/>
        </w:rPr>
        <w:t xml:space="preserve"> ser humano</w:t>
      </w:r>
      <w:r>
        <w:rPr>
          <w:b w:val="0"/>
        </w:rPr>
        <w:t xml:space="preserve"> – independente de gênero, raça, ou classe social.</w:t>
      </w:r>
    </w:p>
    <w:p w:rsidR="00397550" w:rsidRDefault="00397550" w:rsidP="00397550">
      <w:pPr>
        <w:pStyle w:val="TextosemFormatao"/>
        <w:ind w:firstLine="709"/>
        <w:jc w:val="both"/>
        <w:rPr>
          <w:rFonts w:ascii="Times New Roman" w:hAnsi="Times New Roman"/>
          <w:sz w:val="24"/>
        </w:rPr>
      </w:pPr>
    </w:p>
    <w:p w:rsidR="00397550" w:rsidRDefault="00397550" w:rsidP="00397550">
      <w:pPr>
        <w:pStyle w:val="TextosemFormatao"/>
        <w:spacing w:line="360" w:lineRule="auto"/>
        <w:jc w:val="both"/>
        <w:rPr>
          <w:rFonts w:ascii="Times New Roman" w:hAnsi="Times New Roman"/>
          <w:b/>
          <w:bCs/>
          <w:sz w:val="24"/>
        </w:rPr>
      </w:pPr>
      <w:r>
        <w:rPr>
          <w:rFonts w:ascii="Times New Roman" w:hAnsi="Times New Roman"/>
          <w:b/>
          <w:bCs/>
          <w:sz w:val="24"/>
        </w:rPr>
        <w:t>5. Considerações finais</w:t>
      </w:r>
    </w:p>
    <w:p w:rsidR="00397550" w:rsidRDefault="00397550" w:rsidP="00397550">
      <w:pPr>
        <w:pStyle w:val="TextosemFormatao"/>
        <w:ind w:firstLine="709"/>
        <w:jc w:val="both"/>
        <w:rPr>
          <w:rFonts w:ascii="Times New Roman" w:hAnsi="Times New Roman"/>
          <w:sz w:val="24"/>
        </w:rPr>
      </w:pPr>
    </w:p>
    <w:p w:rsidR="00397550" w:rsidRDefault="00397550" w:rsidP="00397550">
      <w:pPr>
        <w:pStyle w:val="Recuodecorpodetexto3"/>
        <w:ind w:firstLine="709"/>
      </w:pPr>
      <w:r>
        <w:t xml:space="preserve">Sob múltiplos aspectos – sendo o econômico apenas um deles –, a questão da mulher na atualidade está ainda muito longe de ser resolvida. Não é novidade alguma a afirmação que sua entrada massiva no mercado de trabalho na grande maioria dos casos não foi acompanhada por uma correspondente e eqüitativa divisão do trabalho doméstico, da criação dos filhos e, quando necessário, dos cuidados com os doentes e idosos da família (o chamado </w:t>
      </w:r>
      <w:r>
        <w:rPr>
          <w:i/>
          <w:iCs/>
        </w:rPr>
        <w:t>caring labor</w:t>
      </w:r>
      <w:r>
        <w:t xml:space="preserve">). </w:t>
      </w:r>
    </w:p>
    <w:p w:rsidR="00397550" w:rsidRDefault="00397550" w:rsidP="00397550">
      <w:pPr>
        <w:pStyle w:val="Recuodecorpodetexto3"/>
        <w:ind w:firstLine="709"/>
      </w:pPr>
      <w:r>
        <w:t xml:space="preserve">Esta sobrecarga foi, não sem esforço, gradualmente incorporada ao dia-a-dia, já que a esfera doméstica é (secular e) ‘naturalmente’, associada à mulher – mãe, esposa, dona-de-casa. É a conhecida dupla jornada, que todos – mulheres e homens – conhecemos, por experiência ou por ouvir falar. Se uma dessas jornadas é invisível do ponto de vista econômico e se essa invisibilidade reforça e retroalimenta uma situação de subjugação e desigualdade para 50 por cento da humanidade, este, por si só, já deveria ser um motivo suficiente para que a crítica feminista da Economia fosse considerada merecedora de uma atenção teórica maior. Nesse sentido, em que pesem todas as conquistas já alcançadas pelo movimento feminista (como o direito ao voto e a inserção no mercado de trabalho, por exemplo), ainda há um longo caminho a ser trilhado. </w:t>
      </w:r>
    </w:p>
    <w:p w:rsidR="00397550" w:rsidRDefault="00397550" w:rsidP="00397550">
      <w:pPr>
        <w:pStyle w:val="Recuodecorpodetexto3"/>
        <w:ind w:firstLine="709"/>
      </w:pPr>
      <w:r>
        <w:t>Acredito que a Epistemologia tenha muito a contribuir na construção desse percurso, em especial o tipo de Epistemologia engajada, que privilegiamos nesse trabalho. Se for possível demonstrar que existe a viabilidade de que</w:t>
      </w:r>
      <w:r>
        <w:rPr>
          <w:bCs/>
        </w:rPr>
        <w:t xml:space="preserve"> teorias alternativas sejam, a um tempo, cientificamente legítimas – i.e. objetivas (no sentido de salvaguardarem a imparcialidade) – e autenticamente neutras (incorporando uma pluralidade de valores sociais que correspondam ao leque de valores existentes em uma sociedade), então podem estar lançadas as bases para a fundamentação metodológica e epistemológica de projetos econômicos (e políticos) com objetivos antagônicos ao atual modelo neoliberal, o que repercutiria sobre o próprio sentido das políticas de governo. Foi a esse objetivo </w:t>
      </w:r>
      <w:r>
        <w:t xml:space="preserve">que o presente trabalho, através da apresentação da proposta teórica da Economia Feminista, pretendeu prestar uma contribuição. </w:t>
      </w:r>
    </w:p>
    <w:p w:rsidR="00397550" w:rsidRDefault="00397550" w:rsidP="00397550">
      <w:pPr>
        <w:pStyle w:val="Recuodecorpodetexto3"/>
        <w:ind w:firstLine="709"/>
      </w:pPr>
      <w:r>
        <w:t xml:space="preserve">Do ponto de vista das críticas feministas ao arcabouço metodológico do </w:t>
      </w:r>
      <w:r>
        <w:rPr>
          <w:i/>
          <w:iCs/>
        </w:rPr>
        <w:t xml:space="preserve">mainstream </w:t>
      </w:r>
      <w:r>
        <w:t>da Economia, suas demandas são, como assinalamos ao longo do texto, convergentes com um tipo de questionamento que já vem sendo feito há algum tempo por outras abordagens heterodoxas não feministas. Penso que este fato possa contar como um ponto a favor do movimento, e não contra ele. Se uma crítica pode ser defensável a partir de diferentes pontos de partida, isso deveria denotar a robustez de suas reivindicações comuns, mais do que uma eventual fraqueza decorrente de algumas outras divergências ou de particularidades de cada eixo teórico, que necessitam ainda ser discutidas. Nesse sentido, é bastante oportuna uma observação de Julie Nelson (1995, p. 146), uma das economistas feministas mais atuantes deste a década de 1990:</w:t>
      </w:r>
    </w:p>
    <w:p w:rsidR="00397550" w:rsidRDefault="00397550" w:rsidP="00397550">
      <w:pPr>
        <w:pStyle w:val="Recuodecorpodetexto3"/>
        <w:spacing w:line="240" w:lineRule="auto"/>
        <w:ind w:firstLine="709"/>
      </w:pPr>
    </w:p>
    <w:p w:rsidR="00397550" w:rsidRDefault="00397550" w:rsidP="00397550">
      <w:pPr>
        <w:pStyle w:val="Recuodecorpodetexto3"/>
        <w:spacing w:line="240" w:lineRule="auto"/>
        <w:ind w:left="709"/>
        <w:rPr>
          <w:sz w:val="22"/>
        </w:rPr>
      </w:pPr>
      <w:r>
        <w:rPr>
          <w:sz w:val="22"/>
        </w:rPr>
        <w:t>Vários leitores podem ter descoberto que já estão fazendo ‘economia feminista’ de alguma forma, muito embora prefiram pensar em si mesmos como fazendo apenas ‘boa economia’. Se alguém sente a necessidade de defender seu trabalho da descrição ‘feminista’, poderia ser esclarecedor se perguntar sobre a fonte deste desconforto. Talvez essa defensiva reflita crenças culturais sobre masculinidade e feminilidade e superioridade e inferioridade, que poderiam merecer algum exame.</w:t>
      </w:r>
    </w:p>
    <w:p w:rsidR="00397550" w:rsidRDefault="00397550" w:rsidP="00397550">
      <w:pPr>
        <w:pStyle w:val="Recuodecorpodetexto3"/>
        <w:spacing w:line="240" w:lineRule="auto"/>
        <w:ind w:firstLine="709"/>
      </w:pPr>
    </w:p>
    <w:p w:rsidR="00397550" w:rsidRDefault="00397550" w:rsidP="00397550">
      <w:pPr>
        <w:pStyle w:val="TextosemFormatao"/>
        <w:spacing w:line="360" w:lineRule="auto"/>
        <w:ind w:firstLine="709"/>
        <w:jc w:val="both"/>
        <w:rPr>
          <w:rFonts w:ascii="Times New Roman" w:hAnsi="Times New Roman"/>
          <w:sz w:val="24"/>
        </w:rPr>
      </w:pPr>
      <w:r>
        <w:rPr>
          <w:rFonts w:ascii="Times New Roman" w:hAnsi="Times New Roman"/>
          <w:sz w:val="24"/>
        </w:rPr>
        <w:t xml:space="preserve">Um (difícil, porém frutífero) caminho seria estabelecer uma cooperação mais próxima entre as outras linhas teóricas críticas à tradição neoclássica e aprofundar a discussão de posições conjuntas. </w:t>
      </w:r>
      <w:r>
        <w:rPr>
          <w:rFonts w:ascii="Times New Roman" w:hAnsi="Times New Roman"/>
          <w:sz w:val="24"/>
        </w:rPr>
        <w:lastRenderedPageBreak/>
        <w:t>Acredito que o trabalho teórico de articulação pode contribuir – e muito – para o avanço do movimento de promoção das alternativas. Este não foi diretamente o propósito desse texto, porém se coloca como um desdobramento esperável, a partir da alternativa epistemológica pluralista aqui defendida.</w:t>
      </w:r>
    </w:p>
    <w:p w:rsidR="00397550" w:rsidRDefault="00397550" w:rsidP="00397550">
      <w:pPr>
        <w:pStyle w:val="TextosemFormatao"/>
        <w:jc w:val="both"/>
        <w:rPr>
          <w:rFonts w:ascii="Times New Roman" w:hAnsi="Times New Roman"/>
          <w:b/>
          <w:bCs/>
          <w:sz w:val="24"/>
          <w:lang w:val="pt-PT"/>
        </w:rPr>
      </w:pPr>
    </w:p>
    <w:p w:rsidR="00397550" w:rsidRDefault="00397550" w:rsidP="00397550">
      <w:pPr>
        <w:pStyle w:val="TextosemFormatao"/>
        <w:spacing w:line="360" w:lineRule="auto"/>
        <w:jc w:val="both"/>
        <w:rPr>
          <w:rFonts w:ascii="Times New Roman" w:hAnsi="Times New Roman"/>
          <w:b/>
          <w:bCs/>
          <w:sz w:val="24"/>
          <w:lang w:val="pt-PT"/>
        </w:rPr>
      </w:pPr>
      <w:r>
        <w:rPr>
          <w:rFonts w:ascii="Times New Roman" w:hAnsi="Times New Roman"/>
          <w:b/>
          <w:bCs/>
          <w:sz w:val="24"/>
          <w:lang w:val="pt-PT"/>
        </w:rPr>
        <w:t>6. Referências bibliográficas</w:t>
      </w:r>
    </w:p>
    <w:p w:rsidR="00397550" w:rsidRDefault="00397550" w:rsidP="00397550">
      <w:pPr>
        <w:pStyle w:val="TextosemFormatao"/>
        <w:ind w:left="539" w:hanging="539"/>
        <w:jc w:val="both"/>
        <w:rPr>
          <w:rFonts w:ascii="Times New Roman" w:hAnsi="Times New Roman"/>
          <w:sz w:val="24"/>
          <w:lang w:val="pt-PT"/>
        </w:rPr>
      </w:pPr>
    </w:p>
    <w:p w:rsidR="00397550" w:rsidRDefault="00397550" w:rsidP="00397550">
      <w:pPr>
        <w:pStyle w:val="Recuodecorpodetexto2"/>
        <w:spacing w:line="240" w:lineRule="auto"/>
        <w:rPr>
          <w:lang w:val="es-ES_tradnl"/>
        </w:rPr>
      </w:pPr>
      <w:r>
        <w:t>BARKER, Drucilla; KUIPER, Edith (ed.) Toward a feminist philosophy of economics. London: Routledge, 2003.</w:t>
      </w:r>
    </w:p>
    <w:p w:rsidR="00397550" w:rsidRDefault="00397550" w:rsidP="00397550">
      <w:pPr>
        <w:ind w:left="540" w:hanging="540"/>
        <w:rPr>
          <w:lang w:val="en-US"/>
        </w:rPr>
      </w:pPr>
      <w:r>
        <w:rPr>
          <w:lang w:val="es-ES_tradnl"/>
        </w:rPr>
        <w:t>CARRASCO, Cristina. “Hacia una economía feminista”. In: CARRASCO, Cristina (ed.) Mujeres y economía. Nuevas perspectivas para viejos e novos problemas</w:t>
      </w:r>
      <w:r>
        <w:rPr>
          <w:i/>
          <w:iCs/>
          <w:lang w:val="es-ES_tradnl"/>
        </w:rPr>
        <w:t>.</w:t>
      </w:r>
      <w:r>
        <w:rPr>
          <w:lang w:val="es-ES_tradnl"/>
        </w:rPr>
        <w:t xml:space="preserve"> </w:t>
      </w:r>
      <w:r>
        <w:rPr>
          <w:lang w:val="en-US"/>
        </w:rPr>
        <w:t>Icaria Editions: Barcelona, p. 1-14, 1999.</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ENGLAND, Paula; FOLBRE, Nancy. “Contracting for care”. In: FERBER, Marianne A.; NELSON, Julie A. (ed.) </w:t>
      </w:r>
      <w:r>
        <w:rPr>
          <w:rFonts w:ascii="Times New Roman" w:hAnsi="Times New Roman"/>
          <w:iCs/>
          <w:sz w:val="24"/>
          <w:lang w:val="en-US"/>
        </w:rPr>
        <w:t>Feminist economics today: Beyond economic man.</w:t>
      </w:r>
      <w:r>
        <w:rPr>
          <w:rFonts w:ascii="Times New Roman" w:hAnsi="Times New Roman"/>
          <w:sz w:val="24"/>
          <w:lang w:val="en-US"/>
        </w:rPr>
        <w:t xml:space="preserve"> Chicago: University of Chicago Press, p. 61-79, 2003.</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FERBER, Marianne A.; NELSON, Julie A. (ed.) </w:t>
      </w:r>
      <w:r>
        <w:rPr>
          <w:rFonts w:ascii="Times New Roman" w:hAnsi="Times New Roman"/>
          <w:iCs/>
          <w:sz w:val="24"/>
          <w:lang w:val="en-US"/>
        </w:rPr>
        <w:t>Beyond Economic Man: Feminist Theory and Economics</w:t>
      </w:r>
      <w:r>
        <w:rPr>
          <w:rFonts w:ascii="Times New Roman" w:hAnsi="Times New Roman"/>
          <w:sz w:val="24"/>
          <w:lang w:val="en-US"/>
        </w:rPr>
        <w:t>. Chicago: University of Chicago Press, 1993.</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FERBER, Marianne A.; NELSON, Julie A. (ed.) </w:t>
      </w:r>
      <w:r>
        <w:rPr>
          <w:rFonts w:ascii="Times New Roman" w:hAnsi="Times New Roman"/>
          <w:iCs/>
          <w:sz w:val="24"/>
          <w:lang w:val="en-US"/>
        </w:rPr>
        <w:t>Feminist Economics Today: Beyond Economic Man</w:t>
      </w:r>
      <w:r>
        <w:rPr>
          <w:rFonts w:ascii="Times New Roman" w:hAnsi="Times New Roman"/>
          <w:sz w:val="24"/>
          <w:lang w:val="en-US"/>
        </w:rPr>
        <w:t>. Chicago: University of Chicago Press, 2003.</w:t>
      </w:r>
    </w:p>
    <w:p w:rsidR="00397550" w:rsidRDefault="00397550" w:rsidP="00397550">
      <w:pPr>
        <w:pStyle w:val="Textodenotaderodap"/>
        <w:ind w:left="540" w:hanging="540"/>
        <w:jc w:val="both"/>
        <w:rPr>
          <w:sz w:val="24"/>
          <w:lang w:val="en-US"/>
        </w:rPr>
      </w:pPr>
      <w:r>
        <w:rPr>
          <w:sz w:val="24"/>
          <w:lang w:val="en-US"/>
        </w:rPr>
        <w:t>FRANK, Robert; GILOVICH, Thomas; REGAN, Dennis.T. “Does studying economics inhibt cooperation?” The Journal of Economic Perspective, v. 7, n. 2, p. 159-171, 1993.</w:t>
      </w:r>
    </w:p>
    <w:p w:rsidR="00397550" w:rsidRDefault="00397550" w:rsidP="00397550">
      <w:pPr>
        <w:pStyle w:val="Textodenotaderodap"/>
        <w:ind w:left="540" w:hanging="540"/>
        <w:jc w:val="both"/>
        <w:rPr>
          <w:sz w:val="24"/>
          <w:lang w:val="en-US"/>
        </w:rPr>
      </w:pPr>
      <w:r>
        <w:rPr>
          <w:sz w:val="24"/>
          <w:lang w:val="en-US"/>
        </w:rPr>
        <w:t>HIMEMELWEIT, Susan. “An evolutionary approach to feminist economics. Two different models of caring”. In: BARKER, Drucilla.; KUIPER, Edith. (ed.) Toward a feminist philosophy of economics. London: Routledge, p. 247-265, 2003.</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JENNINGS, Ann. “Public or private? Institutional economics and feminism.” In: FERBER, Marianne. A.; NELSON, Julie. A. (ed.)  </w:t>
      </w:r>
      <w:r>
        <w:rPr>
          <w:rFonts w:ascii="Times New Roman" w:hAnsi="Times New Roman"/>
          <w:iCs/>
          <w:sz w:val="24"/>
          <w:lang w:val="en-US"/>
        </w:rPr>
        <w:t>Beyond economic man: feminist theory and economics</w:t>
      </w:r>
      <w:r>
        <w:rPr>
          <w:rFonts w:ascii="Times New Roman" w:hAnsi="Times New Roman"/>
          <w:sz w:val="24"/>
          <w:lang w:val="en-US"/>
        </w:rPr>
        <w:t>. Chicago: University of Chicago Press, p. 111-129, 1993.</w:t>
      </w:r>
    </w:p>
    <w:p w:rsidR="00397550" w:rsidRDefault="00397550" w:rsidP="00397550">
      <w:r>
        <w:t xml:space="preserve">LACEY, Hugh. </w:t>
      </w:r>
      <w:r>
        <w:rPr>
          <w:iCs/>
        </w:rPr>
        <w:t>Valores e atividade científica</w:t>
      </w:r>
      <w:r>
        <w:t>. São Paulo: Discurso Editorial, 1998.</w:t>
      </w:r>
    </w:p>
    <w:p w:rsidR="00397550" w:rsidRDefault="00397550" w:rsidP="00397550">
      <w:pPr>
        <w:ind w:left="540" w:hanging="540"/>
        <w:rPr>
          <w:lang w:val="en-US"/>
        </w:rPr>
      </w:pPr>
      <w:r>
        <w:rPr>
          <w:lang w:val="en-US"/>
        </w:rPr>
        <w:t xml:space="preserve">LACEY, Hugh. </w:t>
      </w:r>
      <w:r>
        <w:rPr>
          <w:iCs/>
          <w:lang w:val="en-US"/>
        </w:rPr>
        <w:t>Is science value free? Values and scientific understanding</w:t>
      </w:r>
      <w:r>
        <w:rPr>
          <w:b/>
          <w:lang w:val="en-US"/>
        </w:rPr>
        <w:t>.</w:t>
      </w:r>
      <w:r>
        <w:rPr>
          <w:lang w:val="en-US"/>
        </w:rPr>
        <w:t xml:space="preserve"> New York: Routledge, 1999.</w:t>
      </w:r>
    </w:p>
    <w:p w:rsidR="00397550" w:rsidRDefault="00397550" w:rsidP="00397550">
      <w:pPr>
        <w:pStyle w:val="Corpodetexto"/>
        <w:ind w:left="540" w:hanging="540"/>
        <w:jc w:val="both"/>
        <w:rPr>
          <w:b/>
          <w:bCs/>
        </w:rPr>
      </w:pPr>
      <w:r>
        <w:rPr>
          <w:b/>
          <w:bCs/>
        </w:rPr>
        <w:t xml:space="preserve">LACEY, Hugh. “As formas nas quais as ciências são e não são livres de valores”. </w:t>
      </w:r>
      <w:r>
        <w:rPr>
          <w:b/>
          <w:bCs/>
          <w:iCs/>
        </w:rPr>
        <w:t>Crítica</w:t>
      </w:r>
      <w:r>
        <w:rPr>
          <w:b/>
          <w:bCs/>
        </w:rPr>
        <w:t>, v. 6, n. 21, p. 89-111, 2000.</w:t>
      </w:r>
    </w:p>
    <w:p w:rsidR="00397550" w:rsidRDefault="00397550" w:rsidP="00397550">
      <w:pPr>
        <w:ind w:left="426" w:hanging="426"/>
        <w:rPr>
          <w:lang w:val="en-US"/>
        </w:rPr>
      </w:pPr>
      <w:r>
        <w:t xml:space="preserve">LACEY, Hugh. “Existe uma distinção relevante entre valores cognitivos e sociais?” </w:t>
      </w:r>
      <w:r>
        <w:rPr>
          <w:iCs/>
          <w:lang w:val="en-US"/>
        </w:rPr>
        <w:t>Scientiae Studia</w:t>
      </w:r>
      <w:r>
        <w:rPr>
          <w:lang w:val="en-US"/>
        </w:rPr>
        <w:t>, v.1, n. 2, p. 121.49, 2003.</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pt-PT"/>
        </w:rPr>
        <w:t xml:space="preserve">LAVOIE, </w:t>
      </w:r>
      <w:r>
        <w:rPr>
          <w:rFonts w:ascii="Times New Roman" w:hAnsi="Times New Roman"/>
          <w:sz w:val="24"/>
          <w:lang w:val="en-US"/>
        </w:rPr>
        <w:t xml:space="preserve">Marc. “The tight links between post-keynesian and feminist economics”, </w:t>
      </w:r>
      <w:r>
        <w:rPr>
          <w:rFonts w:ascii="Times New Roman" w:hAnsi="Times New Roman"/>
          <w:i/>
          <w:iCs/>
          <w:sz w:val="24"/>
          <w:lang w:val="en-US"/>
        </w:rPr>
        <w:t>Post</w:t>
      </w:r>
      <w:r>
        <w:rPr>
          <w:rFonts w:ascii="Times New Roman" w:hAnsi="Times New Roman"/>
          <w:sz w:val="24"/>
          <w:lang w:val="en-US"/>
        </w:rPr>
        <w:t>-</w:t>
      </w:r>
      <w:r>
        <w:rPr>
          <w:rFonts w:ascii="Times New Roman" w:hAnsi="Times New Roman"/>
          <w:i/>
          <w:iCs/>
          <w:sz w:val="24"/>
          <w:lang w:val="en-US"/>
        </w:rPr>
        <w:t>autistic</w:t>
      </w:r>
      <w:r>
        <w:rPr>
          <w:rFonts w:ascii="Times New Roman" w:hAnsi="Times New Roman"/>
          <w:sz w:val="24"/>
          <w:lang w:val="en-US"/>
        </w:rPr>
        <w:t xml:space="preserve"> </w:t>
      </w:r>
      <w:r>
        <w:rPr>
          <w:rFonts w:ascii="Times New Roman" w:hAnsi="Times New Roman"/>
          <w:i/>
          <w:iCs/>
          <w:sz w:val="24"/>
          <w:lang w:val="en-US"/>
        </w:rPr>
        <w:t>economics</w:t>
      </w:r>
      <w:r>
        <w:rPr>
          <w:rFonts w:ascii="Times New Roman" w:hAnsi="Times New Roman"/>
          <w:sz w:val="24"/>
          <w:lang w:val="en-US"/>
        </w:rPr>
        <w:t xml:space="preserve"> </w:t>
      </w:r>
      <w:r>
        <w:rPr>
          <w:rFonts w:ascii="Times New Roman" w:hAnsi="Times New Roman"/>
          <w:i/>
          <w:iCs/>
          <w:sz w:val="24"/>
          <w:lang w:val="en-US"/>
        </w:rPr>
        <w:t>newsletter</w:t>
      </w:r>
      <w:r>
        <w:rPr>
          <w:rFonts w:ascii="Times New Roman" w:hAnsi="Times New Roman"/>
          <w:sz w:val="24"/>
          <w:lang w:val="en-US"/>
        </w:rPr>
        <w:t xml:space="preserve">, v.11, n.2, jan. 2002. In: </w:t>
      </w:r>
      <w:hyperlink r:id="rId25" w:history="1">
        <w:r>
          <w:rPr>
            <w:rStyle w:val="Hyperlink"/>
            <w:rFonts w:ascii="Times New Roman" w:eastAsia="Arial" w:hAnsi="Times New Roman"/>
            <w:sz w:val="24"/>
          </w:rPr>
          <w:t>http://www.btinternet.com/~pae_news/review/issue11.htm</w:t>
        </w:r>
      </w:hyperlink>
      <w:r>
        <w:rPr>
          <w:rFonts w:ascii="Times New Roman" w:hAnsi="Times New Roman"/>
          <w:sz w:val="24"/>
          <w:lang w:val="en-US"/>
        </w:rPr>
        <w:t xml:space="preserve">. </w:t>
      </w:r>
    </w:p>
    <w:p w:rsidR="00397550" w:rsidRDefault="00397550" w:rsidP="00397550">
      <w:pPr>
        <w:pStyle w:val="Recuodecorpodetexto"/>
        <w:spacing w:line="240" w:lineRule="auto"/>
        <w:ind w:left="540" w:hanging="540"/>
        <w:rPr>
          <w:rFonts w:ascii="Times New Roman" w:hAnsi="Times New Roman"/>
          <w:lang w:val="en-US"/>
        </w:rPr>
      </w:pPr>
      <w:r>
        <w:rPr>
          <w:rFonts w:ascii="Times New Roman" w:hAnsi="Times New Roman"/>
          <w:lang w:val="en-US"/>
        </w:rPr>
        <w:t>LONGINO, Helen. Science as social knowledge: values and objectivity in scientific inquiry.</w:t>
      </w:r>
      <w:r>
        <w:rPr>
          <w:rFonts w:ascii="Times New Roman" w:hAnsi="Times New Roman"/>
          <w:i/>
          <w:iCs/>
          <w:lang w:val="en-US"/>
        </w:rPr>
        <w:t xml:space="preserve"> </w:t>
      </w:r>
      <w:r>
        <w:rPr>
          <w:rFonts w:ascii="Times New Roman" w:hAnsi="Times New Roman"/>
          <w:lang w:val="en-US"/>
        </w:rPr>
        <w:t>New Jersey: Princeton University Press, 1990.</w:t>
      </w:r>
    </w:p>
    <w:p w:rsidR="00397550" w:rsidRDefault="00397550" w:rsidP="00397550">
      <w:pPr>
        <w:pStyle w:val="Recuodecorpodetexto"/>
        <w:spacing w:line="240" w:lineRule="auto"/>
        <w:ind w:left="540" w:hanging="540"/>
        <w:rPr>
          <w:rFonts w:ascii="Times New Roman" w:hAnsi="Times New Roman"/>
          <w:lang w:val="en-US"/>
        </w:rPr>
      </w:pPr>
      <w:r>
        <w:rPr>
          <w:rFonts w:ascii="Times New Roman" w:hAnsi="Times New Roman"/>
          <w:lang w:val="en-US"/>
        </w:rPr>
        <w:lastRenderedPageBreak/>
        <w:t>LONGINO, Helen. “Subjects, power and knowledge: descriptions and prescriptions in feminist philosophies of science”. In: KELLER, Evelyn Fox; LONGINO, Helen (ed.) Feminism and Science. Oxford: Oxford University Press, p. 264-279, 1993a.</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LONGINO, Helen. “Economics for whom?” In: FERBER, M. A.; NELSON, Julie A. (ed.) </w:t>
      </w:r>
      <w:r>
        <w:rPr>
          <w:rFonts w:ascii="Times New Roman" w:hAnsi="Times New Roman"/>
          <w:iCs/>
          <w:sz w:val="24"/>
          <w:lang w:val="en-US"/>
        </w:rPr>
        <w:t>Beyond Economic Man: Feminist Theory and Economics</w:t>
      </w:r>
      <w:r>
        <w:rPr>
          <w:rFonts w:ascii="Times New Roman" w:hAnsi="Times New Roman"/>
          <w:sz w:val="24"/>
          <w:lang w:val="en-US"/>
        </w:rPr>
        <w:t>. Chicago: University of Chicago Press, p. 158-168, 1993b.</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LONGINO, Helen. The fate of knowledge. Princeton: Princeton University Press, 2002.</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NELSON, Julie. “The study of choice or the study of provisioning? Gender and the definition of economics.” In: FERBER, Marianne A.; NELSON, Julie A. </w:t>
      </w:r>
      <w:r>
        <w:rPr>
          <w:rFonts w:ascii="Times New Roman" w:hAnsi="Times New Roman"/>
          <w:iCs/>
          <w:sz w:val="24"/>
          <w:lang w:val="en-US"/>
        </w:rPr>
        <w:t>Beyond economic man: feminist theory and economics</w:t>
      </w:r>
      <w:r>
        <w:rPr>
          <w:rFonts w:ascii="Times New Roman" w:hAnsi="Times New Roman"/>
          <w:sz w:val="24"/>
          <w:lang w:val="en-US"/>
        </w:rPr>
        <w:t>. Chicago: University of Chicago Press, p. 23-36, 1993.</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NELSON, Julie. “Feminism and economics”. The Journal of Economic Perspectives, v. 9, n. 2, p. 131-148, 1995.</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NELSON, Julie. “Feminism, ecology and the philosophy of economics”. Ecological Economics, v. 20, p. 155-162, 1997.</w:t>
      </w:r>
    </w:p>
    <w:p w:rsidR="00397550" w:rsidRDefault="00397550" w:rsidP="00397550">
      <w:pPr>
        <w:pStyle w:val="TextosemFormatao"/>
        <w:ind w:left="540" w:hanging="540"/>
        <w:jc w:val="both"/>
        <w:rPr>
          <w:rFonts w:ascii="Times New Roman" w:hAnsi="Times New Roman"/>
          <w:sz w:val="24"/>
          <w:lang w:val="en-US"/>
        </w:rPr>
      </w:pPr>
      <w:r>
        <w:rPr>
          <w:rFonts w:ascii="Times New Roman" w:hAnsi="Times New Roman"/>
          <w:sz w:val="24"/>
          <w:lang w:val="en-US"/>
        </w:rPr>
        <w:t xml:space="preserve">NELSON, Julie. “Why the PAE Movement Needs Feminism?” Post-autistic economics newsletter, v. 9, n. 1. In: </w:t>
      </w:r>
      <w:hyperlink r:id="rId26" w:history="1">
        <w:r>
          <w:rPr>
            <w:rStyle w:val="Hyperlink"/>
            <w:rFonts w:ascii="Times New Roman" w:eastAsia="Arial" w:hAnsi="Times New Roman"/>
            <w:sz w:val="24"/>
          </w:rPr>
          <w:t>http://www.btinternet.com/~pae_news/review/issue9.htm</w:t>
        </w:r>
      </w:hyperlink>
      <w:r>
        <w:rPr>
          <w:rFonts w:ascii="Times New Roman" w:hAnsi="Times New Roman"/>
          <w:sz w:val="24"/>
          <w:lang w:val="en-US"/>
        </w:rPr>
        <w:t>, 2001a.</w:t>
      </w:r>
    </w:p>
    <w:p w:rsidR="00397550" w:rsidRDefault="00397550" w:rsidP="00397550">
      <w:pPr>
        <w:pStyle w:val="Recuodecorpodetexto"/>
        <w:spacing w:line="240" w:lineRule="auto"/>
        <w:ind w:left="540" w:hanging="540"/>
        <w:rPr>
          <w:rFonts w:ascii="Times New Roman" w:hAnsi="Times New Roman"/>
          <w:lang w:val="en-US"/>
        </w:rPr>
      </w:pPr>
      <w:r>
        <w:rPr>
          <w:rFonts w:ascii="Times New Roman" w:hAnsi="Times New Roman"/>
          <w:lang w:val="en-US"/>
        </w:rPr>
        <w:t>NELSON, Julie. “Economic methodology and feminist critiques.” Journal of Economic Methodology, v. 8, n. 1, p. 93-97, 2001b.</w:t>
      </w:r>
    </w:p>
    <w:p w:rsidR="00397550" w:rsidRDefault="00397550" w:rsidP="00397550">
      <w:pPr>
        <w:pStyle w:val="Recuodecorpodetexto"/>
        <w:spacing w:line="240" w:lineRule="auto"/>
        <w:ind w:left="540" w:hanging="540"/>
        <w:rPr>
          <w:rFonts w:ascii="Times New Roman" w:hAnsi="Times New Roman"/>
          <w:lang w:val="en-US"/>
        </w:rPr>
      </w:pPr>
      <w:r>
        <w:rPr>
          <w:rFonts w:ascii="Times New Roman" w:hAnsi="Times New Roman"/>
          <w:lang w:val="en-US"/>
        </w:rPr>
        <w:t>NELSON, Julie. “Confronting the science/value split: notes on feminist economics, institutionalism, pragmatism and process thought”. Cambridge Journal of Economics, v. 1, n. 27, p. 49-64, jan. 2003.</w:t>
      </w:r>
    </w:p>
    <w:p w:rsidR="00397550" w:rsidRDefault="00397550" w:rsidP="00397550">
      <w:pPr>
        <w:pStyle w:val="Textodenotaderodap"/>
        <w:ind w:left="540" w:hanging="540"/>
        <w:jc w:val="both"/>
        <w:rPr>
          <w:sz w:val="24"/>
          <w:lang w:val="en-US"/>
        </w:rPr>
      </w:pPr>
      <w:r>
        <w:rPr>
          <w:sz w:val="24"/>
          <w:lang w:val="en-US"/>
        </w:rPr>
        <w:t>POWER, Marilyn. “Social provisioning as a starting point for feminist economics”. Feminist Economics, v. 10, n. 3, p. 3-19, 2004.</w:t>
      </w:r>
    </w:p>
    <w:p w:rsidR="00397550" w:rsidRDefault="00397550" w:rsidP="00397550">
      <w:pPr>
        <w:pStyle w:val="Textodenotaderodap"/>
        <w:ind w:left="540" w:hanging="540"/>
        <w:jc w:val="both"/>
        <w:rPr>
          <w:b/>
          <w:bCs/>
          <w:sz w:val="24"/>
          <w:lang w:val="en-US"/>
        </w:rPr>
      </w:pPr>
      <w:r>
        <w:rPr>
          <w:sz w:val="24"/>
          <w:lang w:val="en-US"/>
        </w:rPr>
        <w:t>ROBEYNS, Ingrid</w:t>
      </w:r>
      <w:r>
        <w:rPr>
          <w:sz w:val="24"/>
          <w:lang w:val="es-ES"/>
        </w:rPr>
        <w:t xml:space="preserve"> </w:t>
      </w:r>
      <w:r>
        <w:rPr>
          <w:sz w:val="24"/>
        </w:rPr>
        <w:t>“</w:t>
      </w:r>
      <w:r>
        <w:rPr>
          <w:sz w:val="24"/>
          <w:lang w:val="es-ES"/>
        </w:rPr>
        <w:t>Esiste</w:t>
      </w:r>
      <w:r>
        <w:rPr>
          <w:sz w:val="24"/>
          <w:lang w:val="en-US"/>
        </w:rPr>
        <w:t xml:space="preserve"> una metodologia economica feminista?” In: Di CORI, Paola &amp; BARAZETTI, Donatella, </w:t>
      </w:r>
      <w:r>
        <w:rPr>
          <w:i/>
          <w:iCs/>
          <w:sz w:val="24"/>
          <w:lang w:val="en-US"/>
        </w:rPr>
        <w:t xml:space="preserve">Gli studi della donna in Italia. </w:t>
      </w:r>
      <w:r>
        <w:rPr>
          <w:i/>
          <w:iCs/>
          <w:sz w:val="24"/>
          <w:lang w:val="es-ES_tradnl"/>
        </w:rPr>
        <w:t xml:space="preserve">Una guida crítica. </w:t>
      </w:r>
      <w:r>
        <w:rPr>
          <w:sz w:val="24"/>
        </w:rPr>
        <w:t xml:space="preserve">Roma: Carrocci, 2001, pp. 119-145. [Tradução para o inglês: Is there a feminist economic methodology? Disponível em: </w:t>
      </w:r>
      <w:hyperlink r:id="rId27" w:history="1">
        <w:r>
          <w:rPr>
            <w:rStyle w:val="Hyperlink"/>
            <w:rFonts w:eastAsia="Arial"/>
            <w:sz w:val="24"/>
          </w:rPr>
          <w:t>www.ingridrobeyns.nl/Downloads/method.pdf</w:t>
        </w:r>
      </w:hyperlink>
      <w:r>
        <w:rPr>
          <w:sz w:val="24"/>
        </w:rPr>
        <w:t xml:space="preserve"> ].</w:t>
      </w:r>
    </w:p>
    <w:p w:rsidR="00397550" w:rsidRDefault="00397550" w:rsidP="00397550">
      <w:pPr>
        <w:pStyle w:val="Textodenotaderodap"/>
        <w:ind w:left="540" w:hanging="540"/>
        <w:jc w:val="both"/>
        <w:rPr>
          <w:sz w:val="24"/>
          <w:lang w:val="en-US"/>
        </w:rPr>
      </w:pPr>
      <w:r>
        <w:rPr>
          <w:sz w:val="24"/>
          <w:lang w:val="en-US"/>
        </w:rPr>
        <w:t>SEIZ, Janett. “Epistemology and the tasks of feminist economics”. Feminist Economics</w:t>
      </w:r>
      <w:r>
        <w:rPr>
          <w:i/>
          <w:iCs/>
          <w:sz w:val="24"/>
          <w:lang w:val="en-US"/>
        </w:rPr>
        <w:t>,</w:t>
      </w:r>
      <w:r>
        <w:rPr>
          <w:sz w:val="24"/>
          <w:lang w:val="en-US"/>
        </w:rPr>
        <w:t xml:space="preserve"> v.1, n. 13, p. 110-118, 1995.</w:t>
      </w:r>
    </w:p>
    <w:p w:rsidR="00397550" w:rsidRDefault="00397550" w:rsidP="00397550">
      <w:pPr>
        <w:pStyle w:val="Textodenotaderodap"/>
        <w:ind w:left="540" w:hanging="540"/>
        <w:jc w:val="both"/>
        <w:rPr>
          <w:sz w:val="24"/>
          <w:lang w:val="en-US"/>
        </w:rPr>
      </w:pPr>
      <w:r>
        <w:rPr>
          <w:sz w:val="24"/>
          <w:lang w:val="en-US"/>
        </w:rPr>
        <w:t>STROBER, Myra H. “Rethinking economics through a feminist lens”. The American Economic Review</w:t>
      </w:r>
      <w:r>
        <w:rPr>
          <w:i/>
          <w:iCs/>
          <w:sz w:val="24"/>
          <w:lang w:val="en-US"/>
        </w:rPr>
        <w:t xml:space="preserve">, </w:t>
      </w:r>
      <w:r>
        <w:rPr>
          <w:sz w:val="24"/>
          <w:lang w:val="en-US"/>
        </w:rPr>
        <w:t>v. 84, n. 2, p. 143-147, 1994.</w:t>
      </w:r>
    </w:p>
    <w:p w:rsidR="00397550" w:rsidRDefault="00397550" w:rsidP="00397550">
      <w:pPr>
        <w:ind w:left="540" w:hanging="540"/>
        <w:rPr>
          <w:lang w:val="en-US"/>
        </w:rPr>
      </w:pPr>
    </w:p>
    <w:p w:rsidR="00397550" w:rsidRDefault="00397550" w:rsidP="00397550">
      <w:pPr>
        <w:rPr>
          <w:lang w:val="en-US"/>
        </w:rPr>
      </w:pPr>
    </w:p>
    <w:p w:rsidR="00F153D4" w:rsidRDefault="00F153D4" w:rsidP="00397550">
      <w:pPr>
        <w:rPr>
          <w:lang w:val="en-US"/>
        </w:rPr>
      </w:pPr>
    </w:p>
    <w:p w:rsidR="00F153D4" w:rsidRDefault="00F153D4" w:rsidP="00397550">
      <w:pPr>
        <w:rPr>
          <w:lang w:val="en-US"/>
        </w:rPr>
      </w:pPr>
    </w:p>
    <w:p w:rsidR="00F153D4" w:rsidRDefault="00F153D4" w:rsidP="00397550">
      <w:pPr>
        <w:rPr>
          <w:lang w:val="en-US"/>
        </w:rPr>
      </w:pPr>
    </w:p>
    <w:p w:rsidR="00F153D4" w:rsidRDefault="00F153D4" w:rsidP="00397550">
      <w:pPr>
        <w:rPr>
          <w:lang w:val="en-US"/>
        </w:rPr>
      </w:pPr>
    </w:p>
    <w:p w:rsidR="00F153D4" w:rsidRDefault="00F153D4" w:rsidP="00397550">
      <w:pPr>
        <w:rPr>
          <w:lang w:val="en-US"/>
        </w:rPr>
      </w:pPr>
    </w:p>
    <w:p w:rsidR="00F153D4" w:rsidRDefault="00F153D4" w:rsidP="00397550">
      <w:pPr>
        <w:rPr>
          <w:lang w:val="en-US"/>
        </w:rPr>
      </w:pPr>
    </w:p>
    <w:p w:rsidR="00F153D4" w:rsidRDefault="00F153D4" w:rsidP="00397550">
      <w:pPr>
        <w:rPr>
          <w:lang w:val="en-US"/>
        </w:rPr>
      </w:pPr>
    </w:p>
    <w:p w:rsidR="00F153D4" w:rsidRDefault="00F153D4" w:rsidP="00397550">
      <w:pPr>
        <w:rPr>
          <w:lang w:val="en-US"/>
        </w:rPr>
      </w:pPr>
    </w:p>
    <w:p w:rsidR="00397550" w:rsidRDefault="00397550" w:rsidP="009741F1"/>
    <w:p w:rsidR="00F153D4" w:rsidRDefault="00F153D4"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771796" w:rsidRPr="001E2C63" w:rsidTr="00505E82">
        <w:tc>
          <w:tcPr>
            <w:tcW w:w="6771" w:type="dxa"/>
            <w:shd w:val="clear" w:color="auto" w:fill="auto"/>
          </w:tcPr>
          <w:p w:rsidR="00397550" w:rsidRPr="00F153D4" w:rsidRDefault="00771796" w:rsidP="00F153D4">
            <w:pPr>
              <w:spacing w:line="240" w:lineRule="auto"/>
              <w:jc w:val="left"/>
              <w:rPr>
                <w:rFonts w:ascii="Times New Roman" w:hAnsi="Times New Roman"/>
                <w:sz w:val="24"/>
                <w:szCs w:val="24"/>
              </w:rPr>
            </w:pPr>
            <w:r w:rsidRPr="00F153D4">
              <w:rPr>
                <w:rFonts w:ascii="Times New Roman" w:hAnsi="Times New Roman"/>
                <w:sz w:val="24"/>
                <w:szCs w:val="24"/>
              </w:rPr>
              <w:t>Nome</w:t>
            </w:r>
            <w:r w:rsidRPr="00F153D4">
              <w:rPr>
                <w:rFonts w:ascii="Times New Roman" w:hAnsi="Times New Roman"/>
                <w:caps/>
                <w:sz w:val="24"/>
                <w:szCs w:val="24"/>
              </w:rPr>
              <w:t xml:space="preserve"> </w:t>
            </w:r>
            <w:r w:rsidR="00397550" w:rsidRPr="00F153D4">
              <w:rPr>
                <w:rFonts w:ascii="Times New Roman" w:hAnsi="Times New Roman"/>
                <w:sz w:val="24"/>
                <w:szCs w:val="24"/>
              </w:rPr>
              <w:t xml:space="preserve">O jovem MACHO e A jovem DIFÍCIL: </w:t>
            </w:r>
          </w:p>
          <w:p w:rsidR="00771796" w:rsidRPr="00F153D4" w:rsidRDefault="00397550" w:rsidP="00F153D4">
            <w:pPr>
              <w:spacing w:line="240" w:lineRule="auto"/>
              <w:jc w:val="left"/>
              <w:rPr>
                <w:rFonts w:ascii="Times New Roman" w:hAnsi="Times New Roman"/>
                <w:sz w:val="24"/>
                <w:szCs w:val="24"/>
              </w:rPr>
            </w:pPr>
            <w:r w:rsidRPr="00F153D4">
              <w:rPr>
                <w:rFonts w:ascii="Times New Roman" w:hAnsi="Times New Roman"/>
                <w:sz w:val="24"/>
                <w:szCs w:val="24"/>
              </w:rPr>
              <w:t>sexualidade, subjetividade e governo no discurso curricular</w:t>
            </w:r>
          </w:p>
        </w:tc>
        <w:tc>
          <w:tcPr>
            <w:tcW w:w="1873" w:type="dxa"/>
            <w:vMerge w:val="restart"/>
            <w:shd w:val="clear" w:color="auto" w:fill="auto"/>
          </w:tcPr>
          <w:p w:rsidR="00771796" w:rsidRPr="001E2C63" w:rsidRDefault="00771796" w:rsidP="00505E82">
            <w:pPr>
              <w:spacing w:line="240" w:lineRule="auto"/>
              <w:rPr>
                <w:rFonts w:ascii="Times New Roman" w:hAnsi="Times New Roman"/>
                <w:b/>
                <w:sz w:val="36"/>
                <w:szCs w:val="36"/>
              </w:rPr>
            </w:pPr>
            <w:r>
              <w:rPr>
                <w:rFonts w:ascii="Times New Roman" w:hAnsi="Times New Roman"/>
                <w:b/>
                <w:sz w:val="36"/>
                <w:szCs w:val="36"/>
              </w:rPr>
              <w:t>A 00</w:t>
            </w:r>
            <w:r w:rsidR="003C742A">
              <w:rPr>
                <w:rFonts w:ascii="Times New Roman" w:hAnsi="Times New Roman"/>
                <w:b/>
                <w:sz w:val="36"/>
                <w:szCs w:val="36"/>
              </w:rPr>
              <w:t>6</w:t>
            </w:r>
          </w:p>
          <w:p w:rsidR="00771796" w:rsidRPr="001E2C63" w:rsidRDefault="00771796" w:rsidP="00505E82">
            <w:pPr>
              <w:spacing w:line="240" w:lineRule="auto"/>
              <w:rPr>
                <w:rFonts w:ascii="Times New Roman" w:hAnsi="Times New Roman"/>
                <w:sz w:val="24"/>
                <w:szCs w:val="24"/>
              </w:rPr>
            </w:pPr>
            <w:r>
              <w:rPr>
                <w:rFonts w:ascii="Times New Roman" w:hAnsi="Times New Roman"/>
                <w:b/>
                <w:sz w:val="36"/>
                <w:szCs w:val="36"/>
              </w:rPr>
              <w:t>Premiado</w:t>
            </w:r>
          </w:p>
        </w:tc>
      </w:tr>
      <w:tr w:rsidR="00771796" w:rsidRPr="001E2C63" w:rsidTr="00505E82">
        <w:tc>
          <w:tcPr>
            <w:tcW w:w="6771" w:type="dxa"/>
            <w:shd w:val="clear" w:color="auto" w:fill="auto"/>
          </w:tcPr>
          <w:p w:rsidR="00771796" w:rsidRPr="00F153D4" w:rsidRDefault="00771796" w:rsidP="00F153D4">
            <w:pPr>
              <w:spacing w:line="240" w:lineRule="auto"/>
              <w:jc w:val="left"/>
              <w:rPr>
                <w:rFonts w:ascii="Times New Roman" w:hAnsi="Times New Roman"/>
                <w:sz w:val="24"/>
                <w:szCs w:val="24"/>
              </w:rPr>
            </w:pPr>
            <w:r w:rsidRPr="00F153D4">
              <w:rPr>
                <w:rFonts w:ascii="Times New Roman" w:hAnsi="Times New Roman"/>
                <w:sz w:val="24"/>
                <w:szCs w:val="24"/>
              </w:rPr>
              <w:t xml:space="preserve">Autora/o </w:t>
            </w:r>
            <w:r w:rsidR="00F153D4">
              <w:rPr>
                <w:rFonts w:ascii="Times New Roman" w:hAnsi="Times New Roman"/>
                <w:sz w:val="24"/>
                <w:szCs w:val="24"/>
              </w:rPr>
              <w:t xml:space="preserve"> </w:t>
            </w:r>
            <w:r w:rsidR="00F153D4" w:rsidRPr="00F153D4">
              <w:rPr>
                <w:rFonts w:ascii="Times New Roman" w:hAnsi="Times New Roman"/>
                <w:sz w:val="24"/>
                <w:szCs w:val="24"/>
              </w:rPr>
              <w:t>Shirlei Rezende Sales do Espírito Santo – FaE/UFMG</w:t>
            </w:r>
            <w:r w:rsidR="00F153D4" w:rsidRPr="00F153D4">
              <w:rPr>
                <w:rStyle w:val="Refdenotaderodap"/>
                <w:rFonts w:ascii="Times New Roman" w:hAnsi="Times New Roman"/>
                <w:sz w:val="24"/>
                <w:szCs w:val="24"/>
              </w:rPr>
              <w:footnoteReference w:id="53"/>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F153D4" w:rsidRDefault="00771796" w:rsidP="00F153D4">
            <w:pPr>
              <w:spacing w:line="240" w:lineRule="auto"/>
              <w:jc w:val="left"/>
              <w:rPr>
                <w:rFonts w:ascii="Times New Roman" w:hAnsi="Times New Roman"/>
                <w:sz w:val="24"/>
                <w:szCs w:val="24"/>
              </w:rPr>
            </w:pPr>
            <w:r w:rsidRPr="00F153D4">
              <w:rPr>
                <w:rFonts w:ascii="Times New Roman" w:hAnsi="Times New Roman"/>
                <w:sz w:val="24"/>
                <w:szCs w:val="24"/>
              </w:rPr>
              <w:t>Orientadora/o</w:t>
            </w:r>
            <w:r w:rsidRPr="00F153D4">
              <w:rPr>
                <w:rFonts w:ascii="Times New Roman" w:hAnsi="Times New Roman"/>
                <w:bCs/>
                <w:sz w:val="24"/>
                <w:szCs w:val="24"/>
              </w:rPr>
              <w:t xml:space="preserve"> </w:t>
            </w:r>
            <w:r w:rsidR="00F153D4" w:rsidRPr="00F153D4">
              <w:rPr>
                <w:rFonts w:ascii="Times New Roman" w:hAnsi="Times New Roman"/>
                <w:sz w:val="24"/>
                <w:szCs w:val="24"/>
              </w:rPr>
              <w:t>Marlucy Alves Paraíso – FaE/UFMG</w:t>
            </w:r>
            <w:r w:rsidR="00F153D4" w:rsidRPr="00F153D4">
              <w:rPr>
                <w:rStyle w:val="Refdenotaderodap"/>
                <w:rFonts w:ascii="Times New Roman" w:hAnsi="Times New Roman"/>
                <w:sz w:val="24"/>
                <w:szCs w:val="24"/>
              </w:rPr>
              <w:footnoteReference w:id="54"/>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F153D4" w:rsidRDefault="00771796" w:rsidP="00F153D4">
            <w:pPr>
              <w:spacing w:line="240" w:lineRule="auto"/>
              <w:jc w:val="left"/>
              <w:rPr>
                <w:rFonts w:ascii="Times New Roman" w:hAnsi="Times New Roman"/>
                <w:sz w:val="24"/>
                <w:szCs w:val="24"/>
              </w:rPr>
            </w:pPr>
            <w:r w:rsidRPr="00F153D4">
              <w:rPr>
                <w:rFonts w:ascii="Times New Roman" w:hAnsi="Times New Roman"/>
                <w:sz w:val="24"/>
                <w:szCs w:val="24"/>
              </w:rPr>
              <w:t>IES:</w:t>
            </w:r>
            <w:r w:rsidR="00F153D4">
              <w:rPr>
                <w:rFonts w:ascii="Times New Roman" w:hAnsi="Times New Roman"/>
                <w:sz w:val="24"/>
                <w:szCs w:val="24"/>
              </w:rPr>
              <w:t>UFMG</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F153D4" w:rsidRDefault="00771796" w:rsidP="00F153D4">
            <w:pPr>
              <w:spacing w:line="240" w:lineRule="auto"/>
              <w:jc w:val="left"/>
              <w:rPr>
                <w:rFonts w:ascii="Times New Roman" w:hAnsi="Times New Roman"/>
                <w:sz w:val="24"/>
                <w:szCs w:val="24"/>
              </w:rPr>
            </w:pPr>
            <w:r w:rsidRPr="00F153D4">
              <w:rPr>
                <w:rFonts w:ascii="Times New Roman" w:hAnsi="Times New Roman"/>
                <w:sz w:val="24"/>
                <w:szCs w:val="24"/>
              </w:rPr>
              <w:t xml:space="preserve">Cidade/Estado: </w:t>
            </w:r>
            <w:r w:rsidR="00F153D4">
              <w:rPr>
                <w:rFonts w:ascii="Times New Roman" w:hAnsi="Times New Roman"/>
                <w:sz w:val="24"/>
                <w:szCs w:val="24"/>
              </w:rPr>
              <w:t>MG</w:t>
            </w: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r w:rsidR="00771796" w:rsidRPr="001E2C63" w:rsidTr="00505E82">
        <w:tc>
          <w:tcPr>
            <w:tcW w:w="6771" w:type="dxa"/>
            <w:shd w:val="clear" w:color="auto" w:fill="auto"/>
          </w:tcPr>
          <w:p w:rsidR="00771796" w:rsidRPr="00F153D4" w:rsidRDefault="00771796" w:rsidP="00F153D4">
            <w:pPr>
              <w:spacing w:line="240" w:lineRule="auto"/>
              <w:jc w:val="left"/>
              <w:rPr>
                <w:rFonts w:ascii="Times New Roman" w:hAnsi="Times New Roman"/>
                <w:sz w:val="24"/>
                <w:szCs w:val="24"/>
              </w:rPr>
            </w:pPr>
            <w:r w:rsidRPr="00F153D4">
              <w:rPr>
                <w:rFonts w:ascii="Times New Roman" w:hAnsi="Times New Roman"/>
                <w:sz w:val="24"/>
                <w:szCs w:val="24"/>
              </w:rPr>
              <w:t xml:space="preserve">Outras Informações: Estudante </w:t>
            </w:r>
            <w:r w:rsidR="00F153D4">
              <w:rPr>
                <w:rFonts w:ascii="Times New Roman" w:hAnsi="Times New Roman"/>
                <w:sz w:val="24"/>
                <w:szCs w:val="24"/>
              </w:rPr>
              <w:t>GRADUADO</w:t>
            </w:r>
          </w:p>
          <w:p w:rsidR="00771796" w:rsidRPr="00F153D4" w:rsidRDefault="00771796" w:rsidP="00F153D4">
            <w:pPr>
              <w:spacing w:line="240" w:lineRule="auto"/>
              <w:jc w:val="left"/>
              <w:rPr>
                <w:rFonts w:ascii="Times New Roman" w:hAnsi="Times New Roman"/>
                <w:sz w:val="24"/>
                <w:szCs w:val="24"/>
              </w:rPr>
            </w:pPr>
          </w:p>
        </w:tc>
        <w:tc>
          <w:tcPr>
            <w:tcW w:w="1873" w:type="dxa"/>
            <w:vMerge/>
            <w:shd w:val="clear" w:color="auto" w:fill="auto"/>
          </w:tcPr>
          <w:p w:rsidR="00771796" w:rsidRPr="001E2C63" w:rsidRDefault="00771796" w:rsidP="00505E82">
            <w:pPr>
              <w:spacing w:line="240" w:lineRule="auto"/>
              <w:rPr>
                <w:rFonts w:ascii="Times New Roman" w:hAnsi="Times New Roman"/>
                <w:sz w:val="24"/>
                <w:szCs w:val="24"/>
              </w:rPr>
            </w:pPr>
          </w:p>
        </w:tc>
      </w:tr>
    </w:tbl>
    <w:p w:rsidR="00771796" w:rsidRDefault="00771796" w:rsidP="009741F1"/>
    <w:p w:rsidR="00397550" w:rsidRDefault="00397550" w:rsidP="00397550">
      <w:pPr>
        <w:rPr>
          <w:b/>
        </w:rPr>
      </w:pPr>
      <w:r>
        <w:rPr>
          <w:b/>
        </w:rPr>
        <w:t>Introdução</w:t>
      </w:r>
    </w:p>
    <w:p w:rsidR="00397550" w:rsidRDefault="00397550" w:rsidP="00397550">
      <w:pPr>
        <w:ind w:firstLine="708"/>
      </w:pPr>
      <w:r>
        <w:t>Este artigo trata de fragmentos dos discursos do currículo escolar e do currículo do Orkut. O trabalho argumentativo é desenvolvido com base nos dados do currículo de uma escola pública de ensino médio, bem como dos fóruns</w:t>
      </w:r>
      <w:r>
        <w:rPr>
          <w:rStyle w:val="Refdenotaderodap"/>
        </w:rPr>
        <w:footnoteReference w:id="55"/>
      </w:r>
      <w:r>
        <w:t>, tópicos</w:t>
      </w:r>
      <w:r>
        <w:rPr>
          <w:rStyle w:val="Refdenotaderodap"/>
        </w:rPr>
        <w:footnoteReference w:id="56"/>
      </w:r>
      <w:r>
        <w:t xml:space="preserve"> e scraps</w:t>
      </w:r>
      <w:r>
        <w:rPr>
          <w:rStyle w:val="Refdenotaderodap"/>
        </w:rPr>
        <w:footnoteReference w:id="57"/>
      </w:r>
      <w:r>
        <w:t xml:space="preserve"> postados nas comunidades e nos perfis das/os alunas/os dessa escola, no Orkut. O Orkut é um site de relacionamentos que se auto-define como: “uma comunidade on-line criada para tornar a sua vida social e a de seus amigos mais ativa e estimulante”</w:t>
      </w:r>
      <w:r>
        <w:rPr>
          <w:rStyle w:val="Refdenotaderodap"/>
        </w:rPr>
        <w:footnoteReference w:id="58"/>
      </w:r>
      <w:r>
        <w:t xml:space="preserve">. </w:t>
      </w:r>
    </w:p>
    <w:p w:rsidR="00397550" w:rsidRDefault="00397550" w:rsidP="00397550">
      <w:pPr>
        <w:ind w:firstLine="708"/>
      </w:pPr>
      <w:r>
        <w:t xml:space="preserve">O objetivo é analisar o processo de produção de subjetividades juvenis no discurso do currículo escolar e do currículo do Orkut. Orkut é compreendido como possuindo um </w:t>
      </w:r>
      <w:r>
        <w:rPr>
          <w:i/>
        </w:rPr>
        <w:t>currículo cultural,</w:t>
      </w:r>
      <w:r>
        <w:t xml:space="preserve"> o qual é definido como parte de uma “pedagogia cultural” que “de maneira mais ampla, nos ensina comportamentos, procedimentos, hábitos valores, e atitudes, considerados adequados e desejáveis, através de diferentes artefatos, como o </w:t>
      </w:r>
      <w:r>
        <w:lastRenderedPageBreak/>
        <w:t>cinema, a televisão, as revistas, a literatura, a moda, a publicidade, a música etc” (Paraíso, 2001, p. 144). A metodologia utilizada para a coleta de dados foi a observação participante, com o uso de algumas técnicas etnográficas, como o registro em diário de campo e entrevistas semi-estruturadas.</w:t>
      </w:r>
    </w:p>
    <w:p w:rsidR="00397550" w:rsidRDefault="00397550" w:rsidP="00397550">
      <w:pPr>
        <w:ind w:firstLine="708"/>
      </w:pPr>
      <w:r>
        <w:t>O argumento desenvolvido é de que a sexualidade é um dispositivo acionado no discurso do currículo escolar e do currículo do Orkut, para o governo da juventude. Nesses discursos é possível perceber uma intensa regulação da sexualidade juvenil pautada na heteronormatividade. A regulação se dá por meio da tecnologia da “zuação”, a qual é composta por várias técnicas como o sarcasmo, a ironia, o deboche, o repúdio, a interdição etc. No caso dos garotos, há nos discursos uma declarada homofobia, demandando o Jovem MACHO. Quanto às garotas, a regulação incide sobre a quantidade de parceiros nas práticas de “ficar” ou “pegar”, demandando a Jovem DIFÍCIL.</w:t>
      </w:r>
    </w:p>
    <w:p w:rsidR="00397550" w:rsidRDefault="00397550" w:rsidP="00397550">
      <w:pPr>
        <w:ind w:firstLine="708"/>
      </w:pPr>
      <w:r>
        <w:t xml:space="preserve">É importante ressaltar que essas classificações não estão rigidamente delimitadas nos discursos analisados. Elas estão dispersas e se misturam, as fronteiras são permeáveis e flexíveis. Também é preciso dizer que nem o currículo escolar, nem o Orkut trazem um “manual da conduta sexual juvenil”, em uma espécie de doutrinação coerente e explícita. Não devemos supor uma classificação rigorosa dos comportamentos, mas nos discursos analisados é possível depreender as subjetividades demandadas, a partir de algumas técnicas que compõem a denominada “zuação”, que valoriza determinados tipos de conduta e repudia outros. A zuação é acionada no processo de avaliação e auto-avaliação dos “modos de ser” juvenis, sejam eles expressos em suas falas, </w:t>
      </w:r>
      <w:r>
        <w:rPr>
          <w:i/>
        </w:rPr>
        <w:t>posts</w:t>
      </w:r>
      <w:r>
        <w:t xml:space="preserve">, </w:t>
      </w:r>
      <w:r>
        <w:rPr>
          <w:i/>
        </w:rPr>
        <w:t>scraps</w:t>
      </w:r>
      <w:r>
        <w:t>, gostos, gestos, posturas, cores preferidas, adornos utilizados, lugares freqüentados, vídeos que assistem e divulgam etc.</w:t>
      </w:r>
    </w:p>
    <w:p w:rsidR="00397550" w:rsidRDefault="00397550" w:rsidP="00397550">
      <w:pPr>
        <w:rPr>
          <w:b/>
          <w:sz w:val="16"/>
          <w:szCs w:val="16"/>
        </w:rPr>
      </w:pPr>
    </w:p>
    <w:p w:rsidR="00397550" w:rsidRDefault="00397550" w:rsidP="00397550">
      <w:pPr>
        <w:rPr>
          <w:b/>
        </w:rPr>
      </w:pPr>
      <w:r>
        <w:rPr>
          <w:b/>
        </w:rPr>
        <w:t>1 – Zuação: tecnologia de governo da juventude</w:t>
      </w:r>
    </w:p>
    <w:p w:rsidR="00397550" w:rsidRDefault="00397550" w:rsidP="00397550">
      <w:pPr>
        <w:ind w:left="1620"/>
        <w:rPr>
          <w:b/>
          <w:color w:val="000000"/>
          <w:sz w:val="20"/>
          <w:szCs w:val="20"/>
        </w:rPr>
      </w:pPr>
      <w:r>
        <w:rPr>
          <w:b/>
          <w:color w:val="000000"/>
          <w:sz w:val="20"/>
          <w:szCs w:val="20"/>
        </w:rPr>
        <w:t>Zuar:</w:t>
      </w:r>
    </w:p>
    <w:p w:rsidR="00397550" w:rsidRDefault="00397550" w:rsidP="00397550">
      <w:pPr>
        <w:ind w:left="1620"/>
        <w:rPr>
          <w:color w:val="000000"/>
          <w:sz w:val="20"/>
          <w:szCs w:val="20"/>
        </w:rPr>
      </w:pPr>
      <w:r>
        <w:rPr>
          <w:color w:val="000000"/>
          <w:sz w:val="20"/>
          <w:szCs w:val="20"/>
        </w:rPr>
        <w:t>Verbo transitivo direto: caçoar, gozar, falar mal; fazer brincadeiras que denigrem a imagem da pessoa, etc. Verbo intransitivo: fazer bagunça, arruaça; se divertir muito, aproveitar algum momento (Tomaz, em post da comunidade da turma de 3º ano)</w:t>
      </w:r>
    </w:p>
    <w:p w:rsidR="00397550" w:rsidRDefault="00397550" w:rsidP="00397550">
      <w:pPr>
        <w:ind w:left="1620"/>
        <w:rPr>
          <w:sz w:val="20"/>
          <w:szCs w:val="20"/>
        </w:rPr>
      </w:pPr>
    </w:p>
    <w:p w:rsidR="00397550" w:rsidRDefault="00397550" w:rsidP="00397550">
      <w:pPr>
        <w:ind w:firstLine="708"/>
      </w:pPr>
      <w:r>
        <w:t xml:space="preserve">Zuar é uma ação praticada intensivamente pelas/os jovens e por algumas/alguns professoras/es, que tem efeitos sobre suas condutas. Nos discursos analisados, por meio da zuação, a heteronormatividade atua como um sistema de verdade, em que a heterossexualidade é constituída como única forma autorizada, legítima </w:t>
      </w:r>
      <w:r>
        <w:lastRenderedPageBreak/>
        <w:t xml:space="preserve">e aceitável de vivência da sexualidade. Britzman (1996) define como heteronormatividade uma “obsessão com a sexualidade normalizante, através de discursos que descrevem a situação homossexual como desviante” (p. 79). </w:t>
      </w:r>
    </w:p>
    <w:p w:rsidR="00397550" w:rsidRDefault="00397550" w:rsidP="00397550">
      <w:pPr>
        <w:ind w:firstLine="708"/>
      </w:pPr>
      <w:r>
        <w:t xml:space="preserve">As técnicas utilizadas no processo de regulação das condutas sexuais das/os jovens são variadas e incidem sobre falas, gestos, formas de se vestir, posturas corporais, atitudes, gostos declarados etc. As técnicas mais utilizadas são o sarcasmo, a ironia, o deboche e o repúdio. O </w:t>
      </w:r>
      <w:r>
        <w:rPr>
          <w:i/>
        </w:rPr>
        <w:t>sarcasmo</w:t>
      </w:r>
      <w:r>
        <w:t xml:space="preserve"> é uma forma de zombaria maliciosa, que pode incluir uma certa dose de humilhação. Enquanto o </w:t>
      </w:r>
      <w:r>
        <w:rPr>
          <w:i/>
        </w:rPr>
        <w:t>deboche</w:t>
      </w:r>
      <w:r>
        <w:t xml:space="preserve"> é um outro tipo de zombaria, mas sem malícia, com o intuito de apenas fazer rir. Já a </w:t>
      </w:r>
      <w:r>
        <w:rPr>
          <w:i/>
        </w:rPr>
        <w:t>ironia</w:t>
      </w:r>
      <w:r>
        <w:t xml:space="preserve"> é um modo de exprimir-se em que se diz o contrário do que se pensa ou sente, com uma espécie de duplo sentido, em que se diz algo com o sentido oposto do que se quer expressar de fato. O </w:t>
      </w:r>
      <w:r>
        <w:rPr>
          <w:i/>
        </w:rPr>
        <w:t xml:space="preserve">repúdio </w:t>
      </w:r>
      <w:r>
        <w:t xml:space="preserve">consiste em uma forma de rejeitar o que está em discurso, com uma espécie de aversão. O </w:t>
      </w:r>
      <w:r>
        <w:rPr>
          <w:i/>
        </w:rPr>
        <w:t>banimento</w:t>
      </w:r>
      <w:r>
        <w:t>, por fim, constitui-se em um modo de excluir e afastar o comportamento avaliado, bem como a subjetividade que ele evoca. Essas técnicas, muitas vezes, encontram-se combinadas na zuação.</w:t>
      </w:r>
    </w:p>
    <w:p w:rsidR="00397550" w:rsidRDefault="00397550" w:rsidP="00397550">
      <w:pPr>
        <w:ind w:firstLine="720"/>
      </w:pPr>
      <w:r>
        <w:t>A tecnologia da zuação e o conjunto de técnicas mencionadas são acionadas para o governo e auto-governo da juventude. Falar em governo, na perspectiva foucaultiana, não se refere somente aos regimes políticos adotados pelos Estados. Governo, no âmbito da govenamentalidade, “refere-se ao problema da ‘gestão das coisas e das pessoas’, refere-se ao problema de sua ‘condução’, refere-se ao problema da ‘condução das condutas’ dos indivíduos de uma sociedade” (Fonseca, 2006, p. 158).</w:t>
      </w:r>
    </w:p>
    <w:p w:rsidR="00397550" w:rsidRDefault="00397550" w:rsidP="00397550">
      <w:pPr>
        <w:ind w:firstLine="708"/>
      </w:pPr>
      <w:r>
        <w:t xml:space="preserve">Ainda, para Foucault (1995), a conduta é, “ao mesmo tempo, o ato de ‘conduzir’ os outros (segundo mecanismos de coerção mais ou  menos estritos) e a maneira de se comportar num campo mais ou menos aberto de possibilidades” (p. 243-244). Essa condução das condutas consiste na arte de governar, ou governamentalidade, a qual consiste no ponto de contato entre o governo das/os outras/os – por meio das técnicas de dominação – e auto-governo, por meio das técnicas de si (Foucault, 1995a). </w:t>
      </w:r>
    </w:p>
    <w:p w:rsidR="00397550" w:rsidRDefault="00397550" w:rsidP="00397550">
      <w:pPr>
        <w:ind w:firstLine="708"/>
      </w:pPr>
      <w:r>
        <w:t>As técnicas de dominação estão mais dirigidas para a condução da conduta da/o outra/o; agem na dominação dos indivíduos uns sobre os outros (Foucault, 1993). Já técnicas de si são um conjunto de exercícios que aplicamos sobre nós mesmas/os, a fim de produzirmos um eu de determinado tipo. É o cuidado de si produzido nas relações consigo, as quais consistem em: “formas nas quais se é chamado a se tomar a si próprio como objeto de conhecimento e campo de ação para transformar-se, corrigir-se, purificar-se, e promover a própria salvação” (Foucault, 2005, p. 48). Essa relação consigo “não constitui um exercício na solidão, mas sim uma verdadeira prática social” (idem, p. 57).</w:t>
      </w:r>
    </w:p>
    <w:p w:rsidR="00397550" w:rsidRDefault="00397550" w:rsidP="00397550">
      <w:pPr>
        <w:ind w:firstLine="720"/>
      </w:pPr>
      <w:r>
        <w:lastRenderedPageBreak/>
        <w:tab/>
        <w:t>Embora no governo da juventude a tecnologia da zuação incida sobre garotos e garotas, o objeto de investimento é diferenciado segundo o gênero, que é aqui compreendido como “</w:t>
      </w:r>
      <w:r>
        <w:rPr>
          <w:iCs/>
        </w:rPr>
        <w:t>um elemento constitutivo de relações sociais baseadas nas diferenças percebidas entre os sexos” (Scott, 1995, p. 86).</w:t>
      </w:r>
      <w:r>
        <w:t xml:space="preserve"> Enquanto os rapazes têm suas condutas reguladas em torno de uma intensa vigilância que procura banir a homossexualidade, as jovens são avaliadas e julgadas quanto à quantidade de parceiros, havendo, nesse processo, um repúdio do comportamento definido como desmedido. Portanto, as subjetividades demandadas nos discursos são diferentes: o jovem MACHO e a jovem DIFÍCIL.</w:t>
      </w:r>
    </w:p>
    <w:p w:rsidR="00397550" w:rsidRDefault="00397550" w:rsidP="00397550">
      <w:pPr>
        <w:rPr>
          <w:sz w:val="16"/>
          <w:szCs w:val="16"/>
        </w:rPr>
      </w:pPr>
    </w:p>
    <w:p w:rsidR="00397550" w:rsidRDefault="00397550" w:rsidP="00397550">
      <w:pPr>
        <w:rPr>
          <w:b/>
        </w:rPr>
      </w:pPr>
      <w:r>
        <w:rPr>
          <w:b/>
        </w:rPr>
        <w:t>2 – Uma primeira conexão: sexualidade e gênero</w:t>
      </w:r>
    </w:p>
    <w:p w:rsidR="00397550" w:rsidRDefault="00397550" w:rsidP="00397550">
      <w:pPr>
        <w:ind w:firstLine="720"/>
      </w:pPr>
      <w:r>
        <w:tab/>
        <w:t>A sexualidade é aqui compreendida como “uma construção social contraditória e socialmente complexa” (Britzman, 1996, p. 81). Esse processo é ainda regulado por meio de relações de poder. Os estudos sobre a sexualidade têm mostrado que ela “é construída de forma diferente através das culturas e do tempo” (Parker, 2003, p. 128). Isso porque a sexualidade “envolve rituais, linguagens, fantasias, representações, símbolos, convenções... Processos profundamente culturais e plurais” (Louro, 2003, p. 11). A construção da sexualidade não é definitiva, ao contrário, é “instável, mutável e volátil, uma relação social contraditória e não finalizada” (Britzman, 1996, p. 74). Essa perspectiva contesta o determinismo biológico presente em certas representações da sexualidade no ocidente (cf. Parker, 2003) e coloca em questão o que é ou não aceito socialmente em termos de conduta sexual, mostrando como o cenário cultural, bem como as relações de saber-poder atuam nessa aceitabilidade. Isso porque “</w:t>
      </w:r>
      <w:r>
        <w:rPr>
          <w:i/>
        </w:rPr>
        <w:t>nenhuma</w:t>
      </w:r>
      <w:r>
        <w:t xml:space="preserve"> identidade sexual – mesmo a mais normativa – é automática, autêntica, facilmente assumida; </w:t>
      </w:r>
      <w:r>
        <w:rPr>
          <w:i/>
        </w:rPr>
        <w:t>nenhuma</w:t>
      </w:r>
      <w:r>
        <w:t xml:space="preserve"> identidade sexual existe sem negociação” (Britzman, 1996, p. 74. Grifos da autora). A atenção se volta também para os sentidos produzidos socialmente para as diferentes práticas sexuais, em que muitas vezes a homossexualidade é rejeitada, segregada e execrada como desviante, anormal e pervertida. Nesse caso, as formas de discriminação sexual assumem uma declarada homofobia (cf. Louro, 2003), a qual é aqui compreendida como </w:t>
      </w:r>
    </w:p>
    <w:p w:rsidR="00397550" w:rsidRDefault="00397550" w:rsidP="00397550">
      <w:pPr>
        <w:ind w:left="1620"/>
        <w:rPr>
          <w:sz w:val="20"/>
          <w:szCs w:val="20"/>
        </w:rPr>
      </w:pPr>
      <w:r>
        <w:rPr>
          <w:sz w:val="20"/>
          <w:szCs w:val="20"/>
        </w:rPr>
        <w:t>um conjunto de emoções negativas (tais como aversão, desprezo, ódio, desconfiança, desconforto ou medo) que costumam produzir ou vincular-se a preceitos e mecanismos de discriminação e violência contra pessoas homossexuais, bissexuais e transgênero (em especial travestis e transexuais) e, mais genericamente, contra pessoas cuja expressão de gênero não se enquadram nos modelos hegemônicos de masculinidade e feminilidade (Junqueira, 2007, p. 60).</w:t>
      </w:r>
    </w:p>
    <w:p w:rsidR="00397550" w:rsidRDefault="00397550" w:rsidP="00397550">
      <w:pPr>
        <w:ind w:left="1620"/>
      </w:pPr>
    </w:p>
    <w:p w:rsidR="00397550" w:rsidRDefault="00397550" w:rsidP="00397550">
      <w:pPr>
        <w:ind w:firstLine="720"/>
      </w:pPr>
      <w:r>
        <w:tab/>
        <w:t>Embora a heteronormatividade seja extensiva aos garotos e às garotas, ela parece incidir mais intensamente sobre os rapazes. Segundo Louro (1998), esse processo pode ser observado em diferentes discursos, ao longo da história, em que “a representação do gênero masculino é articulada à sexualidade de um modo mais central do que a do gênero feminino” (p. 44). A autora argumenta que há um processo de masculinização que se inicia na infância, por meio da vigilância  dos comportamentos, de modo a garantir a masculinidade dos rapazes.</w:t>
      </w:r>
    </w:p>
    <w:p w:rsidR="00397550" w:rsidRDefault="00397550" w:rsidP="00397550">
      <w:pPr>
        <w:ind w:firstLine="720"/>
        <w:rPr>
          <w:sz w:val="20"/>
          <w:szCs w:val="20"/>
        </w:rPr>
      </w:pPr>
      <w:r>
        <w:t xml:space="preserve">As múltiplas possibilidades de vivência da masculinidade e da feminilidade são relacionadas às questões da sexualidade. Gênero e sexualidade estão conectados no processo de regulação das condutas. Os modos e os locais da vigilância e regulação das relações de gênero e da sexualidade são modificados ao longo do tempo, mas a escola continua sendo um lugar importante para essas práticas (Louro, 1998). Além dela, no contexto atual de ampliação e intensificação da vivência cibernética, proporcionada especialmente pela mundialização da Internet, o Orkut tem se configurado como um espaço de regulação das condutas sexuais juvenis. Nos discursos analisados, a regulação da sexualidade vem conectada ao gênero. Dessa forma, ela não se dá do mesmo modo para garotas e garotos. Há técnicas específicas e diferenciadas destinadas aos rapazes e às moças, para a regulação da sexualidade. A heteronormatividade que se impõe aos rapazes é acionada por meio da homofobia. </w:t>
      </w:r>
    </w:p>
    <w:p w:rsidR="00397550" w:rsidRDefault="00397550" w:rsidP="00397550">
      <w:pPr>
        <w:ind w:firstLine="720"/>
      </w:pPr>
      <w:r>
        <w:tab/>
        <w:t>Quanto às garotas, a regulação, embora igualmente pautada na heteronormatividade, incide sobre a quantidade “certa” de parceiros nas práticas de “ficar”. No caso delas, não há uma preocupação com a homossexualidade, a qual não é cogitada. A questão colocada à moça é saber se posicionar de modo a ser atraente e sedutora, mas jamais ceder a todas as investidas masculinas, nem tampouco ser a protagonista desse investimento, quando este for classificado como excessivo. A garota deve ser difícil.</w:t>
      </w:r>
    </w:p>
    <w:p w:rsidR="00397550" w:rsidRDefault="00397550" w:rsidP="00397550">
      <w:pPr>
        <w:rPr>
          <w:b/>
          <w:sz w:val="16"/>
          <w:szCs w:val="16"/>
        </w:rPr>
      </w:pPr>
    </w:p>
    <w:p w:rsidR="00397550" w:rsidRDefault="00397550" w:rsidP="00397550">
      <w:pPr>
        <w:rPr>
          <w:b/>
        </w:rPr>
      </w:pPr>
      <w:r>
        <w:rPr>
          <w:b/>
        </w:rPr>
        <w:t>3 – Técnicas de governo para produzir o jovem MACHO</w:t>
      </w:r>
    </w:p>
    <w:p w:rsidR="00397550" w:rsidRDefault="00397550" w:rsidP="00397550">
      <w:pPr>
        <w:ind w:left="1620"/>
        <w:rPr>
          <w:b/>
          <w:sz w:val="20"/>
          <w:szCs w:val="20"/>
        </w:rPr>
      </w:pPr>
      <w:r>
        <w:rPr>
          <w:b/>
          <w:sz w:val="20"/>
          <w:szCs w:val="20"/>
        </w:rPr>
        <w:t>Currículo de Matemática – 2º ano</w:t>
      </w:r>
    </w:p>
    <w:p w:rsidR="00397550" w:rsidRDefault="00397550" w:rsidP="00397550">
      <w:pPr>
        <w:ind w:left="1620"/>
        <w:rPr>
          <w:sz w:val="20"/>
          <w:szCs w:val="20"/>
        </w:rPr>
      </w:pPr>
      <w:r>
        <w:rPr>
          <w:sz w:val="20"/>
          <w:szCs w:val="20"/>
        </w:rPr>
        <w:t>A professora se retirou da sala por alguns minutos. Nesse momento, Alberto</w:t>
      </w:r>
      <w:r>
        <w:rPr>
          <w:rStyle w:val="Refdenotaderodap"/>
          <w:sz w:val="20"/>
          <w:szCs w:val="20"/>
        </w:rPr>
        <w:footnoteReference w:id="59"/>
      </w:r>
      <w:r>
        <w:rPr>
          <w:sz w:val="20"/>
          <w:szCs w:val="20"/>
        </w:rPr>
        <w:t xml:space="preserve"> pergunta em voz alta para Ricardo qual é o </w:t>
      </w:r>
      <w:r>
        <w:rPr>
          <w:i/>
          <w:sz w:val="20"/>
          <w:szCs w:val="20"/>
        </w:rPr>
        <w:t>login</w:t>
      </w:r>
      <w:r>
        <w:rPr>
          <w:sz w:val="20"/>
          <w:szCs w:val="20"/>
        </w:rPr>
        <w:t xml:space="preserve"> e senha de um outro colega [parece-me que falavam de jogos eletrônicos]. </w:t>
      </w:r>
      <w:r>
        <w:rPr>
          <w:sz w:val="20"/>
          <w:szCs w:val="20"/>
        </w:rPr>
        <w:lastRenderedPageBreak/>
        <w:t>Ricardo se recusa a fazer tal revelação em público e diz: “Depois te falo”, ao que Alberto zoa o colega: “Deixa de viadagem!” (Notas do diário de campo)</w:t>
      </w:r>
    </w:p>
    <w:p w:rsidR="00397550" w:rsidRDefault="00397550" w:rsidP="00397550">
      <w:r>
        <w:tab/>
      </w:r>
    </w:p>
    <w:p w:rsidR="00397550" w:rsidRDefault="00397550" w:rsidP="00397550">
      <w:pPr>
        <w:ind w:firstLine="708"/>
      </w:pPr>
      <w:r>
        <w:t xml:space="preserve">Guardar segredo não é coisa de macho. Quando Ricardo se comporta de modo a não respeitar esse padrão, é imediatamente zuado pelo colega. As técnicas utilizadas para isso são o </w:t>
      </w:r>
      <w:r>
        <w:rPr>
          <w:i/>
        </w:rPr>
        <w:t>sarcasmo</w:t>
      </w:r>
      <w:r>
        <w:t xml:space="preserve"> – ao insinuar maliciosamente a homossexualidade de Ricardo – como também o </w:t>
      </w:r>
      <w:r>
        <w:rPr>
          <w:i/>
        </w:rPr>
        <w:t>repúdio</w:t>
      </w:r>
      <w:r>
        <w:t xml:space="preserve"> e o </w:t>
      </w:r>
      <w:r>
        <w:rPr>
          <w:i/>
        </w:rPr>
        <w:t>banimento</w:t>
      </w:r>
      <w:r>
        <w:t>, ao exigir que o colega renuncie àquele comportamento. Essas técnicas produzem uma rejeição à homossexualidade, por meio do termo pejorativo e homofóbico “viadagem”. Ao recusar o comportamento de guardar segredo, aliando-o à conduta sexual “desviante” – a homossexualidade – a zuação atua no sentido de garantir a norma, a sexualidade “natural”, ou seja, a heterossexualidade. Essa sexualidade está vinculada a um determinado tipo de masculinidade, a qual não postula o comportamento de guardar segredo.</w:t>
      </w:r>
    </w:p>
    <w:p w:rsidR="00397550" w:rsidRDefault="00397550" w:rsidP="00397550">
      <w:pPr>
        <w:ind w:firstLine="720"/>
      </w:pPr>
      <w:r>
        <w:t>Esse processo de naturalização e normalização da heterossexualidade produz uma desigualdade de poder, em que as outras formas de vivência da sexualidade são avaliadas e descritas como incorretas e monstruosas. Em outras palavras, “as construções da sexualidade funcionam discursivamente para normalizar aquilo que é marcado (a homossexualidade) e aquilo que é não-marcado (a heterossexualidade)” (Britzman, 1996, p. 82).</w:t>
      </w:r>
    </w:p>
    <w:p w:rsidR="00397550" w:rsidRDefault="00397550" w:rsidP="00397550">
      <w:pPr>
        <w:ind w:firstLine="720"/>
      </w:pPr>
      <w:r>
        <w:t>Esse processo de instituição de uma norma, um padrão o qual é definido como normal se dá em meio a relações de poder assimétricas e de modo conflituoso, afinal, o que caracteriza algo como normal é “sua função de referência. O normal é ao mesmo tempo a extensão e a exibição da norma. O normal multiplica a regra ao mesmo tempo que a indica. Requer, portanto, fora dele, a seu lado e contra ele, tudo aquilo que ainda lhe escapa” (Portocarrero, 2006, p. 292). A normalização institui modos corretos de viver, de se portar, de se vestir e de que cores gostar.</w:t>
      </w:r>
    </w:p>
    <w:p w:rsidR="00397550" w:rsidRDefault="00397550" w:rsidP="00397550">
      <w:pPr>
        <w:ind w:left="1620"/>
        <w:rPr>
          <w:b/>
          <w:sz w:val="20"/>
          <w:szCs w:val="20"/>
        </w:rPr>
      </w:pPr>
      <w:r>
        <w:rPr>
          <w:b/>
          <w:sz w:val="20"/>
          <w:szCs w:val="20"/>
        </w:rPr>
        <w:t>Currículo de Português – 2º ano</w:t>
      </w:r>
    </w:p>
    <w:p w:rsidR="00397550" w:rsidRDefault="00397550" w:rsidP="00397550">
      <w:pPr>
        <w:ind w:left="1620"/>
        <w:rPr>
          <w:sz w:val="20"/>
          <w:szCs w:val="20"/>
        </w:rPr>
      </w:pPr>
      <w:r>
        <w:rPr>
          <w:sz w:val="20"/>
          <w:szCs w:val="20"/>
        </w:rPr>
        <w:t>A professora propõe um trabalho, em que a turma teria que postar suas análises sobre determinado livro em um blog. Aí é deflagrada toda uma discussão cibernética sobre as possibilidades e limites de um blog. A professora visivelmente não tinha pensado nas inúmeras questões levantadas pelas/os alunas/os. Elas/es então fazem propostas alternativas como criar uma comunidade do Orkut, ao que a professora nem comenta. Ela, ao contrário, mesmo diante dos problemas apontados pelas/os alunas/os insiste na criação do blog.</w:t>
      </w:r>
    </w:p>
    <w:p w:rsidR="00397550" w:rsidRDefault="00397550" w:rsidP="00397550">
      <w:pPr>
        <w:ind w:left="1620"/>
        <w:rPr>
          <w:sz w:val="20"/>
          <w:szCs w:val="20"/>
        </w:rPr>
      </w:pPr>
      <w:r>
        <w:rPr>
          <w:sz w:val="20"/>
          <w:szCs w:val="20"/>
        </w:rPr>
        <w:lastRenderedPageBreak/>
        <w:t>Em meio a toda a discussão, Heitor exige: “não quero nada rosa no meu blog!” E em seguida, zoa: “Não quero nada boiola no meu blog”. A professora continua a orientação do trabalho, divide os grupos e então comenta que os alunos não ficam nos grupos das alunas e conclui: “deve ser pra não ter blog rosa”. Nesse momento, a aluna Regina reage: “Eu não teria blog rosa. Detesto rosa!” Heitor imediatamente questiona:”Ah é?! E essa blusa rosa?” Regina olha pra sua própria blusa, constata que estava de rosa e apenas ri, meio sem graça.</w:t>
      </w:r>
    </w:p>
    <w:p w:rsidR="00397550" w:rsidRDefault="00397550" w:rsidP="00397550">
      <w:pPr>
        <w:ind w:left="1620"/>
        <w:rPr>
          <w:sz w:val="20"/>
          <w:szCs w:val="20"/>
        </w:rPr>
      </w:pPr>
      <w:r>
        <w:rPr>
          <w:sz w:val="20"/>
          <w:szCs w:val="20"/>
        </w:rPr>
        <w:t>Minutos depois, um grupo grande de alunos – que estava fora da sala – entrou em fila, brincando de trenzinho. A professora ri e zoa os alunos: “vou fazer um blog cor-de-rosa para vocês!” (Notas do diário de campo)</w:t>
      </w:r>
    </w:p>
    <w:p w:rsidR="00397550" w:rsidRDefault="00397550" w:rsidP="00397550">
      <w:pPr>
        <w:ind w:left="1620"/>
        <w:rPr>
          <w:sz w:val="20"/>
          <w:szCs w:val="20"/>
        </w:rPr>
      </w:pPr>
    </w:p>
    <w:p w:rsidR="00397550" w:rsidRDefault="00397550" w:rsidP="00397550">
      <w:pPr>
        <w:ind w:firstLine="720"/>
      </w:pPr>
      <w:r>
        <w:tab/>
        <w:t xml:space="preserve">Cor-de-rosa não é coisa de macho. O verdadeiro macho gosta das cores certas. Para exigir a utilização das cores corretas, Heitor zoa e vincula o cor-de-rosa a “boiola”. Novamente a técnica do </w:t>
      </w:r>
      <w:r>
        <w:rPr>
          <w:i/>
        </w:rPr>
        <w:t>sarcasmo</w:t>
      </w:r>
      <w:r>
        <w:t xml:space="preserve"> é utilizada, e a homofobia se faz presente no termo pejorativo utilizado. A técnica do </w:t>
      </w:r>
      <w:r>
        <w:rPr>
          <w:i/>
        </w:rPr>
        <w:t>repúdio</w:t>
      </w:r>
      <w:r>
        <w:t xml:space="preserve"> é empregada à cor rosa e à sexualidade que seu uso representa: a homossexualidade. A conduta de usar o rosa é veementemente recusada. Nesse caso, o repúdio é acompanhado de uma interdição. Utilizar o rosa não é um comportamento admitido. Sua interdição atua no sentido de colocar a conduta homossexual, que ele evoca, no campo do inaceitável. O vínculo rosa-boiola é tão pejorativo que afugenta mesmo quem não corre o risco de tal denominação. Até mesmo uma aluna rejeita e repudia o rosa. Talvez ela recuse um tipo específico de feminilidade evocada pelo cor-de-rosa, a qual pode estar associada a uma vida fútil, de preocupações menores, representada na figura da “Paty” ou “Patricinha”. Mas essa técnica não é total, não regula a conduta o tempo todo e a mesma aluna é flagrada utilizando uma blusa da cor desprezada.</w:t>
      </w:r>
    </w:p>
    <w:p w:rsidR="00397550" w:rsidRDefault="00397550" w:rsidP="00397550">
      <w:pPr>
        <w:ind w:firstLine="708"/>
      </w:pPr>
      <w:r>
        <w:t xml:space="preserve">A tecnologia da zuação é também acionada pela professora, que a utiliza para dar fim a uma prática que perturba sua aula. Ela usa o cor-de-rosa como uma ameaça, afinal ter um blog rosa não é coisa de macho. A técnica que ela utiliza é a </w:t>
      </w:r>
      <w:r>
        <w:rPr>
          <w:i/>
        </w:rPr>
        <w:t>ironia</w:t>
      </w:r>
      <w:r>
        <w:t xml:space="preserve"> ao insinuar que o comportamento do trenzinho não é coisa de macho. O rosa é associado a comportamentos desprezíveis, algo que não deve permanecer na sala. Algo que não deve estar presente na conduta dos alunos. </w:t>
      </w:r>
    </w:p>
    <w:p w:rsidR="00397550" w:rsidRDefault="00397550" w:rsidP="00397550">
      <w:pPr>
        <w:ind w:firstLine="708"/>
      </w:pPr>
      <w:r>
        <w:t xml:space="preserve">Alguns estudos vêm mostrando como o cor-de-rosa tem sido historicamente atribuído às meninas na sociedade ocidental, sendo associado à feminilidade (Bernard, 2003). Além disso, Santos (2004) argumenta que a utilização da cor rosa pelos meninos é avaliada e descrita como evidência da falta de masculinidade ou de </w:t>
      </w:r>
      <w:r>
        <w:lastRenderedPageBreak/>
        <w:t>homossexualidade. Esse vínculo entre conduta correta na utilização das cores e gênero/sexualidade está inscrito em relações de poder que compõem determinada cultura. De acordo com Connel (1995), “toda cultura tem uma definição da conduta e dos sentimentos apropriados para os homens. Os rapazes são pressionados a agir e a sentir dessa forma e se distanciar do comportamento das mulheres, das garotas e da feminilidade, compreendidas como o oposto” (p. 190). A normalização implica na marginalização e dominação das outras formas de viver a masculinidade. Ver determinados vídeos, por exemplo, pode ser uma conduta marginal de masculinidade.</w:t>
      </w:r>
    </w:p>
    <w:p w:rsidR="00397550" w:rsidRDefault="00397550" w:rsidP="00397550">
      <w:pPr>
        <w:ind w:left="1620"/>
        <w:rPr>
          <w:b/>
          <w:sz w:val="20"/>
          <w:szCs w:val="20"/>
        </w:rPr>
      </w:pPr>
      <w:r>
        <w:rPr>
          <w:b/>
          <w:sz w:val="20"/>
          <w:szCs w:val="20"/>
        </w:rPr>
        <w:t>Currículo do Orkut</w:t>
      </w:r>
    </w:p>
    <w:p w:rsidR="00397550" w:rsidRDefault="00397550" w:rsidP="00397550">
      <w:pPr>
        <w:ind w:left="1620"/>
        <w:rPr>
          <w:color w:val="000000"/>
          <w:sz w:val="20"/>
          <w:szCs w:val="20"/>
        </w:rPr>
      </w:pPr>
      <w:r>
        <w:rPr>
          <w:sz w:val="20"/>
          <w:szCs w:val="20"/>
        </w:rPr>
        <w:t>Uma das atividades bastante comuns nas comunidades das turmas é postar os links de outras comunidades do próprio Orkut ou vídeos</w:t>
      </w:r>
      <w:r>
        <w:rPr>
          <w:rStyle w:val="Refdenotaderodap"/>
          <w:sz w:val="20"/>
          <w:szCs w:val="20"/>
        </w:rPr>
        <w:footnoteReference w:id="60"/>
      </w:r>
      <w:r>
        <w:rPr>
          <w:sz w:val="20"/>
          <w:szCs w:val="20"/>
        </w:rPr>
        <w:t xml:space="preserve"> considerados “engraçados”. Na comunidade  de uma das turmas acompanhadas, a aluna Lílian posta o link de um vídeo que consiste no clipe de uma banda de homossexuais masculinos e intitula assim o tópico: “vídeo pros meninos da sala” e zoa: “vocês vão se identificar muito”. As respostas dos meninos são: “</w:t>
      </w:r>
      <w:r>
        <w:rPr>
          <w:color w:val="000000"/>
          <w:sz w:val="20"/>
          <w:szCs w:val="20"/>
        </w:rPr>
        <w:t xml:space="preserve">uuuuuuuuuuuuuuuuuuuuuuuuuuuuhhhhhhhhhhhhhhhhhhhhhuuuuuuuuuuuuuuuuuuuuuuu aaammmmmmeeeeeiiiiiiii”; “arghh!! eu bem achando q era umas potrancas...... =P </w:t>
      </w:r>
      <w:r>
        <w:rPr>
          <w:rStyle w:val="Refdenotaderodap"/>
          <w:color w:val="000000"/>
          <w:sz w:val="20"/>
          <w:szCs w:val="20"/>
        </w:rPr>
        <w:footnoteReference w:id="61"/>
      </w:r>
      <w:r>
        <w:rPr>
          <w:color w:val="000000"/>
          <w:sz w:val="20"/>
          <w:szCs w:val="20"/>
        </w:rPr>
        <w:t xml:space="preserve"> huahuahauhauhaua!!”</w:t>
      </w:r>
    </w:p>
    <w:p w:rsidR="00397550" w:rsidRDefault="00397550" w:rsidP="00397550">
      <w:pPr>
        <w:ind w:left="1620"/>
        <w:rPr>
          <w:rFonts w:ascii="Verdana" w:hAnsi="Verdana"/>
          <w:color w:val="000000"/>
          <w:sz w:val="18"/>
          <w:szCs w:val="18"/>
        </w:rPr>
      </w:pPr>
      <w:r>
        <w:rPr>
          <w:color w:val="000000"/>
          <w:sz w:val="20"/>
          <w:szCs w:val="20"/>
        </w:rPr>
        <w:t xml:space="preserve"> </w:t>
      </w:r>
    </w:p>
    <w:p w:rsidR="00397550" w:rsidRDefault="00397550" w:rsidP="00397550">
      <w:pPr>
        <w:ind w:firstLine="708"/>
        <w:rPr>
          <w:color w:val="000000"/>
        </w:rPr>
      </w:pPr>
      <w:r>
        <w:t xml:space="preserve">Ver vídeo clipes de banda gay não é coisa de macho, menos ainda gostar desse tipo de música. A zuação surge aqui como forma de demarcar essas fronteiras. A técnica acionada é a </w:t>
      </w:r>
      <w:r>
        <w:rPr>
          <w:i/>
        </w:rPr>
        <w:t>ironia</w:t>
      </w:r>
      <w:r>
        <w:t xml:space="preserve"> quando Lílian afirma que os meninos da sala “vão se identificar muito”. O </w:t>
      </w:r>
      <w:r>
        <w:rPr>
          <w:i/>
        </w:rPr>
        <w:t>sarcasmo</w:t>
      </w:r>
      <w:r>
        <w:t xml:space="preserve"> também é utilizado na resposta de um aluno imitando o jeito, estereotipado, de falar dos homossexuais ao afirmar que amou o vídeo. Além dessas, a técnica do </w:t>
      </w:r>
      <w:r>
        <w:rPr>
          <w:i/>
        </w:rPr>
        <w:t>repúdio</w:t>
      </w:r>
      <w:r>
        <w:t xml:space="preserve"> é posta em ação. A conduta homossexual representada no vídeo é desprezada como uma espécie de abjeto, que causa asco “</w:t>
      </w:r>
      <w:r>
        <w:rPr>
          <w:color w:val="000000"/>
        </w:rPr>
        <w:t>arghh”. O homossexual é um “monstro repulsivo” (Cohen, 2000).</w:t>
      </w:r>
    </w:p>
    <w:p w:rsidR="00397550" w:rsidRDefault="00397550" w:rsidP="00397550">
      <w:pPr>
        <w:ind w:firstLine="708"/>
      </w:pPr>
      <w:r>
        <w:t xml:space="preserve">O monstro (abjeto) é visto como o diferente, a subjetividade e a cultura que não possuem autoridade em determinada época e lugar. Os monstros são “representações convenientes de outras culturas, generalizados e demonizados para impor uma concepção estrita da mesmice grupal” (idem, p. 46). O monstro exige um policiamento para que continue marcando a/o diferente, para que permaneça monstruoso. O policiamento da </w:t>
      </w:r>
      <w:r>
        <w:lastRenderedPageBreak/>
        <w:t>fronteira em torno da masculinidade conecta-se, mistura-se e funde-se com a exigência da sexualidade “normal” e culturalmente permitida: a heterossexualidade (cf. Britzman, 1996). A produção da diferença monstruosa objetiva então normalizar, regular e conduzir condutas, com base em formas particulares de ver o mundo, impostas como naturais, essenciais, irredutíveis e universais. A composição do monstro, sua montagem, sua produção revelam que a diferença é arbitrária e flutuante, o que leva a questionar o processo de produção da diferença e não a diferença como um fato (Cohen, 2000).</w:t>
      </w:r>
    </w:p>
    <w:p w:rsidR="00397550" w:rsidRDefault="00397550" w:rsidP="00397550">
      <w:pPr>
        <w:ind w:left="1620"/>
        <w:rPr>
          <w:b/>
          <w:sz w:val="20"/>
          <w:szCs w:val="20"/>
        </w:rPr>
      </w:pPr>
      <w:r>
        <w:rPr>
          <w:b/>
          <w:sz w:val="20"/>
          <w:szCs w:val="20"/>
        </w:rPr>
        <w:t>Currículo do Orkut</w:t>
      </w:r>
    </w:p>
    <w:p w:rsidR="00397550" w:rsidRDefault="00397550" w:rsidP="00397550">
      <w:pPr>
        <w:shd w:val="clear" w:color="auto" w:fill="FFFFFF"/>
        <w:ind w:left="1620"/>
        <w:rPr>
          <w:color w:val="000000"/>
          <w:sz w:val="20"/>
          <w:szCs w:val="20"/>
        </w:rPr>
      </w:pPr>
      <w:r>
        <w:rPr>
          <w:sz w:val="20"/>
          <w:szCs w:val="20"/>
        </w:rPr>
        <w:t>No mesmo dia, Jonathan posta o link de outro vídeo clipe de uma banda de homossexuais masculinos. As respostas dos rapazes são: “</w:t>
      </w:r>
      <w:r>
        <w:rPr>
          <w:color w:val="000000"/>
          <w:sz w:val="20"/>
          <w:szCs w:val="20"/>
        </w:rPr>
        <w:t xml:space="preserve">ah naum veiiii eu tive q pegar a letra huauhauhahuauh </w:t>
      </w:r>
      <w:r>
        <w:rPr>
          <w:rStyle w:val="Refdenotaderodap"/>
          <w:color w:val="000000"/>
          <w:sz w:val="20"/>
          <w:szCs w:val="20"/>
        </w:rPr>
        <w:footnoteReference w:id="62"/>
      </w:r>
      <w:r>
        <w:rPr>
          <w:color w:val="000000"/>
          <w:sz w:val="20"/>
          <w:szCs w:val="20"/>
        </w:rPr>
        <w:t xml:space="preserve"> Tomboy</w:t>
      </w:r>
      <w:r>
        <w:rPr>
          <w:rStyle w:val="Refdenotaderodap"/>
          <w:color w:val="000000"/>
          <w:sz w:val="20"/>
          <w:szCs w:val="20"/>
        </w:rPr>
        <w:footnoteReference w:id="63"/>
      </w:r>
      <w:r>
        <w:rPr>
          <w:color w:val="000000"/>
          <w:sz w:val="20"/>
          <w:szCs w:val="20"/>
        </w:rPr>
        <w:t xml:space="preserve"> - Ok2bgay</w:t>
      </w:r>
      <w:r>
        <w:rPr>
          <w:rStyle w:val="Refdenotaderodap"/>
          <w:color w:val="000000"/>
          <w:sz w:val="20"/>
          <w:szCs w:val="20"/>
        </w:rPr>
        <w:t xml:space="preserve"> </w:t>
      </w:r>
      <w:r>
        <w:rPr>
          <w:rStyle w:val="Refdenotaderodap"/>
          <w:color w:val="000000"/>
          <w:sz w:val="20"/>
          <w:szCs w:val="20"/>
        </w:rPr>
        <w:footnoteReference w:id="64"/>
      </w:r>
      <w:r>
        <w:rPr>
          <w:color w:val="000000"/>
          <w:sz w:val="20"/>
          <w:szCs w:val="20"/>
        </w:rPr>
        <w:t xml:space="preserve">“; “ma q porra, essa comunidade ta mt gls ¬¬  </w:t>
      </w:r>
      <w:r>
        <w:rPr>
          <w:rStyle w:val="Refdenotaderodap"/>
          <w:color w:val="000000"/>
          <w:sz w:val="20"/>
          <w:szCs w:val="20"/>
        </w:rPr>
        <w:footnoteReference w:id="65"/>
      </w:r>
      <w:r>
        <w:rPr>
          <w:color w:val="000000"/>
          <w:sz w:val="20"/>
          <w:szCs w:val="20"/>
        </w:rPr>
        <w:t xml:space="preserve">         2 topicos simultaneos, vai toma no cu shaiuhsaius”; “auhahuahu q coisa gay!!”. André contrasta e questiona: “algum preconceito??” </w:t>
      </w:r>
      <w:r>
        <w:rPr>
          <w:sz w:val="20"/>
          <w:szCs w:val="20"/>
        </w:rPr>
        <w:t>Já Fabiana diz: “</w:t>
      </w:r>
      <w:r>
        <w:rPr>
          <w:color w:val="000000"/>
          <w:sz w:val="20"/>
          <w:szCs w:val="20"/>
        </w:rPr>
        <w:t xml:space="preserve">aaaaadoooorei..... kkkkkkkkkkkkkkkkk to raxanu d ri.................. huhuhuhuhu ow sem preconceitos”. </w:t>
      </w:r>
    </w:p>
    <w:p w:rsidR="00397550" w:rsidRDefault="00397550" w:rsidP="00397550">
      <w:pPr>
        <w:ind w:left="1620"/>
        <w:rPr>
          <w:b/>
          <w:sz w:val="20"/>
          <w:szCs w:val="20"/>
        </w:rPr>
      </w:pPr>
    </w:p>
    <w:p w:rsidR="00397550" w:rsidRDefault="00397550" w:rsidP="00397550">
      <w:pPr>
        <w:ind w:firstLine="720"/>
      </w:pPr>
      <w:r>
        <w:t xml:space="preserve">Muita zuação com conteúdo homossexual não é coisa de macho. Quando mais um vídeo de outra música homossexual é postado, há conflito. Primeiramente a técnica do </w:t>
      </w:r>
      <w:r>
        <w:rPr>
          <w:i/>
        </w:rPr>
        <w:t>deboche</w:t>
      </w:r>
      <w:r>
        <w:t xml:space="preserve"> é acionada para zuar, “</w:t>
      </w:r>
      <w:r>
        <w:rPr>
          <w:color w:val="000000"/>
        </w:rPr>
        <w:t>ah naum veiiii eu tive q pegar a letra huauhauhahuauh”</w:t>
      </w:r>
      <w:r>
        <w:t xml:space="preserve">. Em seguida, as técnicas do </w:t>
      </w:r>
      <w:r>
        <w:rPr>
          <w:i/>
        </w:rPr>
        <w:t>sarcasmo</w:t>
      </w:r>
      <w:r>
        <w:t xml:space="preserve"> e da </w:t>
      </w:r>
      <w:r>
        <w:rPr>
          <w:i/>
        </w:rPr>
        <w:t>ironia</w:t>
      </w:r>
      <w:r>
        <w:t xml:space="preserve"> são utilizadas ao simular uma reprovação ao post com o uso de palavrões, mas com uma gargalhada ao final: “</w:t>
      </w:r>
      <w:r>
        <w:rPr>
          <w:color w:val="000000"/>
        </w:rPr>
        <w:t>shaiuhsaius”</w:t>
      </w:r>
      <w:r>
        <w:t>. Essas técnicas também estão presentes no questionamento do preconceito. Aqui é acionado um exercício de relação consigo, cada um/a deve se perguntar sobre seus próprios preconceitos. Eles são ironicamente contestados, já que a zuação age fazendo rir.</w:t>
      </w:r>
    </w:p>
    <w:p w:rsidR="00397550" w:rsidRDefault="00397550" w:rsidP="00397550">
      <w:pPr>
        <w:ind w:firstLine="720"/>
        <w:rPr>
          <w:b/>
          <w:sz w:val="20"/>
          <w:szCs w:val="20"/>
        </w:rPr>
      </w:pPr>
      <w:r>
        <w:t xml:space="preserve">De todo modo, dois tópicos seguidos com a mesma temática parece excessivo. Deve ser controlado. A regulação da sexualidade requer uma medida certa. As técnicas acionadas devem produzir condutas que se </w:t>
      </w:r>
      <w:r>
        <w:lastRenderedPageBreak/>
        <w:t>adeqüam a essa medida. O exercício do poder incide sobre as ações de zuar, avaliar, julgar, refletir, questionar, rir.</w:t>
      </w:r>
    </w:p>
    <w:p w:rsidR="00397550" w:rsidRDefault="00397550" w:rsidP="00397550">
      <w:pPr>
        <w:ind w:left="1620"/>
        <w:rPr>
          <w:b/>
          <w:sz w:val="20"/>
          <w:szCs w:val="20"/>
        </w:rPr>
      </w:pPr>
      <w:r>
        <w:rPr>
          <w:b/>
          <w:sz w:val="20"/>
          <w:szCs w:val="20"/>
        </w:rPr>
        <w:t>Currículo do Orkut</w:t>
      </w:r>
    </w:p>
    <w:p w:rsidR="00397550" w:rsidRDefault="00397550" w:rsidP="00397550">
      <w:pPr>
        <w:ind w:left="1620"/>
        <w:rPr>
          <w:sz w:val="20"/>
          <w:szCs w:val="20"/>
        </w:rPr>
      </w:pPr>
      <w:r>
        <w:rPr>
          <w:sz w:val="20"/>
          <w:szCs w:val="20"/>
        </w:rPr>
        <w:t>Nesse mesmo dia Tomaz posta um tópico com o título: “Chega de boiolagem!” e assim descreve: “</w:t>
      </w:r>
      <w:r>
        <w:rPr>
          <w:color w:val="000000"/>
          <w:sz w:val="20"/>
          <w:szCs w:val="20"/>
        </w:rPr>
        <w:t xml:space="preserve">ahuauhauh chega de videos boiolas, um de macho ai, uma entrevista do chakal num programa q passa na internet, com o vinny xD </w:t>
      </w:r>
      <w:r>
        <w:rPr>
          <w:rStyle w:val="Refdenotaderodap"/>
          <w:color w:val="000000"/>
          <w:sz w:val="20"/>
          <w:szCs w:val="20"/>
        </w:rPr>
        <w:footnoteReference w:id="66"/>
      </w:r>
      <w:r>
        <w:rPr>
          <w:color w:val="000000"/>
          <w:sz w:val="20"/>
          <w:szCs w:val="20"/>
        </w:rPr>
        <w:t>”.</w:t>
      </w:r>
    </w:p>
    <w:p w:rsidR="00397550" w:rsidRDefault="00397550" w:rsidP="00397550">
      <w:pPr>
        <w:ind w:left="1620"/>
        <w:rPr>
          <w:color w:val="000000"/>
          <w:sz w:val="20"/>
          <w:szCs w:val="20"/>
        </w:rPr>
      </w:pPr>
      <w:r>
        <w:rPr>
          <w:sz w:val="20"/>
          <w:szCs w:val="20"/>
        </w:rPr>
        <w:t>As respostas foram essas: “</w:t>
      </w:r>
      <w:r>
        <w:rPr>
          <w:color w:val="000000"/>
          <w:sz w:val="20"/>
          <w:szCs w:val="20"/>
        </w:rPr>
        <w:t>du caralho” (Antônio); “Chakal acústico=demoro” (Carla); “aposto q a emo poser</w:t>
      </w:r>
      <w:r>
        <w:rPr>
          <w:rStyle w:val="Refdenotaderodap"/>
          <w:color w:val="000000"/>
          <w:sz w:val="20"/>
          <w:szCs w:val="20"/>
        </w:rPr>
        <w:footnoteReference w:id="67"/>
      </w:r>
      <w:r>
        <w:rPr>
          <w:color w:val="000000"/>
          <w:sz w:val="20"/>
          <w:szCs w:val="20"/>
        </w:rPr>
        <w:t xml:space="preserve"> nem viu o video ^^  </w:t>
      </w:r>
      <w:r>
        <w:rPr>
          <w:rStyle w:val="Refdenotaderodap"/>
          <w:color w:val="000000"/>
          <w:sz w:val="20"/>
          <w:szCs w:val="20"/>
        </w:rPr>
        <w:footnoteReference w:id="68"/>
      </w:r>
      <w:r>
        <w:rPr>
          <w:color w:val="000000"/>
          <w:sz w:val="20"/>
          <w:szCs w:val="20"/>
        </w:rPr>
        <w:t>” (Tomaz); “presunçoso, eu vi sim :P” (Carla).</w:t>
      </w:r>
    </w:p>
    <w:p w:rsidR="00397550" w:rsidRDefault="00397550" w:rsidP="00397550">
      <w:pPr>
        <w:ind w:left="1620"/>
        <w:rPr>
          <w:color w:val="000000"/>
        </w:rPr>
      </w:pPr>
    </w:p>
    <w:p w:rsidR="00397550" w:rsidRDefault="00397550" w:rsidP="00397550">
      <w:pPr>
        <w:ind w:firstLine="708"/>
        <w:rPr>
          <w:color w:val="000000"/>
        </w:rPr>
      </w:pPr>
      <w:r>
        <w:rPr>
          <w:color w:val="000000"/>
        </w:rPr>
        <w:t xml:space="preserve">Definitivamente vários vídeos com música gay não é coisa de macho! Heavy metal, sim, é música pra macho. A zuação, como no currículo de matemática analisado anteriormente, utiliza as técnicas do </w:t>
      </w:r>
      <w:r>
        <w:rPr>
          <w:i/>
          <w:color w:val="000000"/>
        </w:rPr>
        <w:t>sarcasmo</w:t>
      </w:r>
      <w:r>
        <w:rPr>
          <w:color w:val="000000"/>
        </w:rPr>
        <w:t xml:space="preserve">, do </w:t>
      </w:r>
      <w:r>
        <w:rPr>
          <w:i/>
          <w:color w:val="000000"/>
        </w:rPr>
        <w:t>repúdio</w:t>
      </w:r>
      <w:r>
        <w:rPr>
          <w:color w:val="000000"/>
        </w:rPr>
        <w:t xml:space="preserve"> e do </w:t>
      </w:r>
      <w:r>
        <w:rPr>
          <w:i/>
          <w:color w:val="000000"/>
        </w:rPr>
        <w:t>banimento</w:t>
      </w:r>
      <w:r>
        <w:rPr>
          <w:color w:val="000000"/>
        </w:rPr>
        <w:t>. Nada mais de condutas homossexuais. Em vez disso, um vídeo de macho. O vídeo em questão, era a gravação de um programa sobre Chakal, uma banda de heavy metal. Esse tipo de som é categorizado no discurso, como coisa de macho. Sendo assim, não deveria ter agradado Carla e talvez por isso Tomaz tenha colocado em dúvida o fato dela ter ao menos assistido ao vídeo.</w:t>
      </w:r>
    </w:p>
    <w:p w:rsidR="00397550" w:rsidRDefault="00397550" w:rsidP="00397550">
      <w:pPr>
        <w:ind w:firstLine="708"/>
      </w:pPr>
      <w:r>
        <w:t>A fabricação da diferença sexual está imersa em relações desiguais de poder que acabam atuando na manutenção de uma sociedade dividida, em que algumas práticas, desejos e prazeres são legitimados enquanto outros são narrados como patológicos, doentios e anormais. Nas palavras de Louro (2003), “a produção da heterossexualidade é acompanhada pela rejeição da homossexualidade. Uma rejeição que se expressa, muitas vezes, por declarada homofobia” (p. 27). O currículo do Orkut ensina como a/o jovem deve se conduzir em relação à sexualidade, e a produção da heterossexualidade acontece acompanhada pela rejeição da homossexualidade</w:t>
      </w:r>
      <w:r>
        <w:rPr>
          <w:rStyle w:val="Refdenotaderodap"/>
        </w:rPr>
        <w:footnoteReference w:id="69"/>
      </w:r>
      <w:r>
        <w:t>, apresentada como a subjetividade monstruosa. Além disso, esse currículo, ao apresentar a sexualidade de forma dicotômica, opondo heterossexualismo a homossexulismo, contribui para uma produção de sentidos cristalizados e restritos sobre a sexualidade. Desse modo, deixa de discutir a diversidade, variedade e complexidade da experiência sexual humana.</w:t>
      </w:r>
    </w:p>
    <w:p w:rsidR="00397550" w:rsidRDefault="00397550" w:rsidP="00397550">
      <w:pPr>
        <w:ind w:left="1620"/>
        <w:rPr>
          <w:b/>
          <w:sz w:val="20"/>
          <w:szCs w:val="20"/>
        </w:rPr>
      </w:pPr>
      <w:r>
        <w:rPr>
          <w:b/>
          <w:sz w:val="20"/>
          <w:szCs w:val="20"/>
        </w:rPr>
        <w:t>Currículo do Orkut</w:t>
      </w:r>
    </w:p>
    <w:p w:rsidR="00397550" w:rsidRDefault="00397550" w:rsidP="00397550">
      <w:pPr>
        <w:ind w:left="1620"/>
        <w:rPr>
          <w:sz w:val="20"/>
          <w:szCs w:val="20"/>
        </w:rPr>
      </w:pPr>
      <w:r>
        <w:rPr>
          <w:sz w:val="20"/>
          <w:szCs w:val="20"/>
        </w:rPr>
        <w:lastRenderedPageBreak/>
        <w:t>Dez dias depois, na mesma comunidade, novo tópico, com mais um link de vídeo. Agora é André que posta e zoa assim: “</w:t>
      </w:r>
      <w:r>
        <w:rPr>
          <w:color w:val="000000"/>
          <w:sz w:val="20"/>
          <w:szCs w:val="20"/>
        </w:rPr>
        <w:t xml:space="preserve">essa banda e mto gay os componentes homens sao gays e as mulheres lésbicas mas o clipe e diversao a valer simples e legal”. </w:t>
      </w:r>
    </w:p>
    <w:p w:rsidR="00397550" w:rsidRDefault="00397550" w:rsidP="00397550">
      <w:pPr>
        <w:ind w:left="1620"/>
        <w:rPr>
          <w:sz w:val="20"/>
          <w:szCs w:val="20"/>
        </w:rPr>
      </w:pPr>
      <w:r>
        <w:rPr>
          <w:sz w:val="20"/>
          <w:szCs w:val="20"/>
        </w:rPr>
        <w:t>Desta vez a repercussão foi diferente. As/os participantes da comunidade não acharam muita graça e responderam: “</w:t>
      </w:r>
      <w:r>
        <w:rPr>
          <w:color w:val="000000"/>
          <w:sz w:val="20"/>
          <w:szCs w:val="20"/>
        </w:rPr>
        <w:t xml:space="preserve">ihhhhhh”; “falto so um pokim pra eu rir  =D  </w:t>
      </w:r>
      <w:r>
        <w:rPr>
          <w:rStyle w:val="Refdenotaderodap"/>
          <w:color w:val="000000"/>
          <w:sz w:val="20"/>
          <w:szCs w:val="20"/>
        </w:rPr>
        <w:footnoteReference w:id="70"/>
      </w:r>
      <w:r>
        <w:rPr>
          <w:color w:val="000000"/>
          <w:sz w:val="20"/>
          <w:szCs w:val="20"/>
        </w:rPr>
        <w:t>”</w:t>
      </w:r>
    </w:p>
    <w:p w:rsidR="00397550" w:rsidRDefault="00397550" w:rsidP="00397550">
      <w:pPr>
        <w:ind w:left="1620"/>
        <w:rPr>
          <w:color w:val="000000"/>
          <w:sz w:val="20"/>
          <w:szCs w:val="20"/>
        </w:rPr>
      </w:pPr>
      <w:r>
        <w:rPr>
          <w:sz w:val="20"/>
          <w:szCs w:val="20"/>
        </w:rPr>
        <w:t>Então André, fazendo uma auto-reflexão, no mesmo tópico, posta em seguida o link de um outro vídeo e zoa a si próprio: “</w:t>
      </w:r>
      <w:r>
        <w:rPr>
          <w:color w:val="000000"/>
          <w:sz w:val="20"/>
          <w:szCs w:val="20"/>
        </w:rPr>
        <w:t>eu so posto videos estúpidos mas esse e divertido (pra qem gosta de futebol). Na minha opinião, futebol mais kung fu”</w:t>
      </w:r>
    </w:p>
    <w:p w:rsidR="00397550" w:rsidRDefault="00397550" w:rsidP="00397550">
      <w:pPr>
        <w:ind w:left="1620"/>
        <w:rPr>
          <w:color w:val="000000"/>
          <w:sz w:val="20"/>
          <w:szCs w:val="20"/>
        </w:rPr>
      </w:pPr>
      <w:r>
        <w:rPr>
          <w:color w:val="000000"/>
          <w:sz w:val="20"/>
          <w:szCs w:val="20"/>
        </w:rPr>
        <w:t>O novo vídeo traz uma série de verdadeiros “malabarismos” que alguns rapazes fazem com uma bola de futebol. A habilidade dos “malabaristas” é impressionante. Agora três jovens avaliam positivamente a dica de André: “pqp!”; “haha”; “filhodaputa fominha pa carai!!!!!”</w:t>
      </w:r>
    </w:p>
    <w:p w:rsidR="00397550" w:rsidRDefault="00397550" w:rsidP="00397550">
      <w:pPr>
        <w:ind w:left="1620"/>
      </w:pPr>
    </w:p>
    <w:p w:rsidR="00397550" w:rsidRDefault="00397550" w:rsidP="00397550">
      <w:pPr>
        <w:ind w:firstLine="708"/>
      </w:pPr>
      <w:r>
        <w:t xml:space="preserve">A zuação continua, mas André não percebeu que já basta de vídeos gays. Então a zuação volta pra ele pela técnica de </w:t>
      </w:r>
      <w:r>
        <w:rPr>
          <w:i/>
        </w:rPr>
        <w:t>ironia</w:t>
      </w:r>
      <w:r>
        <w:t xml:space="preserve"> dos pares, que não acham graça, do que pretensamente deveria ser risível – como toda zuação que se preze. Então André zoa a si mesmo, usando a técnica do </w:t>
      </w:r>
      <w:r>
        <w:rPr>
          <w:i/>
        </w:rPr>
        <w:t>deboche</w:t>
      </w:r>
      <w:r>
        <w:t xml:space="preserve"> de si “eu so posto vídeos estúpidos”. Imediatamente ele corrige sua conduta e divulga um vídeo de macho. Afinal futebol é coisa de macho. Seu novo  comportamento agrada os pares.</w:t>
      </w:r>
    </w:p>
    <w:p w:rsidR="00397550" w:rsidRDefault="00397550" w:rsidP="00397550">
      <w:pPr>
        <w:ind w:firstLine="708"/>
      </w:pPr>
      <w:r>
        <w:t>O futebol, especialmente em países como o Brasil, funciona como uma forte marca da masculinidade. Gostar de futebol, jogar [bem], assistir aos jogos e falar de futebol são práticas que se impõem aos garotos desde muito cedo, como uma espécie de “interesse masculino ‘obrigatório’” (Louro, 2003, p. 22). Esse discurso também aciona regulação da sexualidade no currículo de Educação Física.</w:t>
      </w:r>
    </w:p>
    <w:p w:rsidR="00397550" w:rsidRDefault="00397550" w:rsidP="00397550">
      <w:pPr>
        <w:ind w:left="1620"/>
        <w:rPr>
          <w:b/>
          <w:sz w:val="20"/>
          <w:szCs w:val="20"/>
        </w:rPr>
      </w:pPr>
      <w:r>
        <w:rPr>
          <w:b/>
          <w:sz w:val="20"/>
          <w:szCs w:val="20"/>
        </w:rPr>
        <w:t>Currículo de Educação Física – 1º ano</w:t>
      </w:r>
    </w:p>
    <w:p w:rsidR="00397550" w:rsidRDefault="00397550" w:rsidP="00397550">
      <w:pPr>
        <w:ind w:left="1620"/>
        <w:rPr>
          <w:sz w:val="20"/>
          <w:szCs w:val="20"/>
        </w:rPr>
      </w:pPr>
      <w:r>
        <w:rPr>
          <w:sz w:val="20"/>
          <w:szCs w:val="20"/>
        </w:rPr>
        <w:t>Um grupo de alunos combina um campeonato de Winnig Eleven [jogo eletrônico de futebol] com o professor. Um aluno sugere um campeonato de jogo de corrida de carros [pelo que ele é fascinado, como consta no seu perfil do Orkut], em vez de futebol [que ele odeia, como ele declara no Orkut]. Professor recusa tal troca e zoa o aluno dizendo que esse outro jogo é sua “namorada” que joga. (Notas do diário de campo)</w:t>
      </w:r>
    </w:p>
    <w:p w:rsidR="00397550" w:rsidRDefault="00397550" w:rsidP="00397550">
      <w:pPr>
        <w:ind w:left="1620"/>
      </w:pPr>
    </w:p>
    <w:p w:rsidR="00397550" w:rsidRDefault="00397550" w:rsidP="00397550">
      <w:pPr>
        <w:ind w:firstLine="708"/>
      </w:pPr>
      <w:r>
        <w:lastRenderedPageBreak/>
        <w:t xml:space="preserve">Futebol é coisa pra macho. Joguinho de corrida de carros não é coisa de macho. Aqui a técnica da </w:t>
      </w:r>
      <w:r>
        <w:rPr>
          <w:i/>
        </w:rPr>
        <w:t>ironia</w:t>
      </w:r>
      <w:r>
        <w:t xml:space="preserve"> é utilizada para o controle da conduta juvenil. O professor zoa o aluno que não se comporta como a norma que regulamenta os gostos masculinos. Afinal, todo homem tem que jogar e gostar de futebol. Quando o aluno transgride essa regra e declara seu gosto por jogos de corrida de carros, o professor ironiza e vincula a preferência do aluno a uma conduta de “mulherzinha”, pois é a namorada do professor que gosta daquele tipo de jogo. A zuação visa governar e corrigir o comportamento do jovem e produzir nele a conduta de um macho de verdade.</w:t>
      </w:r>
    </w:p>
    <w:p w:rsidR="00397550" w:rsidRDefault="00397550" w:rsidP="00397550">
      <w:pPr>
        <w:ind w:firstLine="708"/>
      </w:pPr>
      <w:r>
        <w:t>Nesse caso, gênero e sexualidade estão intimamente conectados e a masculinidade demandada representa uma oposição à sexualidade proibida, a homossexualidade. Gostar de futebol é uma exigência cultural imposta aos homens, uma forma de garantir a manutenção de categorias. Esse processo reside em uma espécie de “hierarquia de correção identitária: essa lógica ostensivamente afirma que, primeiro, a pessoa ‘obtém’ o gênero correto e, depois, ‘obtém’ a heterossexualidade” (Britzman, 1996, p. 78). Todo esse processo é inscrito no corpo: nos gestos, posturas e condutas, como pode ser visto a seguir.</w:t>
      </w:r>
    </w:p>
    <w:p w:rsidR="00397550" w:rsidRDefault="00397550" w:rsidP="00397550">
      <w:pPr>
        <w:ind w:left="1620"/>
        <w:rPr>
          <w:b/>
          <w:sz w:val="20"/>
          <w:szCs w:val="20"/>
        </w:rPr>
      </w:pPr>
      <w:r>
        <w:rPr>
          <w:b/>
          <w:sz w:val="20"/>
          <w:szCs w:val="20"/>
        </w:rPr>
        <w:t>Currículo de Sistemas de Produção e Organização do Trabalho – 2º ano</w:t>
      </w:r>
    </w:p>
    <w:p w:rsidR="00397550" w:rsidRDefault="00397550" w:rsidP="00397550">
      <w:pPr>
        <w:ind w:left="1620"/>
        <w:rPr>
          <w:sz w:val="20"/>
          <w:szCs w:val="20"/>
        </w:rPr>
      </w:pPr>
      <w:r>
        <w:rPr>
          <w:sz w:val="20"/>
          <w:szCs w:val="20"/>
        </w:rPr>
        <w:t>Enquanto o professor copia a matéria no quadro um aluno o zoa: “Professor, pára de rebolar!” O professor continua seu trabalho, nada comenta. (Notas do diário de campo)</w:t>
      </w:r>
    </w:p>
    <w:p w:rsidR="00397550" w:rsidRDefault="00397550" w:rsidP="00397550">
      <w:pPr>
        <w:ind w:left="1620"/>
        <w:rPr>
          <w:b/>
          <w:sz w:val="20"/>
          <w:szCs w:val="20"/>
        </w:rPr>
      </w:pPr>
      <w:r>
        <w:rPr>
          <w:b/>
          <w:sz w:val="20"/>
          <w:szCs w:val="20"/>
        </w:rPr>
        <w:t>Currículo de Informática – 1º ano</w:t>
      </w:r>
    </w:p>
    <w:p w:rsidR="00397550" w:rsidRDefault="00397550" w:rsidP="00397550">
      <w:pPr>
        <w:ind w:left="1620"/>
        <w:rPr>
          <w:sz w:val="20"/>
          <w:szCs w:val="20"/>
        </w:rPr>
      </w:pPr>
      <w:r>
        <w:rPr>
          <w:sz w:val="20"/>
          <w:szCs w:val="20"/>
        </w:rPr>
        <w:t>Um grupo de alunos [apenas rapazes] conversa entusiasmadamente, ao que o professor repreende zuando: “Ei, vocês vão rasgar a saia aí. Essa agarração!” Os alunos, então, ficam quietos. (Notas do diário de campo)</w:t>
      </w:r>
    </w:p>
    <w:p w:rsidR="00397550" w:rsidRDefault="00397550" w:rsidP="00397550">
      <w:pPr>
        <w:ind w:left="1620"/>
        <w:rPr>
          <w:b/>
          <w:sz w:val="20"/>
          <w:szCs w:val="20"/>
        </w:rPr>
      </w:pPr>
    </w:p>
    <w:p w:rsidR="00397550" w:rsidRDefault="00397550" w:rsidP="00397550">
      <w:pPr>
        <w:ind w:firstLine="708"/>
      </w:pPr>
      <w:r>
        <w:t xml:space="preserve">Rebolar não é coisa de um macho de verdade. Ser macho é manter uma postura corporal rígida. O macho também não pode ficar de agarração, “a homofobia funciona como mais um importante obstáculo à expressão de intimidade entre homens. É preciso ser cauteloso e manter a camaradagem dentro de sues limites, empregando apenas gestos e comportamentos autorizados para o ‘macho’” (Louro, 2003, p. 28). Pegar, tocar outro macho é um perigoso cruzamento de fronteiras, que deve ser vigiado, controlado, rejeitado. Aqui a zuação aciona a técnica do </w:t>
      </w:r>
      <w:r>
        <w:rPr>
          <w:i/>
        </w:rPr>
        <w:t>sarcasmo</w:t>
      </w:r>
      <w:r>
        <w:t xml:space="preserve"> em relação à conduta corporal do professor. Essa conduta aciona ao mesmo tempo as técnicas do </w:t>
      </w:r>
      <w:r>
        <w:rPr>
          <w:i/>
        </w:rPr>
        <w:t>repúdio</w:t>
      </w:r>
      <w:r>
        <w:t xml:space="preserve"> e do </w:t>
      </w:r>
      <w:r>
        <w:rPr>
          <w:i/>
        </w:rPr>
        <w:t>banimento</w:t>
      </w:r>
      <w:r>
        <w:t xml:space="preserve">: “pára!”. As condutas corporais dos alunos que se agarram </w:t>
      </w:r>
      <w:r>
        <w:lastRenderedPageBreak/>
        <w:t>acionam as mesmas técnicas. Agora a saia, uma vestimenta culturalmente feminina, é evocada para vincular a conduta reprovável dos rapazes, ao gênero feminino.</w:t>
      </w:r>
    </w:p>
    <w:p w:rsidR="00397550" w:rsidRDefault="00397550" w:rsidP="00397550">
      <w:pPr>
        <w:ind w:firstLine="708"/>
      </w:pPr>
      <w:r>
        <w:t>As técnicas utilizadas incidem sobre as condutas corporais dos jovens. Visam controlar o modo de conduzir o corpo e os gestos. Trata-se de produzir modos de existência juvenis, livres das condutas consideradas impróprias àqueles que vivem a sexualidade dita normal. Os mais variados comportamentos masculinos são vigiados, avaliados e julgados o tempo todo, de modo intensivo e extensivo, em termos de sua relação com a sexualidade. Desse modo, o jeito de se portar, de posicionar o corpo, de tocar os pares é regulado com base na subjetividade demandada nesse discurso: o jovem macho. É preciso considerar que,</w:t>
      </w:r>
    </w:p>
    <w:p w:rsidR="00397550" w:rsidRDefault="00397550" w:rsidP="00397550">
      <w:pPr>
        <w:ind w:left="1620"/>
      </w:pPr>
      <w:r>
        <w:rPr>
          <w:sz w:val="20"/>
          <w:szCs w:val="20"/>
        </w:rPr>
        <w:t>mais do que um conjunto de músculos, ossos, vísceras, reflexos e sensações, o corpo é também a roupa e os acessórios que o adornam, as intervenções que nele se operam, a imagem que dele se produz, as máquinas que nele se acoplam, os sentidos que nele se incorporam, os silêncios que por ele falam, os vestígios que nele se exibem, a educação de seus gestos (Goellner, 2005, p. 29).</w:t>
      </w:r>
    </w:p>
    <w:p w:rsidR="00397550" w:rsidRDefault="00397550" w:rsidP="00397550">
      <w:pPr>
        <w:ind w:firstLine="708"/>
        <w:rPr>
          <w:sz w:val="16"/>
          <w:szCs w:val="16"/>
        </w:rPr>
      </w:pPr>
    </w:p>
    <w:p w:rsidR="00397550" w:rsidRDefault="00397550" w:rsidP="00397550">
      <w:pPr>
        <w:ind w:firstLine="720"/>
      </w:pPr>
      <w:r>
        <w:t xml:space="preserve">O corpo, o uso que dele é feito, a postura e os gestos são minuciosamente vigiados e controlados. Cada detalhe é medido e quando é considerado inadequado constitui-se imediatamente em alvo de zuação. Corpo é aqui entendido como produzido culturalmente, pelas relações de poder. É uma construção histórica e por isso é provisório, suscetível a mudanças (idem). É também alvo de uma série de investimentos (cf. Louro, 2005) que buscam evidenciar as subjetividades. Esses investimentos incluem a utilização ou não de certos acessórios que buscam dizer quem somos verdadeiramente. </w:t>
      </w:r>
    </w:p>
    <w:p w:rsidR="00397550" w:rsidRDefault="00397550" w:rsidP="00397550">
      <w:pPr>
        <w:ind w:firstLine="708"/>
      </w:pPr>
      <w:r>
        <w:t>Além disso, todo esse investimento sobre o corpo faz parte de uma “pedagogia da sexualidade” exercida na escola, “pela afirmação ou pelo silenciamento, nos espaços reconhecidos e públicos ou nos cantos escondidos e privados” (Louro, 2003, p. 31). Essa pedagogia acaba “legitimando determinadas identidades e práticas sexuais, reprimindo e marginalizando outras” (idem). Essa repressão, no entanto, não se efetiva em sua totalidade e no currículo também há escapes.</w:t>
      </w:r>
    </w:p>
    <w:p w:rsidR="00397550" w:rsidRDefault="00397550" w:rsidP="00397550">
      <w:pPr>
        <w:ind w:left="1620"/>
        <w:rPr>
          <w:b/>
          <w:sz w:val="20"/>
          <w:szCs w:val="20"/>
        </w:rPr>
      </w:pPr>
      <w:r>
        <w:rPr>
          <w:b/>
          <w:sz w:val="20"/>
          <w:szCs w:val="20"/>
        </w:rPr>
        <w:t>Currículo de Educação Física – 2º ano.</w:t>
      </w:r>
    </w:p>
    <w:p w:rsidR="00397550" w:rsidRDefault="00397550" w:rsidP="00397550">
      <w:pPr>
        <w:ind w:left="1620"/>
        <w:rPr>
          <w:sz w:val="20"/>
          <w:szCs w:val="20"/>
        </w:rPr>
      </w:pPr>
      <w:r>
        <w:rPr>
          <w:sz w:val="20"/>
          <w:szCs w:val="20"/>
        </w:rPr>
        <w:t>Ao fazer a chamada, Fernando se engana e responde “presente” para um nome feminino. A professora imediatamente zoa o aluno: “Você é Regina à noite?” Ao que Fernando recusa veementemente: “Sai fora!”</w:t>
      </w:r>
    </w:p>
    <w:p w:rsidR="00397550" w:rsidRDefault="00397550" w:rsidP="00397550">
      <w:pPr>
        <w:ind w:left="1620"/>
        <w:rPr>
          <w:sz w:val="20"/>
          <w:szCs w:val="20"/>
        </w:rPr>
      </w:pPr>
      <w:r>
        <w:rPr>
          <w:sz w:val="20"/>
          <w:szCs w:val="20"/>
        </w:rPr>
        <w:lastRenderedPageBreak/>
        <w:t>Tempos depois a professora se dirige até mim e pergunta se eu anotei “a posição sexual” na aula. Respondo que não, porque estava registrando outro dado e ela então me esclarece que Marcos caiu “de quatro” e João “veio por trás e gesticulou como se estivesse transando com ele por trás”.  (Notas do diário de campo)</w:t>
      </w:r>
    </w:p>
    <w:p w:rsidR="00397550" w:rsidRDefault="00397550" w:rsidP="00397550">
      <w:pPr>
        <w:ind w:left="1620"/>
        <w:rPr>
          <w:sz w:val="20"/>
          <w:szCs w:val="20"/>
        </w:rPr>
      </w:pPr>
    </w:p>
    <w:p w:rsidR="00397550" w:rsidRDefault="00397550" w:rsidP="00397550">
      <w:pPr>
        <w:ind w:firstLine="708"/>
      </w:pPr>
      <w:r>
        <w:t xml:space="preserve">Ser confundido com uma mulher não é coisa de macho. Há formas “corretas” de nomear os homens e Regina, definitivamente, não é nome de macho.  Os homens nomeados como tal, devem se comportar de modo a seguir rigidamente os preceitos de um determinado tipo de masculinidade. Nenhum comportamento é desconsiderado, tudo é rigorosamente vigiado e controlado. A possibilidade de ter suas condutas avaliadas, julgadas e descritas de modo a atrelar-se a uma suposta homossexualidade é algo que o verdadeiro macho deve evitar a todo custo: “sai fora!” Não pode deixar qualquer tipo de dúvida sobre seus modos de viver a sexualidade. Tem que exibir as evidências que atestem sua heterossexualidade. Não pode deixar suspeitas. Caso contrário, a tecnologia da zuação é imediatamente acionada, a fim de corrigir o menor vacilo. A professora zoa o aluno, por meio das técnicas da </w:t>
      </w:r>
      <w:r>
        <w:rPr>
          <w:i/>
        </w:rPr>
        <w:t>ironia</w:t>
      </w:r>
      <w:r>
        <w:t xml:space="preserve"> e do </w:t>
      </w:r>
      <w:r>
        <w:rPr>
          <w:i/>
        </w:rPr>
        <w:t>sarcasmo</w:t>
      </w:r>
      <w:r>
        <w:t xml:space="preserve">, insinuando a vida dupla do aluno: Fernando de dia, Regina à noite. O aluno, por sua vez, recusa veementemente tão possibilidade: sai fora! Sua conduta é de </w:t>
      </w:r>
      <w:r>
        <w:rPr>
          <w:i/>
        </w:rPr>
        <w:t>repúdio</w:t>
      </w:r>
      <w:r>
        <w:t xml:space="preserve"> à homossexualidade que a zuação da professora evoca. E, desse modo, ele reafirma sua masculinidade e heterossexualidade.</w:t>
      </w:r>
    </w:p>
    <w:p w:rsidR="00397550" w:rsidRDefault="00397550" w:rsidP="00397550">
      <w:pPr>
        <w:ind w:firstLine="708"/>
      </w:pPr>
      <w:r>
        <w:t>A regulação, no entanto, não é total. E a tecnologia da zuação também age como forma de trazer o comportamento homossexual à cena curricular. Dois alunos simulam de forma debochada um ato sexual entre dois homens. Eles zoam a partir de um teatrinho e trazem para o currículo uma conduta que é cotidianamente repudiada. A homossexualidade apresentada como monstruosa ao mesmo tempo que amedronta, exerce uma espécie de atração, uma “perigosa fascinação” (Cohen, 2000, p. 53). Talvez o monstro da prática homossexual evoque “fantasias escapistas” (idem, p. 48) diante do intenso investimento no governo das condutas juvenis e por isso seja representada na zuação dos jovens, afinal, “a ligação da monstruosidade com o proibido torna o monstro ainda mais atraente como uma fuga temporária da imposição” (ibidem).</w:t>
      </w:r>
    </w:p>
    <w:p w:rsidR="00397550" w:rsidRDefault="00397550" w:rsidP="00397550">
      <w:pPr>
        <w:ind w:firstLine="708"/>
      </w:pPr>
      <w:r>
        <w:t xml:space="preserve">Mesmo com a intensa regulação que acontece a todo momento, mesmo tendo havido um episódio recente de banimento dos comportamentos homossexuais, há um vazamento, e a homossexualidade entra em </w:t>
      </w:r>
      <w:r>
        <w:lastRenderedPageBreak/>
        <w:t xml:space="preserve">cena. É também a zuação que traz o interdito para o currículo. É possível perceber que “a vida escapa” e as “fronteiras da interdição” são rompidas (Goellner, 2005, p. 31). </w:t>
      </w:r>
    </w:p>
    <w:p w:rsidR="00397550" w:rsidRDefault="00397550" w:rsidP="00397550">
      <w:pPr>
        <w:rPr>
          <w:b/>
          <w:sz w:val="20"/>
          <w:szCs w:val="20"/>
        </w:rPr>
      </w:pPr>
      <w:r>
        <w:tab/>
      </w:r>
      <w:r>
        <w:tab/>
      </w:r>
      <w:r>
        <w:tab/>
      </w:r>
      <w:r>
        <w:tab/>
      </w:r>
      <w:r>
        <w:tab/>
      </w:r>
      <w:r>
        <w:tab/>
      </w:r>
      <w:r>
        <w:tab/>
      </w:r>
      <w:r>
        <w:tab/>
      </w:r>
      <w:r>
        <w:tab/>
      </w:r>
      <w:r>
        <w:tab/>
      </w:r>
      <w:r>
        <w:tab/>
      </w:r>
      <w:r>
        <w:tab/>
      </w:r>
      <w:r>
        <w:tab/>
      </w:r>
      <w:r>
        <w:tab/>
      </w:r>
      <w:r>
        <w:rPr>
          <w:b/>
          <w:sz w:val="20"/>
          <w:szCs w:val="20"/>
        </w:rPr>
        <w:t>Currículo de mecânica – 1º ano</w:t>
      </w:r>
    </w:p>
    <w:p w:rsidR="00397550" w:rsidRDefault="00397550" w:rsidP="00397550">
      <w:pPr>
        <w:ind w:left="1620"/>
        <w:rPr>
          <w:sz w:val="20"/>
          <w:szCs w:val="20"/>
        </w:rPr>
      </w:pPr>
      <w:r>
        <w:rPr>
          <w:sz w:val="20"/>
          <w:szCs w:val="20"/>
        </w:rPr>
        <w:t>A atividade consistia em gravar, em uma caneta de metal, um desenho à escolha de cada aluna/o. Fábio propõe um certo desenho, que o professor avalia que vai ser difícil executar porque “tem muitas variáveis” e zoa o aluno: “Pra não dizer que tem frescura demais”.</w:t>
      </w:r>
    </w:p>
    <w:p w:rsidR="00397550" w:rsidRDefault="00397550" w:rsidP="00397550">
      <w:pPr>
        <w:ind w:left="1620"/>
      </w:pPr>
      <w:r>
        <w:rPr>
          <w:sz w:val="20"/>
          <w:szCs w:val="20"/>
        </w:rPr>
        <w:t>Minutos depois, na mesma aula, o aluno Márcio se acidenta em uma das máquinas e corta os dedos. O colega Carlos o acompanha até a pia para lavar o ferimento e cai desmaiado ao ver o sangue escorrendo na mão do amigo. Ao cair, derruba uma série de objetos e bate a cabeça no chão. O professor os socorre calmamente, se oferece para levá-los ao centro médico, os alunos se recusam. O professor então se prontifica a levá-los em casa, o que eles também rejeitam. Os alunos se comportam como se não sentissem dor. (Notas do diário de campo).</w:t>
      </w:r>
    </w:p>
    <w:p w:rsidR="00397550" w:rsidRDefault="00397550" w:rsidP="00397550">
      <w:r>
        <w:tab/>
      </w:r>
    </w:p>
    <w:p w:rsidR="00397550" w:rsidRDefault="00397550" w:rsidP="00397550">
      <w:pPr>
        <w:ind w:firstLine="708"/>
      </w:pPr>
      <w:r>
        <w:t>Fazer um desenho mais elaborado é frescura, não é coisa de macho. Sentir dor ao sangrar ou cair, também não. Desmaiar ao ver sangue, definitivamente não é coisa de macho. Ser macho é não temer nada, muito menos algo tão inofensivo quanto um sangue que simplesmente escorre. É não ter qualquer tipo de constrangimento ao ver a/o outra/o sangrar, menos ainda desmaiar ao deparar-se com esse fato. Um macho de verdade resolve-se sozinho, não precisa de ajuda, de socorro médico (isso é uma grande frescura!). Ele também não depende de alguém que o leve para casa. Ser macho é não admitir sentir dor, nem mesmo quando ferido.</w:t>
      </w:r>
    </w:p>
    <w:p w:rsidR="00397550" w:rsidRDefault="00397550" w:rsidP="00397550">
      <w:pPr>
        <w:ind w:firstLine="708"/>
      </w:pPr>
      <w:r>
        <w:t xml:space="preserve">Inicialmente a conduta de Fábio – ao fazer um desenho que não condiz com o que se postula como apropriado a um verdadeiro macho – aciona as técnicas do </w:t>
      </w:r>
      <w:r>
        <w:rPr>
          <w:i/>
        </w:rPr>
        <w:t>sarcasmo</w:t>
      </w:r>
      <w:r>
        <w:t xml:space="preserve"> e da </w:t>
      </w:r>
      <w:r>
        <w:rPr>
          <w:i/>
        </w:rPr>
        <w:t>ironia</w:t>
      </w:r>
      <w:r>
        <w:t>. Primeiro o professor diz que o desenho “tem muitas variáveis”, em seguida esse excesso é rotulado de “frescura”, o qual não caberia a um comportamento tipicamente masculino. Os alunos parecem aprender bem essa lição. Afinal, quando na mesma aula um aluno se fere e o outro desmaia, não há mais frescuras. Ninguém chora, reclama e sequer admite a dor. Também não aceitam cuidados médicos, nem a condução até suas casas.</w:t>
      </w:r>
    </w:p>
    <w:p w:rsidR="00397550" w:rsidRDefault="00397550" w:rsidP="00397550">
      <w:pPr>
        <w:ind w:firstLine="708"/>
      </w:pPr>
      <w:r>
        <w:t xml:space="preserve">É possível, no entanto, identificar nos discursos analisados, a produção de diferentes masculinidades, o jovem que desmaia ao ver sangue, o jovem que usa colar, o jovem que não gosta de futebol, o jovem que guarda segredo, o jovem que agarra o outro. Essas subjetividades, no entanto, são desprezadas, alvo de deboche e </w:t>
      </w:r>
      <w:r>
        <w:lastRenderedPageBreak/>
        <w:t xml:space="preserve">aversão por parte de alguns/algumas alunas/os e professoras/es. Elas são masculinidades marcadas como “monstruosas”, que não correspondem à “verdadeira masculinidade”, a qual define, delimita e constitui-se na referência a partir da qual as demais são julgadas e classificadas. É preciso considerar, no entanto, que “as instituições e os indivíduos precisam desse ‘outro’. Precisam da identidade ‘subjugada’ para se afirmar e para se definir, pois sua afirmação se dá na medida em que a contrariam e a rejeitam” (Louro, 2003, p. 31). Essa fixação da masculinidade válida e permitida é fabricada no processo de normalização social, em que, por meio de relações de poder, um determinado tipo de masculinidade é divulgado como o correto, normal e padrão. </w:t>
      </w:r>
    </w:p>
    <w:p w:rsidR="00397550" w:rsidRDefault="00397550" w:rsidP="00397550">
      <w:pPr>
        <w:ind w:firstLine="708"/>
      </w:pPr>
      <w:r>
        <w:t>Para se produzir e garantir o governo e auto-governo das condutas, é imprescindível uma soma de esforços, afinal, aprendemos com Foucault (2005a) que o poder se exerce de forma microfísica por toda a sociedade, de todos os lados, de forma sutil e altamente eficiente nos propósitos de regulação dos modos de ser. Esse poder que está em toda parte divide, classifica, qualifica, ordena e exclui os sujeitos, a partir da vigilância permanente e intensiva dos comportamentos. Estando em todos os lugares, esse poder se multiplica, ao mesmo tempo que se une em sua tarefa de controlar as ações. Assim, podemos dizer que a regulação da sexualidade, a instituição da heteronormatividade e a exclusão das outras sexualidades diferentes da “normal” heterossexualidade são postas em funcionamento no currículo escolar e também no Orkut. Os discursos de ambos se somam e se conectam na tarefa de governar a juventude e garantir a heterossexualidade. As outras possíveis formas de vivência dos desejos e prazeres são transformadas em monstros, para que sejam expurgadas da sociedade. Esse quadro se inscreve em uma racionalidade política que identifica a homossexualidade como uma ameaça para aquelas/es ligadas/os ao “</w:t>
      </w:r>
      <w:r>
        <w:rPr>
          <w:i/>
        </w:rPr>
        <w:t>status quo</w:t>
      </w:r>
      <w:r>
        <w:t xml:space="preserve"> moral, estejam eles situados à esquerda ou à direita do espectro político. A existência de identidades gays e lésbicas positivas simboliza a pluralização cada vez mais crescente da vida social e a expansão da escolha individual que essa oferece” (Weeks, 2003, p. 70).</w:t>
      </w:r>
    </w:p>
    <w:p w:rsidR="00397550" w:rsidRDefault="00397550" w:rsidP="00397550">
      <w:pPr>
        <w:ind w:firstLine="708"/>
      </w:pPr>
      <w:r>
        <w:t xml:space="preserve">É preciso salientar que, nos discursos analisados, o governo das condutas incide muito mais intensamente sobre os rapazes, do que sobre as moças. É possível depreender do material coletado um número significativamente maior de investidas do poder regulador sobre os garotos do que sobre as garotas. Uma hipótese para explicar essa diferença pode estar assentada no mito de que falar sobre questões que envolvam a sexualidade possam aumentar as práticas sexuais (Britzman, 1996). Nesse caso a sexualidade feminina passaria por um processo de tentativa de apagamento e silenciamento. A homossexualidade feminina não é sequer cogitada, nem posta em discurso. A sexualidade feminina é tratada, mas a zuação incide sobre os excessos, a </w:t>
      </w:r>
      <w:r>
        <w:lastRenderedPageBreak/>
        <w:t xml:space="preserve">heteronormatividade é colocada como pressuposto, e o controle da sexualidade das jovens se dá com menos intensidade do que o exercido sobre a ameaçadora homossexualidade masculina. </w:t>
      </w:r>
    </w:p>
    <w:p w:rsidR="00397550" w:rsidRDefault="00397550" w:rsidP="00397550">
      <w:pPr>
        <w:rPr>
          <w:sz w:val="16"/>
          <w:szCs w:val="16"/>
        </w:rPr>
      </w:pPr>
    </w:p>
    <w:p w:rsidR="00397550" w:rsidRDefault="00397550" w:rsidP="00397550">
      <w:pPr>
        <w:rPr>
          <w:b/>
        </w:rPr>
      </w:pPr>
      <w:r>
        <w:rPr>
          <w:b/>
        </w:rPr>
        <w:t>4 – Técnicas de governo para produzir a jovem DIFÍCIL</w:t>
      </w:r>
    </w:p>
    <w:p w:rsidR="00397550" w:rsidRDefault="00397550" w:rsidP="00397550">
      <w:pPr>
        <w:ind w:left="1620"/>
        <w:rPr>
          <w:b/>
          <w:sz w:val="20"/>
          <w:szCs w:val="20"/>
        </w:rPr>
      </w:pPr>
      <w:r>
        <w:rPr>
          <w:b/>
          <w:sz w:val="20"/>
          <w:szCs w:val="20"/>
        </w:rPr>
        <w:t>Currículo do Orkut</w:t>
      </w:r>
    </w:p>
    <w:p w:rsidR="00397550" w:rsidRDefault="00397550" w:rsidP="00397550">
      <w:pPr>
        <w:ind w:left="1620"/>
        <w:rPr>
          <w:sz w:val="20"/>
          <w:szCs w:val="20"/>
          <w:u w:val="single"/>
        </w:rPr>
      </w:pPr>
      <w:r>
        <w:rPr>
          <w:sz w:val="20"/>
          <w:szCs w:val="20"/>
          <w:u w:val="single"/>
        </w:rPr>
        <w:t xml:space="preserve">Samantha é safadona </w:t>
      </w:r>
    </w:p>
    <w:p w:rsidR="00397550" w:rsidRDefault="00397550" w:rsidP="00397550">
      <w:pPr>
        <w:pStyle w:val="listfl1"/>
        <w:spacing w:line="240" w:lineRule="auto"/>
        <w:ind w:left="1620"/>
        <w:jc w:val="both"/>
        <w:rPr>
          <w:rFonts w:ascii="Times New Roman" w:hAnsi="Times New Roman"/>
          <w:color w:val="auto"/>
          <w:sz w:val="20"/>
          <w:szCs w:val="20"/>
        </w:rPr>
      </w:pPr>
      <w:r>
        <w:rPr>
          <w:rFonts w:ascii="Times New Roman" w:hAnsi="Times New Roman"/>
          <w:color w:val="auto"/>
          <w:sz w:val="20"/>
          <w:szCs w:val="20"/>
        </w:rPr>
        <w:t>Descrição: “Para vc que conhece a samantha e sabe q ela eh safadona entrar ai na comu.</w:t>
      </w:r>
      <w:r>
        <w:rPr>
          <w:rFonts w:ascii="Times New Roman" w:hAnsi="Times New Roman"/>
          <w:color w:val="auto"/>
          <w:sz w:val="20"/>
          <w:szCs w:val="20"/>
        </w:rPr>
        <w:br/>
        <w:t>pra quem eh da [nome da turma] isso ficou mais claro ainda quando estavamos indo pra gruta, quem naum c lembra q quando o onibus deu uma paradah a Samantha olhou pro caminhoneiro ao lado do onibus e começou a ajeitar seu cabelo...eh isso mesmo ateh caminhoneiro a Samantha naum perdoa...sempre esta junto da Rê q tb eh otra...huahua flws!!”</w:t>
      </w:r>
      <w:r>
        <w:rPr>
          <w:rFonts w:ascii="Times New Roman" w:hAnsi="Times New Roman"/>
          <w:sz w:val="20"/>
          <w:szCs w:val="20"/>
        </w:rPr>
        <w:t xml:space="preserve"> </w:t>
      </w:r>
      <w:r>
        <w:rPr>
          <w:rFonts w:ascii="Times New Roman" w:hAnsi="Times New Roman"/>
          <w:color w:val="auto"/>
          <w:sz w:val="20"/>
          <w:szCs w:val="20"/>
        </w:rPr>
        <w:t>(Comunidade criada por um aluno, para uma colega do 3º ano).</w:t>
      </w:r>
    </w:p>
    <w:p w:rsidR="00397550" w:rsidRDefault="00397550" w:rsidP="00397550">
      <w:pPr>
        <w:shd w:val="clear" w:color="auto" w:fill="FFFFFF"/>
        <w:spacing w:after="120"/>
        <w:ind w:firstLine="708"/>
        <w:rPr>
          <w:rFonts w:ascii="Verdana" w:hAnsi="Verdana"/>
          <w:color w:val="000000"/>
          <w:sz w:val="18"/>
          <w:szCs w:val="18"/>
        </w:rPr>
      </w:pPr>
      <w:r>
        <w:t>Nessa comunidade, os tópicos trazem as seguintes temáticas:</w:t>
      </w:r>
      <w:r>
        <w:rPr>
          <w:rFonts w:ascii="Verdana" w:hAnsi="Verdana"/>
          <w:color w:val="000000"/>
          <w:sz w:val="18"/>
          <w:szCs w:val="18"/>
        </w:rPr>
        <w:t xml:space="preserve"> </w:t>
      </w:r>
      <w:hyperlink r:id="rId28" w:history="1">
        <w:r>
          <w:rPr>
            <w:rFonts w:ascii="Verdana" w:hAnsi="Verdana"/>
            <w:sz w:val="18"/>
          </w:rPr>
          <w:t>danada</w:t>
        </w:r>
      </w:hyperlink>
      <w:r>
        <w:rPr>
          <w:rFonts w:ascii="Verdana" w:hAnsi="Verdana"/>
          <w:sz w:val="18"/>
          <w:szCs w:val="18"/>
        </w:rPr>
        <w:t xml:space="preserve">; </w:t>
      </w:r>
      <w:hyperlink r:id="rId29" w:history="1">
        <w:r>
          <w:rPr>
            <w:rFonts w:ascii="Verdana" w:hAnsi="Verdana"/>
            <w:sz w:val="18"/>
          </w:rPr>
          <w:t>Só o caminhoneiro???</w:t>
        </w:r>
      </w:hyperlink>
      <w:r>
        <w:rPr>
          <w:rFonts w:ascii="Verdana" w:hAnsi="Verdana"/>
          <w:sz w:val="18"/>
          <w:szCs w:val="18"/>
        </w:rPr>
        <w:t xml:space="preserve">; </w:t>
      </w:r>
      <w:hyperlink r:id="rId30" w:history="1">
        <w:r>
          <w:rPr>
            <w:rFonts w:ascii="Verdana" w:hAnsi="Verdana"/>
            <w:sz w:val="18"/>
          </w:rPr>
          <w:t>cs perderam!!</w:t>
        </w:r>
      </w:hyperlink>
      <w:r>
        <w:rPr>
          <w:rFonts w:ascii="Verdana" w:hAnsi="Verdana"/>
          <w:sz w:val="18"/>
          <w:szCs w:val="18"/>
        </w:rPr>
        <w:t>; eu não sou safadona.</w:t>
      </w:r>
      <w:r>
        <w:rPr>
          <w:rFonts w:ascii="Verdana" w:hAnsi="Verdana"/>
          <w:color w:val="000000"/>
          <w:sz w:val="18"/>
          <w:szCs w:val="18"/>
        </w:rPr>
        <w:t xml:space="preserve"> </w:t>
      </w:r>
      <w:r>
        <w:rPr>
          <w:color w:val="000000"/>
        </w:rPr>
        <w:t>Neles, as/os participantes zoam os comportamentos de Samantha descritos de modo a comprovar que ela é “safadona”, como por exemplo:</w:t>
      </w:r>
      <w:r>
        <w:rPr>
          <w:rFonts w:ascii="Verdana" w:hAnsi="Verdana"/>
          <w:color w:val="000000"/>
          <w:sz w:val="18"/>
          <w:szCs w:val="18"/>
        </w:rPr>
        <w:t xml:space="preserve"> </w:t>
      </w:r>
    </w:p>
    <w:p w:rsidR="00397550" w:rsidRDefault="00397550" w:rsidP="00397550">
      <w:pPr>
        <w:shd w:val="clear" w:color="auto" w:fill="FFFFFF"/>
        <w:spacing w:after="120"/>
        <w:ind w:left="1620"/>
        <w:rPr>
          <w:color w:val="000000"/>
          <w:sz w:val="20"/>
          <w:szCs w:val="20"/>
        </w:rPr>
      </w:pPr>
      <w:r>
        <w:rPr>
          <w:color w:val="000000"/>
          <w:sz w:val="20"/>
          <w:szCs w:val="20"/>
        </w:rPr>
        <w:t xml:space="preserve">todos viram hj na aula... qdo os bombeiros estavam passando e gritando atras da escola, a samantha virou pra rê e falou: o rê, vê c eh os bombeiros pq bombeiro eh tudo d baum!! Huauhaua todos ouviram ela eh mto safadona!! Hauhuahua; </w:t>
      </w:r>
    </w:p>
    <w:p w:rsidR="00397550" w:rsidRDefault="00397550" w:rsidP="00397550">
      <w:pPr>
        <w:shd w:val="clear" w:color="auto" w:fill="FFFFFF"/>
        <w:spacing w:after="120"/>
        <w:ind w:left="1620"/>
        <w:rPr>
          <w:color w:val="000000"/>
          <w:sz w:val="20"/>
          <w:szCs w:val="20"/>
        </w:rPr>
      </w:pPr>
      <w:r>
        <w:rPr>
          <w:color w:val="000000"/>
          <w:sz w:val="20"/>
          <w:szCs w:val="20"/>
        </w:rPr>
        <w:t xml:space="preserve">o samantha c num tem jeito neh...dps do caminhoneiro, do bombeiro do cara da carona, agora ateh o professor de fisica vc num perdoa neh...; </w:t>
      </w:r>
    </w:p>
    <w:p w:rsidR="00397550" w:rsidRDefault="00397550" w:rsidP="00397550">
      <w:pPr>
        <w:shd w:val="clear" w:color="auto" w:fill="FFFFFF"/>
        <w:spacing w:after="120"/>
        <w:ind w:left="1620"/>
        <w:rPr>
          <w:color w:val="000000"/>
          <w:sz w:val="20"/>
          <w:szCs w:val="20"/>
        </w:rPr>
      </w:pPr>
      <w:r>
        <w:rPr>
          <w:color w:val="000000"/>
          <w:sz w:val="20"/>
          <w:szCs w:val="20"/>
        </w:rPr>
        <w:t xml:space="preserve">a Rê simplesmente foi induzidah por vc...vc estah c tornandu uma péssima compania pra ela hahhauuhua; </w:t>
      </w:r>
    </w:p>
    <w:p w:rsidR="00397550" w:rsidRDefault="00397550" w:rsidP="00397550">
      <w:pPr>
        <w:shd w:val="clear" w:color="auto" w:fill="FFFFFF"/>
        <w:spacing w:after="120"/>
        <w:ind w:left="1620"/>
        <w:rPr>
          <w:color w:val="000000"/>
          <w:sz w:val="20"/>
          <w:szCs w:val="20"/>
        </w:rPr>
      </w:pPr>
      <w:r>
        <w:rPr>
          <w:color w:val="000000"/>
          <w:sz w:val="20"/>
          <w:szCs w:val="20"/>
        </w:rPr>
        <w:t>tbm tenhu uma história p/ contar d 1 dos seus ataques safádicos..kkkkk [...] fomos pedir carona... até q para um carro [...] qnd a samantha viu q era um homen.. nooooooooooooosssa.. deu um krav magá.. em nós 3 e sento nu banco du carona sem nem dar tempo da gente escolher... e nem sabia ainda p/ ond o kra tava indo..era homem tava bom! Kkkkkk tá vendo né samantha.. + uma prova dq vc é safadona!;</w:t>
      </w:r>
    </w:p>
    <w:p w:rsidR="00397550" w:rsidRDefault="00397550" w:rsidP="00397550">
      <w:pPr>
        <w:shd w:val="clear" w:color="auto" w:fill="FFFFFF"/>
        <w:spacing w:after="120"/>
        <w:ind w:left="1620"/>
        <w:rPr>
          <w:color w:val="000000"/>
          <w:sz w:val="20"/>
          <w:szCs w:val="20"/>
        </w:rPr>
      </w:pPr>
      <w:r>
        <w:rPr>
          <w:color w:val="000000"/>
          <w:sz w:val="20"/>
          <w:szCs w:val="20"/>
        </w:rPr>
        <w:t xml:space="preserve">Nossa, imagina se samantha ñ é safadona!?......... nem um pouquinho............... ela dá mole até pra lixeiro..............rsrsrsrs...........bjo prima ti amu; </w:t>
      </w:r>
    </w:p>
    <w:p w:rsidR="00397550" w:rsidRDefault="00397550" w:rsidP="00397550">
      <w:pPr>
        <w:shd w:val="clear" w:color="auto" w:fill="FFFFFF"/>
        <w:spacing w:after="120"/>
        <w:ind w:left="1620"/>
        <w:rPr>
          <w:color w:val="000000"/>
          <w:sz w:val="20"/>
          <w:szCs w:val="20"/>
        </w:rPr>
      </w:pPr>
      <w:r>
        <w:rPr>
          <w:color w:val="000000"/>
          <w:sz w:val="20"/>
          <w:szCs w:val="20"/>
        </w:rPr>
        <w:t xml:space="preserve">toda aula de educação fisica a samantha ficava olhando o povo do exercito passando lah na rua atras da escola... e ainda arrastava a lilian pra olhar tamen!!! comé q pod!; </w:t>
      </w:r>
    </w:p>
    <w:p w:rsidR="00397550" w:rsidRDefault="00397550" w:rsidP="00397550">
      <w:pPr>
        <w:shd w:val="clear" w:color="auto" w:fill="FFFFFF"/>
        <w:spacing w:after="120"/>
        <w:ind w:left="1620"/>
        <w:rPr>
          <w:color w:val="000000"/>
          <w:sz w:val="20"/>
          <w:szCs w:val="20"/>
        </w:rPr>
      </w:pPr>
      <w:r>
        <w:rPr>
          <w:color w:val="000000"/>
          <w:sz w:val="20"/>
          <w:szCs w:val="20"/>
        </w:rPr>
        <w:lastRenderedPageBreak/>
        <w:t xml:space="preserve">e ninguem viu ele tirandu casquinha do profs d ed.fisica neah!! dps da aula d atletismo todo mundo cansado ela fico escorando no fessor d ed.fisca pra subir a escadah (soh deculpa pra tirar casquinha neah!!!) auhauuahua; </w:t>
      </w:r>
    </w:p>
    <w:p w:rsidR="00397550" w:rsidRDefault="00397550" w:rsidP="00397550">
      <w:pPr>
        <w:shd w:val="clear" w:color="auto" w:fill="FFFFFF"/>
        <w:spacing w:after="120"/>
        <w:ind w:left="1620"/>
        <w:rPr>
          <w:color w:val="000000"/>
          <w:sz w:val="20"/>
          <w:szCs w:val="20"/>
        </w:rPr>
      </w:pPr>
      <w:r>
        <w:rPr>
          <w:color w:val="000000"/>
          <w:sz w:val="20"/>
          <w:szCs w:val="20"/>
        </w:rPr>
        <w:t xml:space="preserve">eh Samantha tem jeito naum neah!!!; </w:t>
      </w:r>
    </w:p>
    <w:p w:rsidR="00397550" w:rsidRDefault="00397550" w:rsidP="00397550">
      <w:pPr>
        <w:ind w:firstLine="900"/>
        <w:rPr>
          <w:color w:val="000000"/>
        </w:rPr>
      </w:pPr>
      <w:r>
        <w:rPr>
          <w:color w:val="000000"/>
        </w:rPr>
        <w:tab/>
        <w:t xml:space="preserve">Jogar charme e não perdoar nem o caminhoneiro, são comportamentos que não condizem com a jovem difícil. Admirar os bombeiros e comentar com a colega não são condutas adequada à garota difícil. Correr atrás dos professores não é atitude da moça difícil. Disputar o lugar ao lado do motorista é um comportamento reprovável. Induzir as colegas ao mesmo tipo de atitude é inaceitável. A jovem difícil jamais protagoniza um “ataque safádico”. Dar mole pra qualquer um, até mesmo o lixeiro, é deplorável. A garota difícil não deve ficar olhando outros homens, muito menos “tirar casquinha” dos professores. </w:t>
      </w:r>
    </w:p>
    <w:p w:rsidR="00397550" w:rsidRDefault="00397550" w:rsidP="00397550">
      <w:pPr>
        <w:ind w:firstLine="708"/>
        <w:rPr>
          <w:color w:val="000000"/>
        </w:rPr>
      </w:pPr>
      <w:r>
        <w:rPr>
          <w:color w:val="000000"/>
        </w:rPr>
        <w:t>Por meio da tecnologia da zuação os mínimos gestos e comportamentos de Samantha são detalhadamente descritos e apresentados como desmedidos, excessivos e contaminadores, já que as colegas são narradas como sendo induzidas por sua “péssima companhia”. As marcas corporais – como o olhar e o cabelo – de Samantha são minuciosamente analisadas e avaliadas. Segundo Louro (2003), nossos sentidos são treinados para identificar e decodificar essas marcas, para que possamos “classificar os sujeitos pelas formas como eles se apresentam corporalmente, pelos comportamentos e gestos que empregam e pelas várias formas com que se expressam” (p. 15).</w:t>
      </w:r>
    </w:p>
    <w:p w:rsidR="00397550" w:rsidRDefault="00397550" w:rsidP="00397550">
      <w:pPr>
        <w:ind w:firstLine="708"/>
        <w:rPr>
          <w:color w:val="000000"/>
        </w:rPr>
      </w:pPr>
      <w:r>
        <w:rPr>
          <w:color w:val="000000"/>
        </w:rPr>
        <w:t xml:space="preserve">A sexualidade de Samantha é também descrita como não seletiva, ela se lança sobre todo e qualquer um: desde os professores até o bombeiro, o caminhoneiro e o lixeiro. Para comprovar a safadeza da garota, são evocadas representações, atreladas à classe social, que desqualificam os homens-alvos de suas investidas. </w:t>
      </w:r>
    </w:p>
    <w:p w:rsidR="00397550" w:rsidRDefault="00397550" w:rsidP="00397550">
      <w:pPr>
        <w:tabs>
          <w:tab w:val="left" w:pos="720"/>
        </w:tabs>
        <w:ind w:firstLine="720"/>
        <w:rPr>
          <w:color w:val="000000"/>
          <w:sz w:val="20"/>
          <w:szCs w:val="20"/>
        </w:rPr>
      </w:pPr>
      <w:r>
        <w:rPr>
          <w:color w:val="000000"/>
        </w:rPr>
        <w:t xml:space="preserve">Como no caso do governo dos rapazes, as técnicas acionadas são o </w:t>
      </w:r>
      <w:r>
        <w:rPr>
          <w:i/>
          <w:color w:val="000000"/>
        </w:rPr>
        <w:t>deboche</w:t>
      </w:r>
      <w:r>
        <w:rPr>
          <w:color w:val="000000"/>
        </w:rPr>
        <w:t xml:space="preserve">, o </w:t>
      </w:r>
      <w:r>
        <w:rPr>
          <w:i/>
          <w:color w:val="000000"/>
        </w:rPr>
        <w:t>sarcasmo</w:t>
      </w:r>
      <w:r>
        <w:rPr>
          <w:color w:val="000000"/>
        </w:rPr>
        <w:t xml:space="preserve"> e a </w:t>
      </w:r>
      <w:r>
        <w:rPr>
          <w:i/>
          <w:color w:val="000000"/>
        </w:rPr>
        <w:t>ironia</w:t>
      </w:r>
      <w:r>
        <w:rPr>
          <w:color w:val="000000"/>
        </w:rPr>
        <w:t xml:space="preserve"> as quais atuam na avaliação, julgamento e classificação dos comportamentos detalhadamente narrados. As formas depreciativas de descrever as condutas de Samantha têm como alvo a sua correção. Ou seja, é preciso provar que Samantha é safadona e assim mostrar-lhe que seus comportamentos excessivos e indevidos devem ser modificados. Ela deve agir, ao contrário, como uma jovem difícil, a qual não “dá mole” para qualquer um, nem a todo instante. Assim composto, o quadro que prescreve a má conduta moral de Samantha pode ser a referência para a avaliação e auto-avalição não apenas da própria Samantha, como também das demais jovens. As garotas </w:t>
      </w:r>
      <w:r>
        <w:rPr>
          <w:color w:val="000000"/>
        </w:rPr>
        <w:lastRenderedPageBreak/>
        <w:t>devem cuidar de si, de seus gestos, suas formas de olhar, falar e se comportar, especialmente em relação aos rapazes.</w:t>
      </w:r>
    </w:p>
    <w:p w:rsidR="00397550" w:rsidRDefault="00397550" w:rsidP="00397550">
      <w:pPr>
        <w:ind w:firstLine="708"/>
      </w:pPr>
      <w:r>
        <w:rPr>
          <w:color w:val="000000"/>
        </w:rPr>
        <w:t xml:space="preserve">Diante de todas as zuações acusadoras, que procuram atestar a classificação de “safadona”, Samantha se defende a todo custo. Ela fala de si, faz algumas auto-avaliações de seus comportamentos e tenta contestar os “fatos” narrados pelas/os colegas, diz que são calúnias, mentiras e busca explicar os acontecimentos de outra maneira. Algumas vezes utiliza a mesma tática dos pares e alega que outras garotas são mais “safadonas” do que ela. </w:t>
      </w:r>
      <w:r>
        <w:t>Mesmo com toda sua argumentação, Samantha apresenta uma fala solitária, suas condutas são desqualificadas por muitas garotas e garotos. E a conclusão é quase unânime: “</w:t>
      </w:r>
      <w:r>
        <w:rPr>
          <w:color w:val="000000"/>
        </w:rPr>
        <w:t>Samantha tem jeito naum”.</w:t>
      </w:r>
    </w:p>
    <w:p w:rsidR="00397550" w:rsidRDefault="00397550" w:rsidP="00397550">
      <w:pPr>
        <w:ind w:left="1620"/>
        <w:rPr>
          <w:b/>
          <w:sz w:val="20"/>
          <w:szCs w:val="20"/>
        </w:rPr>
      </w:pPr>
      <w:r>
        <w:rPr>
          <w:b/>
          <w:sz w:val="20"/>
          <w:szCs w:val="20"/>
        </w:rPr>
        <w:t>Currículo de Educação Física – 1º ano</w:t>
      </w:r>
    </w:p>
    <w:p w:rsidR="00397550" w:rsidRDefault="00397550" w:rsidP="00397550">
      <w:pPr>
        <w:ind w:left="1620"/>
        <w:rPr>
          <w:sz w:val="20"/>
          <w:szCs w:val="20"/>
        </w:rPr>
      </w:pPr>
      <w:r>
        <w:rPr>
          <w:sz w:val="20"/>
          <w:szCs w:val="20"/>
        </w:rPr>
        <w:t xml:space="preserve">O professor não apareceu. Enquanto aguardavam na quadra, a aluna Lidiane lia a revista </w:t>
      </w:r>
      <w:r>
        <w:rPr>
          <w:i/>
          <w:sz w:val="20"/>
          <w:szCs w:val="20"/>
        </w:rPr>
        <w:t>Toda Teen</w:t>
      </w:r>
      <w:r>
        <w:rPr>
          <w:sz w:val="20"/>
          <w:szCs w:val="20"/>
        </w:rPr>
        <w:t>. Henrique pediu para ler seu horóscopo. Ao folhear a revista, deteve-se em uma reportagem que trazia uma espécie de enquete questionando se era “correto uma menina deixar o cara passar a mão no primeiro encontro”. A resposta de um garoto era negativa e ele comentava que as garotas devem “se respeitar”. Ao ler essa resposta, Henrique zoa: “esse cara é viado!” Já a segunda resposta dizia que tudo bem, dependia de “como a garota pensava”. Henrique disse que essa seria a sua resposta. Depois disso, ele, Arthur, Cíntia e Lidiane começaram a debater a enquete. (Notas do diário de campo).</w:t>
      </w:r>
    </w:p>
    <w:p w:rsidR="00397550" w:rsidRDefault="00397550" w:rsidP="00397550">
      <w:pPr>
        <w:ind w:left="1620"/>
        <w:rPr>
          <w:sz w:val="20"/>
          <w:szCs w:val="20"/>
        </w:rPr>
      </w:pPr>
    </w:p>
    <w:p w:rsidR="00397550" w:rsidRDefault="00397550" w:rsidP="00397550">
      <w:pPr>
        <w:ind w:firstLine="708"/>
      </w:pPr>
      <w:r>
        <w:t>Diante do debate que eu observava, fiz perguntas de como elas/es chamam a menina que fica com muitos garotos, que para o grupo é a “putinha” e o cara que fica com muitas meninas é o “galinha”. Nesse aspecto Lidiane reconhece que as meninas são desvalorizadas ao passo que os rapazes são vangloriados quando avaliados pelo mesmo tipo de conduta. Lidiane conclui que isso é “machismo” e vem de longa data. Henrique concorda, mas para ambos, o fato do machismo ser antigo é algo que o naturaliza. O processo de produção de relações desiguais entre homens e mulheres, do machismo que privilegia a posição do homem heterossexual se dá por meio de uma contínua afirmação e reafirmação deste lugar de poder, o que “nos faz acreditar em sua universalidade e permanência; nos ajuda a esquecer seu caráter construído e nos leva a lhe conceder a aparência de natural” (Louro, 2005, p. 44).</w:t>
      </w:r>
    </w:p>
    <w:p w:rsidR="00397550" w:rsidRDefault="00397550" w:rsidP="00397550">
      <w:pPr>
        <w:ind w:firstLine="708"/>
        <w:rPr>
          <w:color w:val="000000"/>
        </w:rPr>
      </w:pPr>
      <w:r>
        <w:t>Já Arthur se auto-avalia e rejeita o rótulo de machista. Ele considera que apenas não gosta das garotas que ficam com todos. Ele não julga isso machismo e justifica-se alegando que as próprias garotas reprovam aquelas que têm esse tipo de conduta.</w:t>
      </w:r>
      <w:r>
        <w:rPr>
          <w:color w:val="000000"/>
        </w:rPr>
        <w:t xml:space="preserve"> A conversa promove uma série de exercícios das/os jovens sobre si </w:t>
      </w:r>
      <w:r>
        <w:rPr>
          <w:color w:val="000000"/>
        </w:rPr>
        <w:lastRenderedPageBreak/>
        <w:t>mesmas/os em um processo de avaliação e auto-avaliação das condutas juvenis. Afinal,  como argumenta Louro (2003),</w:t>
      </w:r>
    </w:p>
    <w:p w:rsidR="00397550" w:rsidRDefault="00397550" w:rsidP="00397550">
      <w:pPr>
        <w:ind w:left="1410"/>
        <w:rPr>
          <w:color w:val="000000"/>
          <w:sz w:val="20"/>
          <w:szCs w:val="20"/>
        </w:rPr>
      </w:pPr>
      <w:r>
        <w:rPr>
          <w:color w:val="000000"/>
          <w:sz w:val="20"/>
          <w:szCs w:val="20"/>
        </w:rPr>
        <w:t>Se múltiplas instâncias sociais, entre elas a escola, exercitam uma pedagogia da sexualidade e do gênero e colocam em ação várias tecnologias de governos, esses processos prosseguem e se completam através de tecnologias de autodisciplinamento e autogoverno que os sujeitos exercem sobre si mesmos (p. 25).</w:t>
      </w:r>
    </w:p>
    <w:p w:rsidR="00397550" w:rsidRDefault="00397550" w:rsidP="00397550">
      <w:pPr>
        <w:ind w:left="1410"/>
        <w:rPr>
          <w:color w:val="000000"/>
          <w:sz w:val="20"/>
          <w:szCs w:val="20"/>
        </w:rPr>
      </w:pPr>
    </w:p>
    <w:p w:rsidR="00397550" w:rsidRDefault="00397550" w:rsidP="00397550">
      <w:pPr>
        <w:ind w:firstLine="708"/>
      </w:pPr>
      <w:r>
        <w:t>Em entrevistas posteriores, outras/os jovens fizeram análises semelhantes. Segundo elas/es as meninas que ficam com todos são as “rodadas”, “putinhas”, “galinhas”, “piriguetes”. Já os garotos que pegam todas são os “garanhões”, “pegadores”, “ídolos”, “legais”, “bacanas”, “fodões”, quem “têm a moral”. Nesse caso, um aluno e uma aluna disseram que isso se deve ao machismo que reconhecem nas formas desiguais de nomear meninos e meninas que se comportam da mesma forma. É preciso entender, como afirma Butler (2003), que a “nomeação é, ao mesmo tempo, o estabelecimento de uma fronteira e também a inculcação repetida de uma norma” (p. 161).</w:t>
      </w:r>
    </w:p>
    <w:p w:rsidR="00397550" w:rsidRDefault="00397550" w:rsidP="00397550">
      <w:pPr>
        <w:tabs>
          <w:tab w:val="left" w:pos="720"/>
        </w:tabs>
        <w:autoSpaceDE w:val="0"/>
        <w:autoSpaceDN w:val="0"/>
        <w:adjustRightInd w:val="0"/>
        <w:ind w:right="18"/>
        <w:rPr>
          <w:bCs/>
        </w:rPr>
      </w:pPr>
      <w:r>
        <w:tab/>
        <w:t>Essa categorização, entretanto, não é fixa, nem rigidamente definida. Uma aluna e um aluno também chamam de “galinha” o menino que fica com muitas garotas. Essa aluna chega a dizer que esse não é o tipo de cara que ela gosta, afinal acredita que as garotas estão mais interessadas em “</w:t>
      </w:r>
      <w:r>
        <w:rPr>
          <w:bCs/>
        </w:rPr>
        <w:t>alguém pra compartilhar os momentos, pra falar a verdade, um namorado. E a gente sabe que com esse tipo a gente num vai conseguir isso” (Lígia, aluna do 1º ano). Para Lígia as garotas desejam uma relação mais duradoura, um namoro. Algo em que possam compartilhar, o que um “galinha” não pode oferecer.</w:t>
      </w:r>
    </w:p>
    <w:p w:rsidR="00397550" w:rsidRDefault="00397550" w:rsidP="00397550">
      <w:pPr>
        <w:tabs>
          <w:tab w:val="left" w:pos="720"/>
        </w:tabs>
        <w:autoSpaceDE w:val="0"/>
        <w:autoSpaceDN w:val="0"/>
        <w:adjustRightInd w:val="0"/>
        <w:ind w:right="18"/>
        <w:rPr>
          <w:bCs/>
        </w:rPr>
      </w:pPr>
      <w:r>
        <w:rPr>
          <w:bCs/>
        </w:rPr>
        <w:tab/>
        <w:t>Esse tipo de discurso não está restrito ao currículo escolar, nem ao Orkut. Ele circula em outros locais. Recentemente uma reportagem do Jornal Super mostrou como um evento teve repercussões desiguais em termos de gênero. A matéria trazia o título “Paparazzo na mira” e referia-se à divulgação no Orkut de fotos de um casal “fazendo sexo durante uma micareta”. Além do fato em si (o problema da divulgação das fotos, especialmente porque a garota é menor de idade, ou do ato sexual praticado em público), a diferença nos desdobramentos do fato foi discutida com o subtítulo “Repercussão machista”</w:t>
      </w:r>
      <w:r>
        <w:rPr>
          <w:rStyle w:val="Refdenotaderodap"/>
          <w:bCs/>
        </w:rPr>
        <w:footnoteReference w:id="71"/>
      </w:r>
      <w:r>
        <w:rPr>
          <w:bCs/>
        </w:rPr>
        <w:t xml:space="preserve">. Nessa parte, o jornal afirma que </w:t>
      </w:r>
    </w:p>
    <w:p w:rsidR="00397550" w:rsidRDefault="00397550" w:rsidP="00397550">
      <w:pPr>
        <w:tabs>
          <w:tab w:val="left" w:pos="720"/>
        </w:tabs>
        <w:autoSpaceDE w:val="0"/>
        <w:autoSpaceDN w:val="0"/>
        <w:adjustRightInd w:val="0"/>
        <w:ind w:left="1620" w:right="18"/>
        <w:rPr>
          <w:bCs/>
          <w:sz w:val="20"/>
          <w:szCs w:val="20"/>
        </w:rPr>
      </w:pPr>
      <w:r>
        <w:rPr>
          <w:bCs/>
          <w:sz w:val="20"/>
          <w:szCs w:val="20"/>
        </w:rPr>
        <w:lastRenderedPageBreak/>
        <w:t>quem navegar pela comunidade que leva o nome da garota e verificar os fóruns e recados postados, poderá constatar as várias ofensas morais até palavras grosseiras designadas à ela. E uma situação inversa acontece na página de um dos prováveis rapazes que teria feito sexo com ela. Algumas pessoas chegaram a enaltecê-o, reflexo virtual do machismo (Clemente, 2007).</w:t>
      </w:r>
    </w:p>
    <w:p w:rsidR="00397550" w:rsidRDefault="00397550" w:rsidP="00397550">
      <w:pPr>
        <w:tabs>
          <w:tab w:val="left" w:pos="720"/>
        </w:tabs>
        <w:autoSpaceDE w:val="0"/>
        <w:autoSpaceDN w:val="0"/>
        <w:adjustRightInd w:val="0"/>
        <w:ind w:left="1620" w:right="18"/>
        <w:rPr>
          <w:bCs/>
          <w:sz w:val="20"/>
          <w:szCs w:val="20"/>
        </w:rPr>
      </w:pPr>
    </w:p>
    <w:p w:rsidR="00397550" w:rsidRDefault="00397550" w:rsidP="00397550">
      <w:pPr>
        <w:tabs>
          <w:tab w:val="left" w:pos="720"/>
        </w:tabs>
        <w:autoSpaceDE w:val="0"/>
        <w:autoSpaceDN w:val="0"/>
        <w:adjustRightInd w:val="0"/>
        <w:ind w:right="18"/>
        <w:rPr>
          <w:bCs/>
        </w:rPr>
      </w:pPr>
      <w:r>
        <w:rPr>
          <w:bCs/>
        </w:rPr>
        <w:tab/>
        <w:t>Já o jovem que “não pega” ninguém é zuado de “gay” ou “mané”. Mas agora essa classificação é produzida pelos próprios garotos. Ou seja, mesmo Lígia quando responde sobre o nome dado ao rapaz que tem esse comportamento, diz “ahhh sei lá pras meninas num tem nome não, mas os caras zoam o menino de mané e tal”.</w:t>
      </w:r>
    </w:p>
    <w:p w:rsidR="00397550" w:rsidRDefault="00397550" w:rsidP="00397550">
      <w:pPr>
        <w:widowControl w:val="0"/>
        <w:tabs>
          <w:tab w:val="left" w:pos="720"/>
        </w:tabs>
        <w:autoSpaceDE w:val="0"/>
        <w:autoSpaceDN w:val="0"/>
        <w:adjustRightInd w:val="0"/>
        <w:ind w:right="18"/>
      </w:pPr>
      <w:r>
        <w:tab/>
        <w:t>Quanto aos garotos e às garotas que ficam só de vez em quando, as/os jovens dizem que “</w:t>
      </w:r>
      <w:r>
        <w:rPr>
          <w:bCs/>
        </w:rPr>
        <w:t>ahh axo que num tem nome não, pelo menos nunca ouvi um nome específico” (Lígia, 1º ano); “nao tem nome pra isso” (Aurélio, 1º ano), “</w:t>
      </w:r>
      <w:r>
        <w:rPr>
          <w:bCs/>
          <w:iCs/>
        </w:rPr>
        <w:t xml:space="preserve">n sei um nome especifico” (Henrique, 1º ano), “normais, n tem nome” (Alice, 1º ano). </w:t>
      </w:r>
      <w:r>
        <w:t>É a/o “diferente”, aquela/e que não se comporta como ditam as normas reguladoras, que precisa ser marcada/o, nomeada/o, rotulada/o (cf. Louro, 2003). O processo de normalização inclui uma espécie de homogeneização da norma, cuja força é diretamente proporcional à sua invisibilidade (Silva, 2000).</w:t>
      </w:r>
    </w:p>
    <w:p w:rsidR="00397550" w:rsidRDefault="00397550" w:rsidP="00397550">
      <w:pPr>
        <w:ind w:firstLine="720"/>
      </w:pPr>
      <w:r>
        <w:tab/>
        <w:t xml:space="preserve">É possível depreender dos discursos analisados que o governo das jovens também aciona a regulação da sexualidade, por meio da tecnologia da zuação. Mas os mecanismos utilizados são de outra esfera. Elas têm que se portar em uma dimensão intermediária situada entre o ficar com os rapazes que as abordam, mas devendo resistir a várias investidas. Jamais podem ser “fáceis” e “pegar” todos que “chegam nelas”. Por outro lado, não podem ser preteridas sempre, pois nesse caso são zuadas como as “feias”, “dragões”, “canhões”. A garota </w:t>
      </w:r>
      <w:r>
        <w:rPr>
          <w:i/>
        </w:rPr>
        <w:t>difícil</w:t>
      </w:r>
      <w:r>
        <w:t xml:space="preserve"> deve manter um equilíbrio entre a capacidade de seduzir os rapazes e a habilidade de recusar-lhes as investidas, na medida certa.</w:t>
      </w:r>
    </w:p>
    <w:p w:rsidR="00397550" w:rsidRDefault="00397550" w:rsidP="00397550">
      <w:pPr>
        <w:rPr>
          <w:b/>
          <w:sz w:val="16"/>
          <w:szCs w:val="16"/>
        </w:rPr>
      </w:pPr>
    </w:p>
    <w:p w:rsidR="00397550" w:rsidRDefault="00397550" w:rsidP="00397550">
      <w:pPr>
        <w:rPr>
          <w:b/>
        </w:rPr>
      </w:pPr>
      <w:r>
        <w:rPr>
          <w:b/>
        </w:rPr>
        <w:t>5 – Conclusão</w:t>
      </w:r>
    </w:p>
    <w:p w:rsidR="00397550" w:rsidRDefault="00397550" w:rsidP="00397550">
      <w:pPr>
        <w:ind w:firstLine="708"/>
      </w:pPr>
      <w:r>
        <w:lastRenderedPageBreak/>
        <w:t>É possível perceber nos discursos analisados uma espécie de guia cotidiano para que as/os jovens possam conduzir a própria existência. Essa condução se dá de maneira dispersa e heterogênea. As mais variadas condutas juvenis são alvo de toda uma tecnologia de poder que governa a juventude ao mesmo tempo em que lhe imprime técnicas de auto-governo. A sexualidade é o dispositivo acionado nesse processo. Ela é interrogada, questionada, avaliada, por meio da tecnologia da zuação, não apenas como um modo de relação entre dois parceiros, mas como formas que o jovem e a jovem devem regular sua conduta, a partir de um lugar relacional, no cotidiano de seus comportamentos mais corriqueiros, tanto no currículo escolar quanto no Orkut. Nesses discursos são demandadas as subjetividade do jovem macho e da jovem difícil, as quais entram em confronto com outras subjetividades lá produzidas e em outros discursos. É preciso ressaltar, no entanto, que nenhuma classificação – entre o que é risível, engraçado, aceitável ou não – está estabelecida com exatidão, em uma espécie de linha divisória clara e definitiva.</w:t>
      </w:r>
    </w:p>
    <w:p w:rsidR="00397550" w:rsidRDefault="00397550" w:rsidP="00397550">
      <w:pPr>
        <w:ind w:firstLine="708"/>
      </w:pPr>
      <w:r>
        <w:t>No contexto atual, em que tanto a cibercultura como a educação são divulgadas como importantes instrumentos para o desenvolvimento e o progresso nacional, o discurso do currículo escolar e do Orkut assumem uma posição estratégica. A produção do jovem macho e da jovem difícil pode contribuir para o acirramento das desigualdades sexuais e de gênero. Essas subjetividades, no entanto, vão disputar com outras disponibilizadas em outros discursos, especialmente dos movimentos feministas e GLBTTT</w:t>
      </w:r>
      <w:r>
        <w:rPr>
          <w:rStyle w:val="Refdenotaderodap"/>
        </w:rPr>
        <w:footnoteReference w:id="72"/>
      </w:r>
      <w:r>
        <w:t>. Nesses é possível encontrar formas de valorizar as subjetividades marginalizadas e repudiadas no currículo escolar e no Orkut.</w:t>
      </w:r>
    </w:p>
    <w:p w:rsidR="00397550" w:rsidRDefault="00397550" w:rsidP="00397550">
      <w:pPr>
        <w:ind w:firstLine="708"/>
      </w:pPr>
      <w:r>
        <w:t>A tecnologia da zuação e todo aparato de técnicas acionadas produzem não apenas aquilo que é considerado anormal e patológico, como também visam demarcar as fronteiras dos comportamentos considerados normais. Discutir tão intensamente a sexualidade no currículo escolar e no Orkut, com base em uma moral patriarcal, heteronormativa e homofóbica, intensifica o poder de governo e auto-governo da juventude e pode ajudar a reforçar determinados tipos de relações sociais, em que as diferenças são vividas em termos de desigualdade e injustiça.</w:t>
      </w:r>
    </w:p>
    <w:p w:rsidR="00397550" w:rsidRDefault="00397550" w:rsidP="00397550">
      <w:pPr>
        <w:ind w:firstLine="708"/>
        <w:rPr>
          <w:sz w:val="16"/>
          <w:szCs w:val="16"/>
        </w:rPr>
      </w:pPr>
    </w:p>
    <w:p w:rsidR="00397550" w:rsidRDefault="00397550" w:rsidP="00397550">
      <w:pPr>
        <w:rPr>
          <w:b/>
        </w:rPr>
      </w:pPr>
      <w:r>
        <w:rPr>
          <w:b/>
        </w:rPr>
        <w:t>6 – Referências Bibliográficas</w:t>
      </w:r>
    </w:p>
    <w:p w:rsidR="00397550" w:rsidRDefault="00397550" w:rsidP="00397550">
      <w:pPr>
        <w:numPr>
          <w:ilvl w:val="0"/>
          <w:numId w:val="1"/>
        </w:numPr>
        <w:tabs>
          <w:tab w:val="num" w:leader="none" w:pos="0"/>
        </w:tabs>
        <w:spacing w:line="240" w:lineRule="auto"/>
      </w:pPr>
      <w:r>
        <w:t xml:space="preserve">BERNARD, M. </w:t>
      </w:r>
      <w:r>
        <w:rPr>
          <w:i/>
        </w:rPr>
        <w:t xml:space="preserve"> Moda e comunicação. </w:t>
      </w:r>
      <w:r>
        <w:t>Rio de Janeiro: Rocco, 2003.</w:t>
      </w:r>
    </w:p>
    <w:p w:rsidR="00397550" w:rsidRDefault="00397550" w:rsidP="00397550">
      <w:pPr>
        <w:numPr>
          <w:ilvl w:val="0"/>
          <w:numId w:val="1"/>
        </w:numPr>
        <w:tabs>
          <w:tab w:val="num" w:leader="none" w:pos="0"/>
        </w:tabs>
        <w:spacing w:line="240" w:lineRule="auto"/>
      </w:pPr>
      <w:r>
        <w:t xml:space="preserve">BRITZMAN, D. P. O que é essa coisa chamada amor – identidade homossexual, educação e currículo. </w:t>
      </w:r>
      <w:r>
        <w:rPr>
          <w:i/>
        </w:rPr>
        <w:t>Educação e Realidade</w:t>
      </w:r>
      <w:r>
        <w:t>. Porto Alegre. 21 (1). p.71-96. Jan./Jun. 1996.</w:t>
      </w:r>
    </w:p>
    <w:p w:rsidR="00397550" w:rsidRDefault="00397550" w:rsidP="00397550">
      <w:pPr>
        <w:numPr>
          <w:ilvl w:val="0"/>
          <w:numId w:val="1"/>
        </w:numPr>
        <w:tabs>
          <w:tab w:val="num" w:leader="none" w:pos="0"/>
        </w:tabs>
        <w:spacing w:line="240" w:lineRule="auto"/>
      </w:pPr>
      <w:r>
        <w:lastRenderedPageBreak/>
        <w:t xml:space="preserve">BUTLER, J. Corpos que pesam: sobre os limites discursivos do sexo. In. LOURO, G. L. (Org.). </w:t>
      </w:r>
      <w:r>
        <w:rPr>
          <w:i/>
        </w:rPr>
        <w:t>O corpo educado:</w:t>
      </w:r>
      <w:r>
        <w:t xml:space="preserve"> pedagogias da sexualidade. 2ª ed., 2ª reimpressão. Belo Horizonte: Autêntica, 2003. p. 151-172.</w:t>
      </w:r>
    </w:p>
    <w:p w:rsidR="00397550" w:rsidRDefault="00397550" w:rsidP="00397550">
      <w:pPr>
        <w:numPr>
          <w:ilvl w:val="0"/>
          <w:numId w:val="1"/>
        </w:numPr>
        <w:tabs>
          <w:tab w:val="num" w:leader="none" w:pos="0"/>
        </w:tabs>
        <w:spacing w:line="240" w:lineRule="auto"/>
      </w:pPr>
      <w:r>
        <w:t xml:space="preserve">CLEMENTE, R. Paparazzo na mira. </w:t>
      </w:r>
      <w:r>
        <w:rPr>
          <w:i/>
        </w:rPr>
        <w:t>Super</w:t>
      </w:r>
      <w:r>
        <w:t>, Belo Horizonte, 1 set. 2007. Cidades, p. 3.</w:t>
      </w:r>
    </w:p>
    <w:p w:rsidR="00397550" w:rsidRDefault="00397550" w:rsidP="00397550">
      <w:pPr>
        <w:numPr>
          <w:ilvl w:val="0"/>
          <w:numId w:val="1"/>
        </w:numPr>
        <w:tabs>
          <w:tab w:val="num" w:leader="none" w:pos="0"/>
        </w:tabs>
        <w:spacing w:line="240" w:lineRule="auto"/>
      </w:pPr>
      <w:r>
        <w:t xml:space="preserve">COHEN, J. J. A cultura dos monstros: sete teses. In.: SILVA, T. T. </w:t>
      </w:r>
      <w:r>
        <w:rPr>
          <w:i/>
        </w:rPr>
        <w:t>Pedagogia dos Monstros</w:t>
      </w:r>
      <w:r>
        <w:t xml:space="preserve"> – os prazeres e os perigos da confusão de fronteiras. Belo Horizonte: Autêntica, 2000. p. 23-60.</w:t>
      </w:r>
    </w:p>
    <w:p w:rsidR="00397550" w:rsidRDefault="00397550" w:rsidP="00397550">
      <w:pPr>
        <w:numPr>
          <w:ilvl w:val="0"/>
          <w:numId w:val="1"/>
        </w:numPr>
        <w:tabs>
          <w:tab w:val="num" w:leader="none" w:pos="0"/>
        </w:tabs>
        <w:spacing w:line="240" w:lineRule="auto"/>
      </w:pPr>
      <w:r>
        <w:t xml:space="preserve">CONNEL, R. W. Políticas da masculinidade. </w:t>
      </w:r>
      <w:r>
        <w:rPr>
          <w:i/>
        </w:rPr>
        <w:t>Educação e Realidade</w:t>
      </w:r>
      <w:r>
        <w:t>. Porto Alegre. 20 (2). p.185-206. Jul./Dez. 1995.</w:t>
      </w:r>
    </w:p>
    <w:p w:rsidR="00397550" w:rsidRDefault="00397550" w:rsidP="00397550">
      <w:pPr>
        <w:numPr>
          <w:ilvl w:val="0"/>
          <w:numId w:val="1"/>
        </w:numPr>
        <w:tabs>
          <w:tab w:val="num" w:leader="none" w:pos="0"/>
        </w:tabs>
        <w:spacing w:line="240" w:lineRule="auto"/>
      </w:pPr>
      <w:r>
        <w:t xml:space="preserve">FONSECA, M. A. Para pensar o público e o privado: Foucault e o tema das artes de governar. In.: RAGO, M. e VEIGA-NETO, A. (Orgs.). </w:t>
      </w:r>
      <w:r>
        <w:rPr>
          <w:i/>
        </w:rPr>
        <w:t xml:space="preserve">Figuras de Foucault. </w:t>
      </w:r>
      <w:r>
        <w:t>Belo Horizonte: Autêntica, 2006. p. 155-163.</w:t>
      </w:r>
    </w:p>
    <w:p w:rsidR="00397550" w:rsidRDefault="00397550" w:rsidP="00397550">
      <w:pPr>
        <w:numPr>
          <w:ilvl w:val="0"/>
          <w:numId w:val="1"/>
        </w:numPr>
        <w:tabs>
          <w:tab w:val="num" w:leader="none" w:pos="0"/>
        </w:tabs>
        <w:spacing w:line="240" w:lineRule="auto"/>
      </w:pPr>
      <w:r>
        <w:t xml:space="preserve">FOUCAULT, M. Verdade e subjetividade. </w:t>
      </w:r>
      <w:r>
        <w:rPr>
          <w:i/>
        </w:rPr>
        <w:t>Revista de Comunicação e Linguagem</w:t>
      </w:r>
      <w:r>
        <w:t>. Lisboa. n.19, 1993. p. 203-223.</w:t>
      </w:r>
    </w:p>
    <w:p w:rsidR="00397550" w:rsidRDefault="00397550" w:rsidP="00397550">
      <w:pPr>
        <w:numPr>
          <w:ilvl w:val="0"/>
          <w:numId w:val="1"/>
        </w:numPr>
        <w:tabs>
          <w:tab w:val="num" w:leader="none" w:pos="0"/>
        </w:tabs>
        <w:spacing w:line="240" w:lineRule="auto"/>
      </w:pPr>
      <w:r>
        <w:t xml:space="preserve">_____. O sujeito e o poder. In.: DREYFUS, H. e RABINOW, P. </w:t>
      </w:r>
      <w:r>
        <w:rPr>
          <w:i/>
        </w:rPr>
        <w:t>Michel Foucault</w:t>
      </w:r>
      <w:r>
        <w:t>: uma trajetória filosófica para além do estruturalismo e da hermenêutica. Rio de Janeiro: Forense Universitária, 1995. p. 231-249.</w:t>
      </w:r>
    </w:p>
    <w:p w:rsidR="00397550" w:rsidRDefault="00397550" w:rsidP="00397550">
      <w:pPr>
        <w:numPr>
          <w:ilvl w:val="0"/>
          <w:numId w:val="1"/>
        </w:numPr>
        <w:tabs>
          <w:tab w:val="num" w:leader="none" w:pos="0"/>
        </w:tabs>
        <w:spacing w:line="240" w:lineRule="auto"/>
      </w:pPr>
      <w:r>
        <w:t xml:space="preserve">_____. Tecnologias del yo. In.:_____. </w:t>
      </w:r>
      <w:r>
        <w:rPr>
          <w:i/>
        </w:rPr>
        <w:t>Tecnologias dele yo y otros textos afines</w:t>
      </w:r>
      <w:r>
        <w:t>. Barcelona: Paidós, 1995a. p. 45-94.</w:t>
      </w:r>
    </w:p>
    <w:p w:rsidR="00397550" w:rsidRDefault="00397550" w:rsidP="00397550">
      <w:pPr>
        <w:numPr>
          <w:ilvl w:val="0"/>
          <w:numId w:val="1"/>
        </w:numPr>
        <w:tabs>
          <w:tab w:val="num" w:leader="none" w:pos="0"/>
        </w:tabs>
        <w:spacing w:line="240" w:lineRule="auto"/>
      </w:pPr>
      <w:r>
        <w:t>_____.</w:t>
      </w:r>
      <w:r>
        <w:rPr>
          <w:i/>
        </w:rPr>
        <w:t>História da sexualidade III:</w:t>
      </w:r>
      <w:r>
        <w:t xml:space="preserve"> o cuidado de si. 8 ed. Rio de Janeiro, Graal, 2005.</w:t>
      </w:r>
    </w:p>
    <w:p w:rsidR="00397550" w:rsidRDefault="00397550" w:rsidP="00397550">
      <w:pPr>
        <w:numPr>
          <w:ilvl w:val="0"/>
          <w:numId w:val="1"/>
        </w:numPr>
        <w:tabs>
          <w:tab w:val="num" w:leader="none" w:pos="0"/>
        </w:tabs>
        <w:spacing w:line="240" w:lineRule="auto"/>
      </w:pPr>
      <w:r>
        <w:t>_____.</w:t>
      </w:r>
      <w:r>
        <w:rPr>
          <w:i/>
        </w:rPr>
        <w:t>Vigiar e punir</w:t>
      </w:r>
      <w:r>
        <w:t>: nascimento da prisão. 30. ed. Petrópolis: Vozes, 2005a.</w:t>
      </w:r>
    </w:p>
    <w:p w:rsidR="00397550" w:rsidRDefault="00397550" w:rsidP="00397550">
      <w:pPr>
        <w:numPr>
          <w:ilvl w:val="0"/>
          <w:numId w:val="1"/>
        </w:numPr>
        <w:tabs>
          <w:tab w:val="num" w:leader="none" w:pos="0"/>
        </w:tabs>
        <w:spacing w:line="240" w:lineRule="auto"/>
        <w:rPr>
          <w:bCs/>
          <w:color w:val="000000"/>
        </w:rPr>
      </w:pPr>
      <w:r>
        <w:rPr>
          <w:bCs/>
          <w:color w:val="000000"/>
        </w:rPr>
        <w:t xml:space="preserve">GOELLNER, S. V. A produção cultural do corpo. In.: LOURO, G. L.; FELIPE, J. e GOELLNER, S. (Orgs.). </w:t>
      </w:r>
      <w:r>
        <w:rPr>
          <w:bCs/>
          <w:i/>
          <w:color w:val="000000"/>
        </w:rPr>
        <w:t>Corpo, gênero e sexualidade</w:t>
      </w:r>
      <w:r>
        <w:rPr>
          <w:bCs/>
          <w:color w:val="000000"/>
        </w:rPr>
        <w:t xml:space="preserve"> – um debate contemporâneo sobre educação. 2. ed. Petrópolis: Vozes, 2005. p. 28-40.</w:t>
      </w:r>
    </w:p>
    <w:p w:rsidR="00397550" w:rsidRDefault="00397550" w:rsidP="00397550">
      <w:pPr>
        <w:numPr>
          <w:ilvl w:val="0"/>
          <w:numId w:val="1"/>
        </w:numPr>
        <w:tabs>
          <w:tab w:val="num" w:leader="none" w:pos="0"/>
        </w:tabs>
        <w:spacing w:line="240" w:lineRule="auto"/>
        <w:rPr>
          <w:bCs/>
          <w:color w:val="000000"/>
        </w:rPr>
      </w:pPr>
      <w:r>
        <w:rPr>
          <w:bCs/>
          <w:color w:val="000000"/>
        </w:rPr>
        <w:t xml:space="preserve">JUNQUEIRA, R. D. O reconhecimento da diversidade sexual e a problematização da homofobia no contexto escolar. In. SWAIN, T. N. et al. </w:t>
      </w:r>
      <w:r>
        <w:rPr>
          <w:bCs/>
          <w:i/>
          <w:color w:val="000000"/>
        </w:rPr>
        <w:t>Corpo, gênero e sexualidade:</w:t>
      </w:r>
      <w:r>
        <w:rPr>
          <w:bCs/>
          <w:color w:val="000000"/>
        </w:rPr>
        <w:t xml:space="preserve"> discutindo práticas educativas. Rio Grande: Editora da FURG, 2007. p. 59-69.</w:t>
      </w:r>
    </w:p>
    <w:p w:rsidR="00397550" w:rsidRDefault="00397550" w:rsidP="00397550">
      <w:pPr>
        <w:numPr>
          <w:ilvl w:val="0"/>
          <w:numId w:val="1"/>
        </w:numPr>
        <w:tabs>
          <w:tab w:val="num" w:leader="none" w:pos="0"/>
        </w:tabs>
        <w:spacing w:line="240" w:lineRule="auto"/>
      </w:pPr>
      <w:r>
        <w:rPr>
          <w:bCs/>
          <w:color w:val="000000"/>
        </w:rPr>
        <w:t xml:space="preserve">LOURO, G. L. </w:t>
      </w:r>
      <w:r>
        <w:t xml:space="preserve">Segredos e mentiras do currículo. Sexualidade e gênero nas práticas escolares. In: SILVA, L. H. </w:t>
      </w:r>
      <w:r>
        <w:rPr>
          <w:i/>
        </w:rPr>
        <w:t xml:space="preserve">A escola cidadã no contexto da educação globalizada. </w:t>
      </w:r>
      <w:r>
        <w:t>Petrópolis: Vozes, 1998. p.33-47.</w:t>
      </w:r>
    </w:p>
    <w:p w:rsidR="00397550" w:rsidRDefault="00397550" w:rsidP="00397550">
      <w:pPr>
        <w:numPr>
          <w:ilvl w:val="0"/>
          <w:numId w:val="1"/>
        </w:numPr>
        <w:tabs>
          <w:tab w:val="num" w:leader="none" w:pos="0"/>
        </w:tabs>
        <w:spacing w:line="240" w:lineRule="auto"/>
      </w:pPr>
      <w:r>
        <w:t xml:space="preserve">_____. Pedagogias da sexualidade. In. _____. (Org.). </w:t>
      </w:r>
      <w:r>
        <w:rPr>
          <w:i/>
        </w:rPr>
        <w:t>O corpo educado:</w:t>
      </w:r>
      <w:r>
        <w:t xml:space="preserve"> pedagogias da sexualidade. 2. ed., 2ª reimpressão. Belo Horizonte: Autêntica, 2003. p. 07-34.</w:t>
      </w:r>
    </w:p>
    <w:p w:rsidR="00397550" w:rsidRDefault="00397550" w:rsidP="00397550">
      <w:pPr>
        <w:numPr>
          <w:ilvl w:val="0"/>
          <w:numId w:val="1"/>
        </w:numPr>
        <w:tabs>
          <w:tab w:val="num" w:leader="none" w:pos="0"/>
        </w:tabs>
        <w:spacing w:line="240" w:lineRule="auto"/>
      </w:pPr>
      <w:r>
        <w:t>_____.</w:t>
      </w:r>
      <w:r>
        <w:rPr>
          <w:bCs/>
          <w:color w:val="000000"/>
        </w:rPr>
        <w:t xml:space="preserve"> Currículo, gênero e sexualidade. O “normal”, o “diferente” e o “excêntrico”. In.: LOURO, G. L.; FELIPE, J. e GOELLNER, S. (Orgs.). </w:t>
      </w:r>
      <w:r>
        <w:rPr>
          <w:bCs/>
          <w:i/>
          <w:color w:val="000000"/>
        </w:rPr>
        <w:t>Corpo, gênero e sexualidade</w:t>
      </w:r>
      <w:r>
        <w:rPr>
          <w:bCs/>
          <w:color w:val="000000"/>
        </w:rPr>
        <w:t xml:space="preserve"> – um debate contemporâneo sobre educação. 2. ed. Petrópolis: Vozes, 2005. p.9-27.</w:t>
      </w:r>
    </w:p>
    <w:p w:rsidR="00397550" w:rsidRDefault="00397550" w:rsidP="00397550">
      <w:pPr>
        <w:numPr>
          <w:ilvl w:val="0"/>
          <w:numId w:val="1"/>
        </w:numPr>
        <w:tabs>
          <w:tab w:val="num" w:leader="none" w:pos="0"/>
        </w:tabs>
        <w:spacing w:line="240" w:lineRule="auto"/>
      </w:pPr>
      <w:r>
        <w:t xml:space="preserve">PARAÍSO, M. A. A produção do currículo na televisão: que discurso é esse? </w:t>
      </w:r>
      <w:r>
        <w:rPr>
          <w:i/>
        </w:rPr>
        <w:t>Educação e Realidade</w:t>
      </w:r>
      <w:r>
        <w:t>. 26(1). Jan/Jun. 2001. p. 141-160.</w:t>
      </w:r>
    </w:p>
    <w:p w:rsidR="00397550" w:rsidRDefault="00397550" w:rsidP="00397550">
      <w:pPr>
        <w:numPr>
          <w:ilvl w:val="0"/>
          <w:numId w:val="1"/>
        </w:numPr>
        <w:tabs>
          <w:tab w:val="num" w:leader="none" w:pos="0"/>
        </w:tabs>
        <w:spacing w:line="240" w:lineRule="auto"/>
      </w:pPr>
      <w:r>
        <w:t xml:space="preserve">PARKER, R. Cultura, economia política e construção social da sexualidade. In.: LOURO, G. L. (Org.). </w:t>
      </w:r>
      <w:r>
        <w:rPr>
          <w:i/>
        </w:rPr>
        <w:t xml:space="preserve">O corpo educado: </w:t>
      </w:r>
      <w:r>
        <w:t>pedagogias da sexualidade. 2. ed., 2ª reimpressão. Belo Horizonte: Autêntica, 2003. p. 125-150.</w:t>
      </w:r>
    </w:p>
    <w:p w:rsidR="00397550" w:rsidRDefault="00397550" w:rsidP="00397550">
      <w:pPr>
        <w:numPr>
          <w:ilvl w:val="0"/>
          <w:numId w:val="1"/>
        </w:numPr>
        <w:tabs>
          <w:tab w:val="num" w:leader="none" w:pos="0"/>
        </w:tabs>
        <w:spacing w:line="240" w:lineRule="auto"/>
      </w:pPr>
      <w:r>
        <w:t xml:space="preserve">PORTOCARRERO, V. Práticas sociais de divisão e constituição do sujeito. In.: RAGO, M e VEIGA-NETO, A. (Orgs.). </w:t>
      </w:r>
      <w:r>
        <w:rPr>
          <w:i/>
        </w:rPr>
        <w:t xml:space="preserve">Figuras de Foucault. </w:t>
      </w:r>
      <w:r>
        <w:t>Belo Horizonte: Autêntica, 2006. p. 281-295.</w:t>
      </w:r>
    </w:p>
    <w:p w:rsidR="00397550" w:rsidRDefault="00397550" w:rsidP="00397550">
      <w:pPr>
        <w:numPr>
          <w:ilvl w:val="0"/>
          <w:numId w:val="1"/>
        </w:numPr>
        <w:tabs>
          <w:tab w:val="num" w:leader="none" w:pos="0"/>
        </w:tabs>
        <w:spacing w:line="240" w:lineRule="auto"/>
      </w:pPr>
      <w:r>
        <w:t>ROSE, N.</w:t>
      </w:r>
      <w:r>
        <w:rPr>
          <w:i/>
        </w:rPr>
        <w:t xml:space="preserve"> </w:t>
      </w:r>
      <w:r>
        <w:t>Como se deve fazer a história do eu?</w:t>
      </w:r>
      <w:r>
        <w:rPr>
          <w:i/>
        </w:rPr>
        <w:t xml:space="preserve"> Educação e Realidade,</w:t>
      </w:r>
      <w:r>
        <w:t xml:space="preserve"> Porto Alegre. 26 (1). p. 33-58. Jan./Jun. 2001.</w:t>
      </w:r>
    </w:p>
    <w:p w:rsidR="00397550" w:rsidRDefault="00397550" w:rsidP="00397550">
      <w:pPr>
        <w:numPr>
          <w:ilvl w:val="0"/>
          <w:numId w:val="1"/>
        </w:numPr>
        <w:tabs>
          <w:tab w:val="num" w:leader="none" w:pos="0"/>
        </w:tabs>
        <w:spacing w:line="240" w:lineRule="auto"/>
      </w:pPr>
      <w:r>
        <w:t xml:space="preserve">SANTOS, C. A. </w:t>
      </w:r>
      <w:r>
        <w:rPr>
          <w:i/>
        </w:rPr>
        <w:t>A invenção da infância generificada</w:t>
      </w:r>
      <w:r>
        <w:t>: a pedagogia da mídia impressa constituindo as identidades de gênero. 2004. Dissertação (mestrado) – Faculdade de Educação. Universidade Federal do Rio Grande do Sul, Porto Alegre.</w:t>
      </w:r>
    </w:p>
    <w:p w:rsidR="00397550" w:rsidRDefault="00397550" w:rsidP="00397550">
      <w:pPr>
        <w:numPr>
          <w:ilvl w:val="0"/>
          <w:numId w:val="1"/>
        </w:numPr>
        <w:tabs>
          <w:tab w:val="num" w:leader="none" w:pos="0"/>
        </w:tabs>
        <w:spacing w:line="240" w:lineRule="auto"/>
      </w:pPr>
      <w:r>
        <w:t xml:space="preserve">SCOTT, J. Gênero: uma categoria útil de análise histórica. </w:t>
      </w:r>
      <w:r>
        <w:rPr>
          <w:i/>
        </w:rPr>
        <w:t>Educação e Realidade</w:t>
      </w:r>
      <w:r>
        <w:t>. Porto Alegre. 20 (2). p.71-99. Jul./Dez. 1995.</w:t>
      </w:r>
    </w:p>
    <w:p w:rsidR="00397550" w:rsidRDefault="00397550" w:rsidP="00397550">
      <w:pPr>
        <w:numPr>
          <w:ilvl w:val="0"/>
          <w:numId w:val="1"/>
        </w:numPr>
        <w:tabs>
          <w:tab w:val="num" w:leader="none" w:pos="0"/>
        </w:tabs>
        <w:spacing w:line="240" w:lineRule="auto"/>
      </w:pPr>
      <w:r>
        <w:lastRenderedPageBreak/>
        <w:t xml:space="preserve">SILVA, T. T. A produção social da identidade e da diferença. In.: _____. (Org.). </w:t>
      </w:r>
      <w:r>
        <w:rPr>
          <w:i/>
        </w:rPr>
        <w:t>Identidade e diferença</w:t>
      </w:r>
      <w:r>
        <w:t xml:space="preserve"> – a perspectiva dos estudos culturais. Petrópolis: Vozes, 2000. p. 73-102.</w:t>
      </w:r>
    </w:p>
    <w:p w:rsidR="00397550" w:rsidRDefault="00397550" w:rsidP="00397550">
      <w:pPr>
        <w:numPr>
          <w:ilvl w:val="0"/>
          <w:numId w:val="1"/>
        </w:numPr>
        <w:tabs>
          <w:tab w:val="num" w:leader="none" w:pos="0"/>
        </w:tabs>
        <w:spacing w:line="240" w:lineRule="auto"/>
      </w:pPr>
      <w:r>
        <w:t xml:space="preserve">WEEKS, J. O corpo e a sexualidade In. LOURO, G. L. (Org.). </w:t>
      </w:r>
      <w:r>
        <w:rPr>
          <w:i/>
        </w:rPr>
        <w:t>O corpo educado:</w:t>
      </w:r>
      <w:r>
        <w:t xml:space="preserve"> pedagogias da sexualidade. 2.ed., 2ª reimpressão. Belo Horizonte: Autêntica, 2003. p. 35-82.</w:t>
      </w:r>
    </w:p>
    <w:p w:rsidR="00397550" w:rsidRDefault="00397550" w:rsidP="009741F1"/>
    <w:p w:rsidR="00397550" w:rsidRDefault="00397550" w:rsidP="009741F1"/>
    <w:p w:rsidR="003C742A" w:rsidRDefault="003C742A"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C742A" w:rsidRPr="001E2C63" w:rsidTr="00505E82">
        <w:tc>
          <w:tcPr>
            <w:tcW w:w="6771" w:type="dxa"/>
            <w:shd w:val="clear" w:color="auto" w:fill="auto"/>
          </w:tcPr>
          <w:p w:rsidR="003C742A" w:rsidRPr="00F153D4" w:rsidRDefault="003C742A" w:rsidP="00281321">
            <w:pPr>
              <w:spacing w:beforeLines="50" w:afterLines="50" w:line="240" w:lineRule="auto"/>
              <w:rPr>
                <w:rFonts w:ascii="Times New Roman" w:hAnsi="Times New Roman"/>
                <w:sz w:val="24"/>
                <w:szCs w:val="24"/>
              </w:rPr>
            </w:pPr>
            <w:r w:rsidRPr="00F153D4">
              <w:rPr>
                <w:rFonts w:ascii="Times New Roman" w:hAnsi="Times New Roman"/>
                <w:sz w:val="24"/>
                <w:szCs w:val="24"/>
              </w:rPr>
              <w:t>Nome</w:t>
            </w:r>
            <w:r w:rsidRPr="00F153D4">
              <w:rPr>
                <w:rFonts w:ascii="Times New Roman" w:hAnsi="Times New Roman"/>
                <w:b/>
                <w:caps/>
                <w:sz w:val="24"/>
                <w:szCs w:val="24"/>
              </w:rPr>
              <w:t xml:space="preserve"> </w:t>
            </w:r>
            <w:r w:rsidR="00F153D4" w:rsidRPr="00F153D4">
              <w:rPr>
                <w:rFonts w:ascii="Times New Roman" w:hAnsi="Times New Roman"/>
                <w:b/>
                <w:sz w:val="24"/>
                <w:szCs w:val="24"/>
              </w:rPr>
              <w:t xml:space="preserve">Título: </w:t>
            </w:r>
            <w:r w:rsidR="00F153D4" w:rsidRPr="00F153D4">
              <w:rPr>
                <w:rFonts w:ascii="Times New Roman" w:hAnsi="Times New Roman"/>
                <w:sz w:val="24"/>
                <w:szCs w:val="24"/>
              </w:rPr>
              <w:t>Autonomia e Projetos Profissionais das Jovens na Agricultura Familiar do Rio Grande do Sul</w:t>
            </w:r>
          </w:p>
        </w:tc>
        <w:tc>
          <w:tcPr>
            <w:tcW w:w="1873" w:type="dxa"/>
            <w:vMerge w:val="restart"/>
            <w:shd w:val="clear" w:color="auto" w:fill="auto"/>
          </w:tcPr>
          <w:p w:rsidR="003C742A" w:rsidRPr="001E2C63" w:rsidRDefault="003C742A" w:rsidP="00281321">
            <w:pPr>
              <w:spacing w:line="240" w:lineRule="auto"/>
              <w:rPr>
                <w:rFonts w:ascii="Times New Roman" w:hAnsi="Times New Roman"/>
                <w:b/>
                <w:sz w:val="36"/>
                <w:szCs w:val="36"/>
              </w:rPr>
            </w:pPr>
            <w:r>
              <w:rPr>
                <w:rFonts w:ascii="Times New Roman" w:hAnsi="Times New Roman"/>
                <w:b/>
                <w:sz w:val="36"/>
                <w:szCs w:val="36"/>
              </w:rPr>
              <w:t>A 007</w:t>
            </w:r>
          </w:p>
          <w:p w:rsidR="003C742A" w:rsidRPr="001E2C63" w:rsidRDefault="00F153D4" w:rsidP="00281321">
            <w:pPr>
              <w:spacing w:line="240" w:lineRule="auto"/>
              <w:rPr>
                <w:rFonts w:ascii="Times New Roman" w:hAnsi="Times New Roman"/>
                <w:sz w:val="24"/>
                <w:szCs w:val="24"/>
              </w:rPr>
            </w:pPr>
            <w:r>
              <w:rPr>
                <w:rFonts w:ascii="Times New Roman" w:hAnsi="Times New Roman"/>
                <w:b/>
                <w:sz w:val="36"/>
                <w:szCs w:val="36"/>
              </w:rPr>
              <w:t>Menção Honrosa</w:t>
            </w:r>
          </w:p>
        </w:tc>
      </w:tr>
      <w:tr w:rsidR="003C742A" w:rsidRPr="001E2C63" w:rsidTr="00505E82">
        <w:tc>
          <w:tcPr>
            <w:tcW w:w="6771" w:type="dxa"/>
            <w:shd w:val="clear" w:color="auto" w:fill="auto"/>
          </w:tcPr>
          <w:p w:rsidR="003C742A" w:rsidRPr="00F153D4" w:rsidRDefault="003C742A" w:rsidP="00281321">
            <w:pPr>
              <w:spacing w:line="240" w:lineRule="auto"/>
              <w:rPr>
                <w:rFonts w:ascii="Times New Roman" w:hAnsi="Times New Roman"/>
                <w:sz w:val="24"/>
                <w:szCs w:val="24"/>
              </w:rPr>
            </w:pPr>
            <w:r w:rsidRPr="00F153D4">
              <w:rPr>
                <w:rFonts w:ascii="Times New Roman" w:hAnsi="Times New Roman"/>
                <w:sz w:val="24"/>
                <w:szCs w:val="24"/>
              </w:rPr>
              <w:t xml:space="preserve">Autora/o </w:t>
            </w:r>
            <w:r w:rsidR="00F153D4" w:rsidRPr="00F153D4">
              <w:rPr>
                <w:rFonts w:ascii="Times New Roman" w:hAnsi="Times New Roman"/>
                <w:sz w:val="24"/>
                <w:szCs w:val="24"/>
              </w:rPr>
              <w:t>Lucas Coradini</w:t>
            </w:r>
          </w:p>
        </w:tc>
        <w:tc>
          <w:tcPr>
            <w:tcW w:w="1873" w:type="dxa"/>
            <w:vMerge/>
            <w:shd w:val="clear" w:color="auto" w:fill="auto"/>
          </w:tcPr>
          <w:p w:rsidR="003C742A" w:rsidRPr="001E2C63" w:rsidRDefault="003C742A" w:rsidP="00281321">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F153D4" w:rsidRDefault="003C742A" w:rsidP="00281321">
            <w:pPr>
              <w:spacing w:line="240" w:lineRule="auto"/>
              <w:rPr>
                <w:rFonts w:ascii="Times New Roman" w:hAnsi="Times New Roman"/>
                <w:sz w:val="24"/>
                <w:szCs w:val="24"/>
              </w:rPr>
            </w:pPr>
            <w:r w:rsidRPr="00F153D4">
              <w:rPr>
                <w:rFonts w:ascii="Times New Roman" w:hAnsi="Times New Roman"/>
                <w:sz w:val="24"/>
                <w:szCs w:val="24"/>
              </w:rPr>
              <w:t>Orientadora/o</w:t>
            </w:r>
            <w:r w:rsidRPr="00F153D4">
              <w:rPr>
                <w:rFonts w:ascii="Times New Roman" w:hAnsi="Times New Roman"/>
                <w:bCs/>
                <w:sz w:val="24"/>
                <w:szCs w:val="24"/>
              </w:rPr>
              <w:t xml:space="preserve"> </w:t>
            </w:r>
            <w:r w:rsidR="00F153D4" w:rsidRPr="00F153D4">
              <w:rPr>
                <w:rFonts w:ascii="Times New Roman" w:hAnsi="Times New Roman"/>
                <w:sz w:val="24"/>
                <w:szCs w:val="24"/>
              </w:rPr>
              <w:t>Profa. Dra. Anita Brumer</w:t>
            </w:r>
          </w:p>
        </w:tc>
        <w:tc>
          <w:tcPr>
            <w:tcW w:w="1873" w:type="dxa"/>
            <w:vMerge/>
            <w:shd w:val="clear" w:color="auto" w:fill="auto"/>
          </w:tcPr>
          <w:p w:rsidR="003C742A" w:rsidRPr="001E2C63" w:rsidRDefault="003C742A" w:rsidP="00281321">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F153D4" w:rsidRDefault="003C742A" w:rsidP="00281321">
            <w:pPr>
              <w:spacing w:beforeLines="50" w:afterLines="50" w:line="240" w:lineRule="auto"/>
              <w:rPr>
                <w:rFonts w:ascii="Times New Roman" w:hAnsi="Times New Roman"/>
                <w:sz w:val="24"/>
                <w:szCs w:val="24"/>
              </w:rPr>
            </w:pPr>
            <w:r w:rsidRPr="00F153D4">
              <w:rPr>
                <w:rFonts w:ascii="Times New Roman" w:hAnsi="Times New Roman"/>
                <w:sz w:val="24"/>
                <w:szCs w:val="24"/>
              </w:rPr>
              <w:t>IES:</w:t>
            </w:r>
            <w:r w:rsidR="00F153D4" w:rsidRPr="00F153D4">
              <w:rPr>
                <w:rFonts w:ascii="Times New Roman" w:hAnsi="Times New Roman"/>
                <w:b/>
                <w:sz w:val="24"/>
                <w:szCs w:val="24"/>
              </w:rPr>
              <w:t xml:space="preserve"> Universidade Federal do Rio grande do Sul</w:t>
            </w:r>
          </w:p>
        </w:tc>
        <w:tc>
          <w:tcPr>
            <w:tcW w:w="1873" w:type="dxa"/>
            <w:vMerge/>
            <w:shd w:val="clear" w:color="auto" w:fill="auto"/>
          </w:tcPr>
          <w:p w:rsidR="003C742A" w:rsidRPr="001E2C63" w:rsidRDefault="003C742A" w:rsidP="00281321">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F153D4" w:rsidRDefault="003C742A" w:rsidP="00281321">
            <w:pPr>
              <w:spacing w:line="240" w:lineRule="auto"/>
              <w:rPr>
                <w:rFonts w:ascii="Times New Roman" w:hAnsi="Times New Roman"/>
                <w:sz w:val="24"/>
                <w:szCs w:val="24"/>
              </w:rPr>
            </w:pPr>
            <w:r w:rsidRPr="00F153D4">
              <w:rPr>
                <w:rFonts w:ascii="Times New Roman" w:hAnsi="Times New Roman"/>
                <w:sz w:val="24"/>
                <w:szCs w:val="24"/>
              </w:rPr>
              <w:t xml:space="preserve">Cidade/Estado: </w:t>
            </w:r>
            <w:r w:rsidR="00F153D4" w:rsidRPr="00F153D4">
              <w:rPr>
                <w:rFonts w:ascii="Times New Roman" w:hAnsi="Times New Roman"/>
                <w:sz w:val="24"/>
                <w:szCs w:val="24"/>
              </w:rPr>
              <w:t>RS</w:t>
            </w:r>
          </w:p>
        </w:tc>
        <w:tc>
          <w:tcPr>
            <w:tcW w:w="1873" w:type="dxa"/>
            <w:vMerge/>
            <w:shd w:val="clear" w:color="auto" w:fill="auto"/>
          </w:tcPr>
          <w:p w:rsidR="003C742A" w:rsidRPr="001E2C63" w:rsidRDefault="003C742A" w:rsidP="00281321">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F153D4" w:rsidRDefault="003C742A" w:rsidP="00281321">
            <w:pPr>
              <w:spacing w:line="240" w:lineRule="auto"/>
              <w:rPr>
                <w:rFonts w:ascii="Times New Roman" w:hAnsi="Times New Roman"/>
                <w:sz w:val="24"/>
                <w:szCs w:val="24"/>
              </w:rPr>
            </w:pPr>
            <w:r w:rsidRPr="00F153D4">
              <w:rPr>
                <w:rFonts w:ascii="Times New Roman" w:hAnsi="Times New Roman"/>
                <w:sz w:val="24"/>
                <w:szCs w:val="24"/>
              </w:rPr>
              <w:t xml:space="preserve">Outras Informações: Estudante de Graduação </w:t>
            </w:r>
          </w:p>
        </w:tc>
        <w:tc>
          <w:tcPr>
            <w:tcW w:w="1873" w:type="dxa"/>
            <w:vMerge/>
            <w:shd w:val="clear" w:color="auto" w:fill="auto"/>
          </w:tcPr>
          <w:p w:rsidR="003C742A" w:rsidRPr="001E2C63" w:rsidRDefault="003C742A" w:rsidP="00281321">
            <w:pPr>
              <w:spacing w:line="240" w:lineRule="auto"/>
              <w:rPr>
                <w:rFonts w:ascii="Times New Roman" w:hAnsi="Times New Roman"/>
                <w:sz w:val="24"/>
                <w:szCs w:val="24"/>
              </w:rPr>
            </w:pPr>
          </w:p>
        </w:tc>
      </w:tr>
    </w:tbl>
    <w:p w:rsidR="003C742A" w:rsidRDefault="003C742A" w:rsidP="009741F1"/>
    <w:p w:rsidR="00F153D4" w:rsidRDefault="00F153D4" w:rsidP="00F153D4">
      <w:pPr>
        <w:spacing w:beforeLines="50" w:afterLines="50"/>
        <w:rPr>
          <w:b/>
        </w:rPr>
      </w:pPr>
      <w:r>
        <w:rPr>
          <w:b/>
        </w:rPr>
        <w:t>Introdução</w:t>
      </w:r>
    </w:p>
    <w:p w:rsidR="00F153D4" w:rsidRDefault="00F153D4" w:rsidP="00F153D4">
      <w:pPr>
        <w:spacing w:beforeLines="50" w:afterLines="50"/>
        <w:rPr>
          <w:b/>
        </w:rPr>
      </w:pPr>
    </w:p>
    <w:p w:rsidR="00F153D4" w:rsidRDefault="00F153D4" w:rsidP="00F153D4">
      <w:pPr>
        <w:spacing w:beforeLines="50" w:afterLines="50"/>
        <w:ind w:firstLine="708"/>
      </w:pPr>
      <w:r>
        <w:t>A reprodução da agricultura familiar ocorre geralmente de forma endógena, com um dos integrantes da família assumindo a propriedade. A evasão dos jovens do trabalho agrícola aponta para a crise na reprodução da agricultura familiar, muitas vezes provocada pelos conflitos geracionais e relações de gênero estabelecidas no núcleo familiar (WEISHEIMER, 2005). A busca por melhores condições de vida se manifesta num fluxo migracional predominantemente jovem e feminino, desgastando o tecido social do meio rural que, cada vez mais, se masculiniza e envelhece (não só pela migração juvenil mas também pela diminuição da taxa de fecundidade e aumento da expectativa de vida). A compreensão deste fenômeno exige um estudo sobre os fatores de repulsão juvenil do trabalho agrícola e dos elementos que contribuem para a formulação dos projetos profissionais dos jovens agricultores.</w:t>
      </w:r>
    </w:p>
    <w:p w:rsidR="00F153D4" w:rsidRDefault="00F153D4" w:rsidP="00F153D4">
      <w:pPr>
        <w:spacing w:beforeLines="50" w:afterLines="50"/>
        <w:ind w:firstLine="708"/>
      </w:pPr>
      <w:r>
        <w:t xml:space="preserve"> O futuro profissional desses jovens é resultante</w:t>
      </w:r>
      <w:r>
        <w:rPr>
          <w:color w:val="000000"/>
        </w:rPr>
        <w:t xml:space="preserve"> do balanço entre as experiências adquiridas </w:t>
      </w:r>
      <w:r>
        <w:t>em sua</w:t>
      </w:r>
      <w:r>
        <w:rPr>
          <w:color w:val="000000"/>
        </w:rPr>
        <w:t xml:space="preserve"> trajetória e o campo de possibilidades, que atua como condicionante estrutural sobre os seus projetos (VELHO, 1994)</w:t>
      </w:r>
      <w:r>
        <w:t xml:space="preserve">. Estes projetos profissionais, entretanto, são dotados de princípios de visão que os próprios jovens </w:t>
      </w:r>
      <w:r>
        <w:lastRenderedPageBreak/>
        <w:t xml:space="preserve">incorporam, sob a forma de esquemas de percepção e de avaliação dificilmente acessíveis à consciência (BOURDIEU, 2005), reproduzindo e naturalizando as relações de dominação que estabelecem a ordem social à qual estão submetidos, ao passo que recusam carreiras de que estão sistematicamente excluídos e encaminham-se para as que lhes são sistematicamente destinadas. </w:t>
      </w:r>
    </w:p>
    <w:p w:rsidR="00F153D4" w:rsidRDefault="00F153D4" w:rsidP="00F153D4">
      <w:pPr>
        <w:spacing w:beforeLines="50" w:afterLines="50"/>
        <w:ind w:firstLine="708"/>
      </w:pPr>
      <w:r>
        <w:t xml:space="preserve">A literatura sociológica oferece vasta produção reflexiva sobre as relações de gênero presentes no trabalho agrícola familiar, identificando diversos fatores que se relacionam à escolha profissional das jovens mulheres, sem entretanto concentrar esforços em alternativas para inseri-las nas atividades agrícolas produtivas ou para a fuga da precarização de seu trabalho quando inseridas no mercado de trabalho urbano. </w:t>
      </w:r>
    </w:p>
    <w:p w:rsidR="00F153D4" w:rsidRDefault="00F153D4" w:rsidP="00F153D4">
      <w:pPr>
        <w:spacing w:beforeLines="50" w:afterLines="50"/>
        <w:ind w:firstLine="708"/>
      </w:pPr>
      <w:r>
        <w:t>Neste sentido, este estudo contribui para o debate sobre a reprodução da agricultura familiar sob o viés da diferenciação por gênero, instrumentalizando os movimentos feministas do campo com dados atuais sobre a agricultura familiar no Rio Grande do Sul. Para tanto, conta-se com uma investigação de caráter quantitativo a partir de 681 questionários padronizados (amostragem representativa dos jovens ocupados em atividades agrícolas no referido Estado), aplicados a homens e mulheres com idades entre 15 e 29 anos, em pesquisa promovida pelo Ministério do Desenvolvimento Agrário em parceria com a Universidade Federal do Rio Grande do Sul. A partir destas entrevistas, busca-se a caracterização do jovem da agricultura familiar, identificando como se dá seu acesso aos recursos materiais, sua participação no trabalho agrícola e gestão da propriedade, as diferentes formas de socialização a que estão submetidos e, por fim, a construção de seus projetos profissionais. Constitui-se assim um banco de dados do qual são selecionados para esta abordagem apenas os jovens solteiros (483 casos), a fim de compreender os papéis sociais assumidos pelos jovens agricultores na hierarquia familiar. As diferentes configurações desta hierarquia tradicionalmente reservam à mulher uma posição de subordinação que pode ser percebida nas atividades que lhes são destinadas e na remuneração que lhes é oferecida, além de arranjos sucessórios que sistematicamente as alijam do acesso à propriedade de terra. Apresento ainda neste estudo o conceito de autonomia, como uma dimensão a ser levada em consideração no entendimento do processo de elaboração dos projetos profissionais das jovens agricultoras, propondo alguns indicadores que possibilitem sua mensuração e oferecendo um novo olhar sobre a formulação de políticas públicas de promoção da igualdade de gênero no meio rural.</w:t>
      </w:r>
    </w:p>
    <w:p w:rsidR="00F153D4" w:rsidRDefault="00F153D4" w:rsidP="00F153D4">
      <w:pPr>
        <w:spacing w:beforeLines="50" w:afterLines="50"/>
        <w:ind w:firstLine="708"/>
      </w:pPr>
    </w:p>
    <w:p w:rsidR="00F153D4" w:rsidRDefault="00F153D4" w:rsidP="00F153D4">
      <w:pPr>
        <w:spacing w:beforeLines="50" w:afterLines="50"/>
        <w:rPr>
          <w:b/>
        </w:rPr>
      </w:pPr>
      <w:r>
        <w:rPr>
          <w:b/>
        </w:rPr>
        <w:lastRenderedPageBreak/>
        <w:t>Objetivos</w:t>
      </w:r>
    </w:p>
    <w:p w:rsidR="00F153D4" w:rsidRDefault="00F153D4" w:rsidP="00F153D4">
      <w:pPr>
        <w:spacing w:beforeLines="50" w:afterLines="50"/>
        <w:rPr>
          <w:b/>
        </w:rPr>
      </w:pPr>
    </w:p>
    <w:p w:rsidR="00F153D4" w:rsidRDefault="00F153D4" w:rsidP="00F153D4">
      <w:pPr>
        <w:spacing w:beforeLines="50" w:afterLines="50"/>
      </w:pPr>
      <w:r>
        <w:t>- Apresentar elementos de caracterização das jovens trabalhadoras da agricultura familiar no Rio Grande do Sul, principalmente no que diz respeito às relações entre os indivíduos integrantes da família.</w:t>
      </w:r>
    </w:p>
    <w:p w:rsidR="00F153D4" w:rsidRDefault="00F153D4" w:rsidP="00F153D4">
      <w:pPr>
        <w:spacing w:beforeLines="50" w:afterLines="50"/>
      </w:pPr>
      <w:r>
        <w:t>- Examinar em que medida os diferentes níveis de autonomia dos jovens agricultores relacionam-se com seus projetos profissionais, tornando possível entender que implicações ocorrem entre os papéis sociais assumidos pelas jovens, suas posições hierárquicas no grupo familiar e a disposição em reproduzir o modo de produção agrícola familiar.</w:t>
      </w:r>
    </w:p>
    <w:p w:rsidR="00F153D4" w:rsidRDefault="00F153D4" w:rsidP="00F153D4">
      <w:pPr>
        <w:spacing w:beforeLines="50" w:afterLines="50"/>
      </w:pPr>
      <w:r>
        <w:t>- Contribuir para o debate sobre as estratégias de reprodução da agricultura familiar e a construção da igualdade de gênero, bem como fornecer subsídios para a formulação de políticas públicas para este segmento.</w:t>
      </w:r>
    </w:p>
    <w:p w:rsidR="00F153D4" w:rsidRDefault="00F153D4" w:rsidP="00F153D4">
      <w:pPr>
        <w:spacing w:beforeLines="50" w:afterLines="50"/>
        <w:rPr>
          <w:b/>
        </w:rPr>
      </w:pPr>
    </w:p>
    <w:p w:rsidR="00F153D4" w:rsidRDefault="00F153D4" w:rsidP="00F153D4">
      <w:pPr>
        <w:spacing w:beforeLines="50" w:afterLines="50"/>
        <w:rPr>
          <w:b/>
        </w:rPr>
      </w:pPr>
      <w:r>
        <w:rPr>
          <w:b/>
        </w:rPr>
        <w:t>Procedimentos Metodológicos</w:t>
      </w:r>
    </w:p>
    <w:p w:rsidR="00F153D4" w:rsidRDefault="00F153D4" w:rsidP="00F153D4">
      <w:pPr>
        <w:spacing w:beforeLines="50" w:afterLines="50"/>
        <w:rPr>
          <w:b/>
        </w:rPr>
      </w:pPr>
    </w:p>
    <w:p w:rsidR="00F153D4" w:rsidRDefault="00F153D4" w:rsidP="00F153D4">
      <w:pPr>
        <w:spacing w:beforeLines="50" w:afterLines="50"/>
        <w:ind w:firstLine="708"/>
      </w:pPr>
      <w:r>
        <w:t>A pesquisa baseia-se em coleta de dados primários a partir de questionários padronizados, numa amostra representativa dos jovens ocupados em atividades agrícolas no Rio Grande do Sul. Para o cálculo da amostra, utilizaram-se dados secundários sobre os jovens ocupados na agricultura familiar fornecidos pelo IBGE. A análise é feita com o uso do SPSS (</w:t>
      </w:r>
      <w:r>
        <w:rPr>
          <w:color w:val="000000"/>
        </w:rPr>
        <w:t>Statistical Package for the Social Sciences</w:t>
      </w:r>
      <w:r>
        <w:rPr>
          <w:rFonts w:ascii="Arial" w:hAnsi="Arial" w:cs="Arial"/>
          <w:color w:val="000000"/>
          <w:sz w:val="20"/>
          <w:szCs w:val="20"/>
        </w:rPr>
        <w:t>)</w:t>
      </w:r>
      <w:r>
        <w:t xml:space="preserve"> que permite, entre outras coisas, o cruzamento das respostas obtidas nas entrevistas e posterior análise da associação e correlação entre elas. De um total de 681 entrevistas foram consideradas 483, relativas aos jovens solteiros, por entender que a união conjugal é determinante para a permanência do jovem no modo de produção familiar e que antes desta etapa é que se estabelecem os maiores conflitos e oscilações entre os projetos de permanência e de evasão da agricultura.</w:t>
      </w:r>
    </w:p>
    <w:p w:rsidR="00F153D4" w:rsidRDefault="00F153D4" w:rsidP="00F153D4">
      <w:pPr>
        <w:spacing w:beforeLines="50" w:afterLines="50"/>
        <w:ind w:firstLine="708"/>
      </w:pPr>
      <w:r>
        <w:t xml:space="preserve"> Além da construção teórica do conceito de autonomia aqui apresentado, foram selecionados alguns indicadores operacionalizáveis para delimitá-lo e possibilitar sua mensuração. Estes indicadores referem-se ao acesso aos recursos materiais e a responsabilidade sobre o trabalho desenvolvido (acesso à renda, terra, crédito, </w:t>
      </w:r>
      <w:r>
        <w:lastRenderedPageBreak/>
        <w:t>bloco de produtor rural, conta bancária e desenvolvimento de atividade produtiva autônoma na propriedade). A partir destes indicadores possibilita-se a construção de um índice de autonomia do jovem agricultor, que posteriormente é relacionado ao seu projeto profissional.</w:t>
      </w:r>
    </w:p>
    <w:p w:rsidR="00F153D4" w:rsidRDefault="00F153D4" w:rsidP="00F153D4">
      <w:pPr>
        <w:spacing w:beforeLines="50" w:afterLines="50"/>
        <w:rPr>
          <w:b/>
        </w:rPr>
      </w:pPr>
    </w:p>
    <w:p w:rsidR="00F153D4" w:rsidRDefault="00F153D4" w:rsidP="00F153D4">
      <w:pPr>
        <w:spacing w:beforeLines="50" w:afterLines="50"/>
        <w:rPr>
          <w:b/>
        </w:rPr>
      </w:pPr>
      <w:r>
        <w:rPr>
          <w:b/>
        </w:rPr>
        <w:t>A jovem agricultora familiar</w:t>
      </w:r>
    </w:p>
    <w:p w:rsidR="00F153D4" w:rsidRDefault="00F153D4" w:rsidP="00F153D4">
      <w:pPr>
        <w:spacing w:beforeLines="50" w:afterLines="50"/>
        <w:rPr>
          <w:b/>
        </w:rPr>
      </w:pPr>
      <w:r>
        <w:rPr>
          <w:b/>
        </w:rPr>
        <w:tab/>
      </w:r>
    </w:p>
    <w:p w:rsidR="00F153D4" w:rsidRDefault="00F153D4" w:rsidP="00F153D4">
      <w:pPr>
        <w:spacing w:beforeLines="50" w:afterLines="50"/>
        <w:ind w:firstLine="708"/>
      </w:pPr>
      <w:r>
        <w:t xml:space="preserve">A divisão do trabalho na unidade produtiva familiar é relativamente segmentada, onde homens dedicam-se predominantemente à agricultura e as mulheres à atividade doméstica. Conforme Brumer (2004), quando as mulheres envolvem-se em atividades produtivas, as tarefas que realizam são consideradas como “ajuda”. Enquanto aos homens são destinadas as tarefas de gestão da propriedade, transmitindo os saberes agrícolas e administrativos necessários ao processo sucessório, as jovens são requisitadas para as atividades ditas produtivas quando estas necessitam de pleno emprego da mão-de-obra familiar (colheita, plantio), o que geralmente invisibiliza sua participação nestas atividades. Devido a isso, as filhas, de um modo geral, não são socializadas com base num modelo de trabalhador(a) agricultor(a), e raramente recebem treinamento relativo a atividades agropecuárias e à administração da propriedade. Ao contrário, os pais estimulam-nas a estudar e procurar emprego fora da agricultura. O tipo de emprego disponível para as mulheres, entretanto, representa uma extensão do trabalho que as mulheres executam em suas residências, como por exemplo o serviço doméstico. Mesmo o desenvolvimento de indústrias rurais também conduziu as mulheres para as atividades que eram executadas por elas em seus lares: as tarefas tediosas, repetitivas e intensivas, como as associadas ao processamento do fumo e com a indústria têxtil (DEERE;LEON, p.358). A importância do trabalho feminino na agricultura não reside entretanto somente no emprego de sua mão-de-obra nas atividades ditas produtivas (colheita, plantio, processamento), mas também nas atividades reprodutivas, sem as quais seria inviabilizada a continuidade da atividade agrícola familiar (alimentação, limpeza, cuidado da horta, cuidado dos filhos e educação destes). Ambas as atividades, entretanto, produtivas e reprodutivas, sofrem com o baixo reconhecimento e invisibilização da participação feminina, sendo associadas muito de perto com os baixos salários que lhes são destinados ou até ausência de remuneração pela participação no trabalho familiar agrícola. </w:t>
      </w:r>
      <w:r>
        <w:lastRenderedPageBreak/>
        <w:t>Os dados da pesquisa de campo revelam que, entre os jovens, as mulheres são menos freqüentemente remuneradas por sua participação no trabalho familiar agrícola:</w:t>
      </w:r>
    </w:p>
    <w:p w:rsidR="00F153D4" w:rsidRDefault="00F153D4" w:rsidP="00F153D4">
      <w:pPr>
        <w:spacing w:beforeLines="50" w:afterLines="50"/>
      </w:pPr>
      <w:r>
        <w:t xml:space="preserve"> </w:t>
      </w:r>
    </w:p>
    <w:p w:rsidR="00F153D4" w:rsidRDefault="00F153D4" w:rsidP="00F153D4">
      <w:pPr>
        <w:tabs>
          <w:tab w:val="left" w:pos="1545"/>
        </w:tabs>
        <w:spacing w:beforeLines="50" w:afterLines="50"/>
        <w:jc w:val="center"/>
      </w:pPr>
      <w:r>
        <w:rPr>
          <w:b/>
        </w:rPr>
        <w:t>Tabela 01. Acesso dos jovens à renda proveniente da atividade agrícola (</w:t>
      </w:r>
      <w:r>
        <w:rPr>
          <w:b/>
          <w:i/>
        </w:rPr>
        <w:t>f</w:t>
      </w:r>
      <w:r>
        <w:rPr>
          <w:b/>
        </w:rPr>
        <w:t xml:space="preserve"> e %).</w:t>
      </w:r>
    </w:p>
    <w:p w:rsidR="00F153D4" w:rsidRDefault="00572729" w:rsidP="00F153D4">
      <w:pPr>
        <w:spacing w:beforeLines="50" w:afterLines="50"/>
        <w:jc w:val="center"/>
      </w:pPr>
      <w:r>
        <w:rPr>
          <w:rFonts w:ascii="System" w:hAnsi="System"/>
          <w:b/>
          <w:bCs/>
          <w:noProof/>
          <w:sz w:val="20"/>
          <w:szCs w:val="20"/>
          <w:lang w:eastAsia="pt-BR"/>
        </w:rPr>
        <w:drawing>
          <wp:inline distT="0" distB="0" distL="0" distR="0">
            <wp:extent cx="4324350" cy="146685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324350" cy="1466850"/>
                    </a:xfrm>
                    <a:prstGeom prst="rect">
                      <a:avLst/>
                    </a:prstGeom>
                    <a:noFill/>
                    <a:ln w="9525">
                      <a:noFill/>
                      <a:miter lim="800000"/>
                      <a:headEnd/>
                      <a:tailEnd/>
                    </a:ln>
                  </pic:spPr>
                </pic:pic>
              </a:graphicData>
            </a:graphic>
          </wp:inline>
        </w:drawing>
      </w:r>
    </w:p>
    <w:p w:rsidR="00F153D4" w:rsidRDefault="00F153D4" w:rsidP="00F153D4">
      <w:pPr>
        <w:spacing w:beforeLines="50" w:afterLines="50"/>
        <w:ind w:firstLine="708"/>
        <w:jc w:val="center"/>
      </w:pPr>
      <w:r>
        <w:rPr>
          <w:sz w:val="16"/>
          <w:szCs w:val="16"/>
        </w:rPr>
        <w:t>Fonte: Banco de Dados Jovens da Agricultura Familiar no RS; MDA/FAURGS, 2007</w:t>
      </w:r>
      <w:r>
        <w:rPr>
          <w:sz w:val="18"/>
          <w:szCs w:val="18"/>
        </w:rPr>
        <w:t>.</w:t>
      </w:r>
    </w:p>
    <w:p w:rsidR="00F153D4" w:rsidRDefault="00F153D4" w:rsidP="00F153D4">
      <w:pPr>
        <w:spacing w:beforeLines="50" w:afterLines="50"/>
        <w:ind w:firstLine="708"/>
        <w:jc w:val="center"/>
      </w:pPr>
      <w:r>
        <w:rPr>
          <w:b/>
        </w:rPr>
        <w:tab/>
      </w:r>
    </w:p>
    <w:p w:rsidR="00F153D4" w:rsidRDefault="00F153D4" w:rsidP="00F153D4">
      <w:pPr>
        <w:spacing w:beforeLines="50" w:afterLines="50"/>
        <w:ind w:firstLine="708"/>
      </w:pPr>
      <w:r>
        <w:t xml:space="preserve">Tão importante quanto observar o acesso dos jovens à renda proveniente da atividade agrícola é identificar como se dá este acesso. A relação hierárquica estabelecida entre os integrantes da família frente à obtenção de recursos é explicitada quando perguntado ao jovem </w:t>
      </w:r>
      <w:r>
        <w:rPr>
          <w:i/>
        </w:rPr>
        <w:t>de que forma</w:t>
      </w:r>
      <w:r>
        <w:t xml:space="preserve"> ele obtém alguma recompensa por sua participação no trabalho familiar agrícola. Percebemos que a maior parte dos jovens entrevistados apenas acessa a renda familiar quando solicita algum recurso aos seus pais (62,7% dos homens e 81,5% das mulheres encontram-se nesta situação). Poucos são os jovens que recebem periodicamente alguma quantia em dinheiro, percentual que é ainda menor entre as mulheres (13,3% dos homens e 5,4% das mulheres). Este dado torna-se mais marcante quando analisado juntamente aos dados obtidos sobre a jornada diária de trabalho ao qual o jovem é submetido, onde se constatou que 34,1% das mulheres trabalham mais de 8h diariamente na unidade produtora familiar (fonte: Pesquisa de campo </w:t>
      </w:r>
      <w:r>
        <w:rPr>
          <w:i/>
        </w:rPr>
        <w:t>Jovens da Agricultura Familiar no RS</w:t>
      </w:r>
      <w:r>
        <w:t>; MDA/FAURGS, 2007). Os dados referentes à forma de acesso dos jovens às rendas provenientes das atividades agropecuárias desenvolvidas na propriedade familiar são apresentados na tabela abaixo:</w:t>
      </w:r>
    </w:p>
    <w:p w:rsidR="00F153D4" w:rsidRDefault="00F153D4" w:rsidP="00F153D4">
      <w:pPr>
        <w:spacing w:beforeLines="50" w:afterLines="50"/>
        <w:jc w:val="center"/>
        <w:rPr>
          <w:b/>
        </w:rPr>
      </w:pPr>
    </w:p>
    <w:p w:rsidR="00F153D4" w:rsidRDefault="00F153D4" w:rsidP="00F153D4">
      <w:pPr>
        <w:spacing w:beforeLines="50" w:afterLines="50"/>
        <w:jc w:val="center"/>
      </w:pPr>
      <w:r>
        <w:rPr>
          <w:b/>
        </w:rPr>
        <w:t>Tabela 02. Formas de acesso</w:t>
      </w:r>
      <w:r>
        <w:t xml:space="preserve"> </w:t>
      </w:r>
      <w:r>
        <w:rPr>
          <w:b/>
        </w:rPr>
        <w:t>dos jovens à renda proveniente da atividade agrícola (</w:t>
      </w:r>
      <w:r>
        <w:rPr>
          <w:b/>
          <w:i/>
        </w:rPr>
        <w:t>f</w:t>
      </w:r>
      <w:r>
        <w:rPr>
          <w:b/>
        </w:rPr>
        <w:t xml:space="preserve"> e %).</w:t>
      </w:r>
    </w:p>
    <w:p w:rsidR="00F153D4" w:rsidRDefault="00572729" w:rsidP="00F153D4">
      <w:pPr>
        <w:autoSpaceDE w:val="0"/>
        <w:autoSpaceDN w:val="0"/>
        <w:adjustRightInd w:val="0"/>
        <w:jc w:val="center"/>
        <w:rPr>
          <w:rFonts w:ascii="System" w:hAnsi="System" w:cs="System"/>
          <w:b/>
          <w:bCs/>
          <w:sz w:val="20"/>
          <w:szCs w:val="20"/>
        </w:rPr>
      </w:pPr>
      <w:r>
        <w:rPr>
          <w:rFonts w:ascii="System" w:hAnsi="System" w:cs="System"/>
          <w:b/>
          <w:bCs/>
          <w:noProof/>
          <w:sz w:val="20"/>
          <w:szCs w:val="20"/>
          <w:lang w:eastAsia="pt-BR"/>
        </w:rPr>
        <w:lastRenderedPageBreak/>
        <w:drawing>
          <wp:inline distT="0" distB="0" distL="0" distR="0">
            <wp:extent cx="4772025" cy="2657475"/>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772025" cy="2657475"/>
                    </a:xfrm>
                    <a:prstGeom prst="rect">
                      <a:avLst/>
                    </a:prstGeom>
                    <a:noFill/>
                    <a:ln w="9525">
                      <a:noFill/>
                      <a:miter lim="800000"/>
                      <a:headEnd/>
                      <a:tailEnd/>
                    </a:ln>
                  </pic:spPr>
                </pic:pic>
              </a:graphicData>
            </a:graphic>
          </wp:inline>
        </w:drawing>
      </w:r>
    </w:p>
    <w:p w:rsidR="00F153D4" w:rsidRDefault="00F153D4" w:rsidP="00F153D4">
      <w:pPr>
        <w:autoSpaceDE w:val="0"/>
        <w:autoSpaceDN w:val="0"/>
        <w:adjustRightInd w:val="0"/>
        <w:rPr>
          <w:rFonts w:ascii="System" w:hAnsi="System" w:cs="System"/>
          <w:b/>
          <w:bCs/>
          <w:sz w:val="16"/>
          <w:szCs w:val="16"/>
        </w:rPr>
      </w:pPr>
      <w:r>
        <w:rPr>
          <w:rFonts w:ascii="System" w:hAnsi="System" w:cs="System"/>
          <w:b/>
          <w:bCs/>
          <w:sz w:val="20"/>
          <w:szCs w:val="20"/>
        </w:rPr>
        <w:t xml:space="preserve">                         </w:t>
      </w:r>
      <w:r>
        <w:rPr>
          <w:sz w:val="16"/>
          <w:szCs w:val="16"/>
        </w:rPr>
        <w:t>Fonte: Banco de Dados Jovens da Agricultura Familiar no RS; MDA/FAURGS, 2007.</w:t>
      </w:r>
    </w:p>
    <w:p w:rsidR="00F153D4" w:rsidRDefault="00F153D4" w:rsidP="00F153D4">
      <w:pPr>
        <w:spacing w:beforeLines="50" w:afterLines="50"/>
        <w:ind w:firstLine="708"/>
      </w:pPr>
    </w:p>
    <w:p w:rsidR="00F153D4" w:rsidRDefault="00F153D4" w:rsidP="00F153D4">
      <w:pPr>
        <w:spacing w:beforeLines="50" w:afterLines="50"/>
        <w:ind w:firstLine="708"/>
      </w:pPr>
      <w:r>
        <w:t>Assim como o acesso à renda, a obtenção do crédito para atividades agropecuárias (compra de sementes, insumos) e de instalação (compra de terras, maquinários, construções) também sofre restrições ao acesso do jovem agricultor, tendo as mulheres maiores dificuldades em obtê-lo. Ainda que haja um esforço governamental para a promoção da justiça de gênero a partir de políticas públicas específicas para as mulheres (como o Programa Nacional de Fortalecimento da Agricultura familiar, PRONAF-Mulher) e para o público jovem como um todo (PRONAF-Jovem, Programa Nossa Primeira Terra), têm sido poucos os acessos a estas linhas de crédito, o que pode ser explicado pela falta de informações a seu respeito ou pela burocratização e dificuldades impostas ao seu acesso. Os dados de campo revelam que são poucas as jovens agricultoras que conhecem o PRONAF-Mulher, e menos ainda as que tentaram acessa-lo. A tabela abaixo ilustra como as mulheres encontram-se em desvantagem em relação aos homens no acesso a estas linhas de crédito. Apenas 6,1% delas obtiveram algum financiamento em seu nome, percentual que é de 33,9% entre os homens.</w:t>
      </w:r>
    </w:p>
    <w:p w:rsidR="00F153D4" w:rsidRDefault="00F153D4" w:rsidP="00F153D4">
      <w:pPr>
        <w:spacing w:beforeLines="50" w:afterLines="50"/>
        <w:jc w:val="center"/>
        <w:rPr>
          <w:b/>
          <w:bCs/>
        </w:rPr>
      </w:pPr>
    </w:p>
    <w:p w:rsidR="00F153D4" w:rsidRDefault="00F153D4" w:rsidP="00F153D4">
      <w:pPr>
        <w:spacing w:beforeLines="50" w:afterLines="50"/>
        <w:jc w:val="center"/>
      </w:pPr>
      <w:r>
        <w:rPr>
          <w:b/>
          <w:bCs/>
        </w:rPr>
        <w:t>Tabela 03. Acesso dos jovens às linhas de crédito (</w:t>
      </w:r>
      <w:r>
        <w:rPr>
          <w:b/>
          <w:bCs/>
          <w:i/>
        </w:rPr>
        <w:t>f</w:t>
      </w:r>
      <w:r>
        <w:rPr>
          <w:b/>
          <w:bCs/>
        </w:rPr>
        <w:t xml:space="preserve"> e %).</w:t>
      </w:r>
    </w:p>
    <w:p w:rsidR="00F153D4" w:rsidRDefault="00572729" w:rsidP="00F153D4">
      <w:pPr>
        <w:spacing w:beforeLines="50" w:afterLines="50"/>
        <w:jc w:val="center"/>
      </w:pPr>
      <w:r>
        <w:rPr>
          <w:rFonts w:ascii="System" w:hAnsi="System"/>
          <w:b/>
          <w:bCs/>
          <w:noProof/>
          <w:sz w:val="20"/>
          <w:szCs w:val="20"/>
          <w:lang w:eastAsia="pt-BR"/>
        </w:rPr>
        <w:lastRenderedPageBreak/>
        <w:drawing>
          <wp:inline distT="0" distB="0" distL="0" distR="0">
            <wp:extent cx="4010025" cy="149542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010025" cy="1495425"/>
                    </a:xfrm>
                    <a:prstGeom prst="rect">
                      <a:avLst/>
                    </a:prstGeom>
                    <a:noFill/>
                    <a:ln w="9525">
                      <a:noFill/>
                      <a:miter lim="800000"/>
                      <a:headEnd/>
                      <a:tailEnd/>
                    </a:ln>
                  </pic:spPr>
                </pic:pic>
              </a:graphicData>
            </a:graphic>
          </wp:inline>
        </w:drawing>
      </w:r>
      <w:r w:rsidR="00F153D4">
        <w:t xml:space="preserve">  </w:t>
      </w:r>
    </w:p>
    <w:p w:rsidR="00F153D4" w:rsidRDefault="00F153D4" w:rsidP="00F153D4">
      <w:pPr>
        <w:spacing w:beforeLines="50" w:afterLines="50"/>
        <w:jc w:val="center"/>
      </w:pPr>
      <w:r>
        <w:t xml:space="preserve"> </w:t>
      </w:r>
      <w:r>
        <w:rPr>
          <w:sz w:val="16"/>
          <w:szCs w:val="16"/>
        </w:rPr>
        <w:t>Fonte: Banco de Dados Jovens da Agricultura Familiar no RS; MDA/FAURGS, 2007.</w:t>
      </w:r>
    </w:p>
    <w:p w:rsidR="00F153D4" w:rsidRDefault="00F153D4" w:rsidP="00F153D4">
      <w:pPr>
        <w:spacing w:beforeLines="50" w:afterLines="50"/>
      </w:pPr>
    </w:p>
    <w:p w:rsidR="00F153D4" w:rsidRDefault="00F153D4" w:rsidP="00F153D4">
      <w:pPr>
        <w:spacing w:beforeLines="50" w:afterLines="50"/>
      </w:pPr>
      <w:r>
        <w:tab/>
        <w:t xml:space="preserve">As linhas de crédito são importantes instrumentos para aquisição de terras e permanência na atividade agrícola, o que torna salutar sua incorporação entre as mulheres uma vez que tradicionalmente são excluídas dos processos sucessórios e de transmissão da propriedade no meio rural. Os arranjos sucessórios não passam necessariamente pela remuneração monetária de todos os herdeiros, e muitas vezes, entre as mulheres, a compensação se faz em “estudo ou dinheiro” (ABRAMOVAY, 2001). Paulilo (2000) observou que a exclusão das mulheres da partilha da terra é uma questão delicada, onde se torna nítida a preferência familiar masculina na escolha do sucessor, o que encaminha desde cedo as jovens agricultoras para o mercado de trabalho não-agrícola. A diferenciação social é fortemente influenciada pela família, onde o filho destacado para cuidar dos pais é recompensado com a herança da propriedade (ABRAMOVAY, 1998). Às mulheres, por sua vez, cabe o investimento na educação para o mercado de trabalho não agrícola ou a evasão do meio rural, inserindo-se no mercado de trabalho urbano através das atividades nas quais foram socializadas na unidade familiar (predominantemente domésticas, empregando-se na prestação de serviços de limpeza, alimentícios, de costura, cuidado de crianças ou industriais de baixa especialização).  Pelo fato dos homens já serem socializados para o trabalho agrícola, deterem o “saber e o fazer” agrícolas, a associação entre a detenção da propriedade de terra e a formulação de projetos profissionais de permanência na agricultura torna-se mais significativa para as mulheres. Segundo Abramovay (2001): </w:t>
      </w:r>
    </w:p>
    <w:p w:rsidR="00F153D4" w:rsidRDefault="00F153D4" w:rsidP="00F153D4">
      <w:pPr>
        <w:spacing w:beforeLines="50" w:afterLines="50"/>
        <w:ind w:left="708"/>
        <w:rPr>
          <w:sz w:val="20"/>
          <w:szCs w:val="20"/>
        </w:rPr>
      </w:pPr>
      <w:r>
        <w:rPr>
          <w:sz w:val="20"/>
          <w:szCs w:val="20"/>
        </w:rPr>
        <w:t xml:space="preserve">Existe uma importante aspiração de continuidade na agricultura familiar por parte dos rapazes – mesmo aqueles vivendo em unidades que não chegam a gerar sequer a renda necessária à reprodução familiar – e uma visão bastante negativa a respeito deste horizonte profissional para a maioria das moças. Os filhos das famílias de maior </w:t>
      </w:r>
      <w:r>
        <w:rPr>
          <w:sz w:val="20"/>
          <w:szCs w:val="20"/>
        </w:rPr>
        <w:lastRenderedPageBreak/>
        <w:t>renda encaram a permanência na agricultura como promissora e isso é nítido tanto entre rapazes como entre as moças. O preocupante é que parece haver uma associação forte entre a escolha profissional em torno da agricultura familiar e um nível de educação especialmente precário por parte dos que o encaram como desejado este futuro (...) a permanência na atividade agropecuária esteve, até muito recentemente, associada diretamente ao desprezo pela formação dos jovens (pg. 47).</w:t>
      </w:r>
    </w:p>
    <w:p w:rsidR="00F153D4" w:rsidRDefault="00F153D4" w:rsidP="00F153D4">
      <w:pPr>
        <w:spacing w:beforeLines="50" w:afterLines="50"/>
      </w:pPr>
    </w:p>
    <w:p w:rsidR="00F153D4" w:rsidRDefault="00F153D4" w:rsidP="00F153D4">
      <w:pPr>
        <w:spacing w:beforeLines="50" w:afterLines="50"/>
        <w:ind w:firstLine="708"/>
      </w:pPr>
      <w:r>
        <w:t>Neste sentido, presenciamos uma dupla situação de conflitualidade vivenciada pelos jovens em relação à construção de seus projetos de vida: entre as mulheres, que são excluídas da socialização no trabalho agrícola e da transmissão da propriedade, sendo obrigadas a formular projetos profissionais ligadas ao mercado de trabalho urbano; e entre os homens, que por não possuírem o passaporte educacional se vêem obrigado0s a permanecer na atividade agrícola ainda que em condições adversas. A tabela abaixo ilustra como a propriedade da terra é importante para a permanência das mulheres na atividade agrícola ao passo que entre os homens sua ausência não é suficiente para a formulação de projetos profissionais não-agrícolas. Os homens que possuem área de terra em seu nome intencionam estabelecer-se como agricultores em 75,5% dos casos e os que não possuem terras o fazem em 62,4%. As mulheres que possuem terras em seu nome pretendem estabelecer-se como agricultoras em 77,8% dos casos, percentual que se reduz a 37,5% entre as que não possuem propriedade de terras.</w:t>
      </w:r>
    </w:p>
    <w:p w:rsidR="00F153D4" w:rsidRDefault="00F153D4" w:rsidP="00F153D4">
      <w:pPr>
        <w:spacing w:beforeLines="50" w:afterLines="50"/>
        <w:ind w:firstLine="708"/>
        <w:rPr>
          <w:b/>
        </w:rPr>
      </w:pPr>
      <w:r>
        <w:rPr>
          <w:b/>
        </w:rPr>
        <w:t>Tabela 04. Acesso à terra e intenção de estabelecimento como agricultor (</w:t>
      </w:r>
      <w:r>
        <w:rPr>
          <w:b/>
          <w:i/>
        </w:rPr>
        <w:t>f</w:t>
      </w:r>
      <w:r>
        <w:rPr>
          <w:b/>
        </w:rPr>
        <w:t xml:space="preserve"> e %).</w:t>
      </w:r>
    </w:p>
    <w:p w:rsidR="00F153D4" w:rsidRDefault="00572729" w:rsidP="00F153D4">
      <w:pPr>
        <w:spacing w:beforeLines="50" w:afterLines="50"/>
        <w:jc w:val="center"/>
        <w:rPr>
          <w:rFonts w:ascii="System" w:hAnsi="System" w:cs="System"/>
          <w:b/>
          <w:bCs/>
          <w:sz w:val="20"/>
          <w:szCs w:val="20"/>
        </w:rPr>
      </w:pPr>
      <w:r>
        <w:rPr>
          <w:rFonts w:ascii="System" w:hAnsi="System" w:cs="System"/>
          <w:b/>
          <w:bCs/>
          <w:noProof/>
          <w:sz w:val="20"/>
          <w:szCs w:val="20"/>
          <w:lang w:eastAsia="pt-BR"/>
        </w:rPr>
        <w:lastRenderedPageBreak/>
        <w:drawing>
          <wp:inline distT="0" distB="0" distL="0" distR="0">
            <wp:extent cx="4705350" cy="251460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705350" cy="2514600"/>
                    </a:xfrm>
                    <a:prstGeom prst="rect">
                      <a:avLst/>
                    </a:prstGeom>
                    <a:noFill/>
                    <a:ln w="9525">
                      <a:noFill/>
                      <a:miter lim="800000"/>
                      <a:headEnd/>
                      <a:tailEnd/>
                    </a:ln>
                  </pic:spPr>
                </pic:pic>
              </a:graphicData>
            </a:graphic>
          </wp:inline>
        </w:drawing>
      </w:r>
      <w:r w:rsidR="00F153D4">
        <w:rPr>
          <w:rFonts w:ascii="System" w:hAnsi="System" w:cs="System"/>
          <w:b/>
          <w:bCs/>
          <w:sz w:val="20"/>
          <w:szCs w:val="20"/>
        </w:rPr>
        <w:t xml:space="preserve">       </w:t>
      </w:r>
    </w:p>
    <w:p w:rsidR="00F153D4" w:rsidRDefault="00F153D4" w:rsidP="00F153D4">
      <w:pPr>
        <w:spacing w:beforeLines="50" w:afterLines="50"/>
        <w:jc w:val="center"/>
      </w:pPr>
      <w:r>
        <w:rPr>
          <w:rFonts w:ascii="System" w:hAnsi="System" w:cs="System"/>
          <w:b/>
          <w:bCs/>
          <w:sz w:val="20"/>
          <w:szCs w:val="20"/>
        </w:rPr>
        <w:t xml:space="preserve">  </w:t>
      </w:r>
      <w:r>
        <w:rPr>
          <w:sz w:val="16"/>
          <w:szCs w:val="16"/>
        </w:rPr>
        <w:t>Fonte: Banco de Dados Jovens da Agricultura Familiar no RS; MDA/FAURGS, 2007.</w:t>
      </w:r>
    </w:p>
    <w:p w:rsidR="00F153D4" w:rsidRDefault="00F153D4" w:rsidP="00F153D4">
      <w:pPr>
        <w:spacing w:beforeLines="50" w:afterLines="50"/>
        <w:rPr>
          <w:b/>
        </w:rPr>
      </w:pPr>
    </w:p>
    <w:p w:rsidR="00F153D4" w:rsidRDefault="00F153D4" w:rsidP="00F153D4">
      <w:pPr>
        <w:spacing w:beforeLines="50" w:afterLines="50"/>
        <w:rPr>
          <w:b/>
        </w:rPr>
      </w:pPr>
      <w:r>
        <w:rPr>
          <w:b/>
        </w:rPr>
        <w:t xml:space="preserve">Autonomia e Projetos Profissionais das Jovens </w:t>
      </w:r>
    </w:p>
    <w:p w:rsidR="00F153D4" w:rsidRDefault="00F153D4" w:rsidP="00F153D4">
      <w:pPr>
        <w:spacing w:beforeLines="50" w:afterLines="50"/>
        <w:rPr>
          <w:b/>
        </w:rPr>
      </w:pPr>
    </w:p>
    <w:p w:rsidR="00F153D4" w:rsidRDefault="00F153D4" w:rsidP="00F153D4">
      <w:pPr>
        <w:spacing w:beforeLines="50" w:afterLines="50"/>
      </w:pPr>
      <w:r>
        <w:rPr>
          <w:b/>
        </w:rPr>
        <w:tab/>
      </w:r>
      <w:r>
        <w:t xml:space="preserve">O acesso aos recursos materiais (renda, terra e crédito) é visto aqui como elemento que deve ser levado em consideração no processo de instalação dos jovens na agricultura familiar, sendo identificada entre as mulheres sua menor ocorrência. Pode, conjuntamente a outros fatores, ser indicador das relações de poder e de diferenciação que se estabelecem no meio rural. Segundo o sociólogo Pierre Bourdieu, existem estratégias de reprodução pelas quais os homens, detentores do monopólio dos instrumentos de produção e reprodução do capital simbólico, visam assegurar a conservação ou o aumento deste capital: estratégias de fecundidade, estratégias matrimoniais, estratégias educativas, estratégias econômicas, estratégias de sucessão, todas elas orientadas no sentido da transmissão dos poderes e privilégios herdados (BOURDIEU, 2005). Dessa forma, atingir a igualdade de gênero deve compreender a identificação destes mecanismos de dominação e a elaboração de estratégias de empoderamento da mulher, aqui objetivado na criação de condições igualitárias de escolha do projeto profissional segundo o sexo do indivíduo. </w:t>
      </w:r>
    </w:p>
    <w:p w:rsidR="00F153D4" w:rsidRDefault="00F153D4" w:rsidP="00F153D4">
      <w:pPr>
        <w:spacing w:beforeLines="50" w:afterLines="50"/>
        <w:ind w:firstLine="360"/>
      </w:pPr>
      <w:r>
        <w:t xml:space="preserve">A passagem da responsabilidade sobre a gestão da unidade produtora familiar se dá num processo de transição onde os pais gradativamente transmitem tarefas de gestão aos seus sucessores (ABRAMOVAY, 2001), </w:t>
      </w:r>
      <w:r>
        <w:lastRenderedPageBreak/>
        <w:t xml:space="preserve">como a abertura da conta bancária, o bloco de produtor rural, as relações da unidade produtora familiar com o universo externo (compra de insumos, vendas, negociações de crédito), até a passagem completa do gerenciamento da propriedade. Estas etapas de transmissão da responsabilidade promovem a autonomia do jovem e são indicadores do papel social subalterno destinado para as mulheres à medida que são excluídas deste processo. </w:t>
      </w:r>
    </w:p>
    <w:p w:rsidR="00F153D4" w:rsidRDefault="00F153D4" w:rsidP="00F153D4">
      <w:pPr>
        <w:spacing w:beforeLines="50" w:afterLines="50"/>
        <w:ind w:firstLine="360"/>
      </w:pPr>
      <w:r>
        <w:t>Autonomia, de acordo com a etimologia grega, significa a condição de um indivíduo ou de um grupo determinar-se por si mesmo, segundo suas próprias leis. Para a literatura sociológica, a autonomia pode se expressar em vários níveis articulados. Um deles corresponde às atividades laborais e implica na possibilidade de escolha de tarefas, dos meios e do sentido do trabalho, resultando em dignidade e satisfação (CATTANI, 1996). Dessa forma, promover a autonomia da jovem agricultora implica em sua inserção nas etapas em que a responsabilidade e o conhecimento sobre a atividade produtiva são consolidados e sua subjetividade pode manifestar-se soberanamente na escolha ou não da continuidade no trabalho agrícola, que passa a pertencer a seu campo de possibilidades. Neste estudo, foram delimitados indicadores de autonomia representados nas etapas de transmissão da gestão da unidade produtora familiar, alguns deles já identificados em estudos anteriores (ABRAMOVAY, 2001). São eles:</w:t>
      </w:r>
    </w:p>
    <w:p w:rsidR="00F153D4" w:rsidRDefault="00F153D4" w:rsidP="00F153D4">
      <w:pPr>
        <w:numPr>
          <w:ilvl w:val="0"/>
          <w:numId w:val="2"/>
        </w:numPr>
        <w:spacing w:beforeLines="50" w:afterLines="50"/>
      </w:pPr>
      <w:r>
        <w:t>Ter área de terra em seu nome;</w:t>
      </w:r>
    </w:p>
    <w:p w:rsidR="00F153D4" w:rsidRDefault="00F153D4" w:rsidP="00F153D4">
      <w:pPr>
        <w:numPr>
          <w:ilvl w:val="0"/>
          <w:numId w:val="2"/>
        </w:numPr>
        <w:spacing w:beforeLines="50" w:afterLines="50"/>
      </w:pPr>
      <w:r>
        <w:t>Possuir bloco de produtor rural</w:t>
      </w:r>
    </w:p>
    <w:p w:rsidR="00F153D4" w:rsidRDefault="00F153D4" w:rsidP="00F153D4">
      <w:pPr>
        <w:numPr>
          <w:ilvl w:val="0"/>
          <w:numId w:val="2"/>
        </w:numPr>
        <w:spacing w:beforeLines="50" w:afterLines="50"/>
      </w:pPr>
      <w:r>
        <w:t>Ter o nome no bloco de produtor rural dos pais;</w:t>
      </w:r>
    </w:p>
    <w:p w:rsidR="00F153D4" w:rsidRDefault="00F153D4" w:rsidP="00F153D4">
      <w:pPr>
        <w:numPr>
          <w:ilvl w:val="0"/>
          <w:numId w:val="2"/>
        </w:numPr>
        <w:spacing w:beforeLines="50" w:afterLines="50"/>
      </w:pPr>
      <w:r>
        <w:t>Possuir conta corrente;</w:t>
      </w:r>
    </w:p>
    <w:p w:rsidR="00F153D4" w:rsidRDefault="00F153D4" w:rsidP="00F153D4">
      <w:pPr>
        <w:numPr>
          <w:ilvl w:val="0"/>
          <w:numId w:val="2"/>
        </w:numPr>
        <w:spacing w:beforeLines="50" w:afterLines="50"/>
      </w:pPr>
      <w:r>
        <w:t>Possuir financiamento em seu nome;</w:t>
      </w:r>
    </w:p>
    <w:p w:rsidR="00F153D4" w:rsidRDefault="00F153D4" w:rsidP="00F153D4">
      <w:pPr>
        <w:numPr>
          <w:ilvl w:val="0"/>
          <w:numId w:val="2"/>
        </w:numPr>
        <w:spacing w:beforeLines="50" w:afterLines="50"/>
      </w:pPr>
      <w:r>
        <w:t>Receber alguma remuneração por sua participação no trabalho familiar agrícola;</w:t>
      </w:r>
    </w:p>
    <w:p w:rsidR="00F153D4" w:rsidRDefault="00F153D4" w:rsidP="00F153D4">
      <w:pPr>
        <w:numPr>
          <w:ilvl w:val="0"/>
          <w:numId w:val="2"/>
        </w:numPr>
        <w:spacing w:beforeLines="50" w:afterLines="50"/>
      </w:pPr>
      <w:r>
        <w:t>Desenvolver alguma atividade produtiva autônoma na propriedade.</w:t>
      </w:r>
    </w:p>
    <w:p w:rsidR="00F153D4" w:rsidRDefault="00F153D4" w:rsidP="00F153D4">
      <w:pPr>
        <w:spacing w:beforeLines="50" w:afterLines="50"/>
      </w:pPr>
    </w:p>
    <w:p w:rsidR="00F153D4" w:rsidRDefault="00F153D4" w:rsidP="00F153D4">
      <w:pPr>
        <w:spacing w:beforeLines="50" w:afterLines="50"/>
        <w:ind w:left="360" w:firstLine="348"/>
      </w:pPr>
      <w:r>
        <w:t xml:space="preserve">A partir das respostas obtidas sobre a participação dos jovens em cada um destes indicadores do processo sucessório, foi construído um índice de autonomia, o que possibilitou mensurar o nível de </w:t>
      </w:r>
      <w:r>
        <w:lastRenderedPageBreak/>
        <w:t>envolvimento na transmissão dos saberes relacionados à prática agrícola e o conseqüente processo de responsabilização frente à gestão da propriedade, o que pode ser observado no gráfico abaixo:</w:t>
      </w:r>
    </w:p>
    <w:p w:rsidR="00F153D4" w:rsidRDefault="00F153D4" w:rsidP="00F153D4">
      <w:pPr>
        <w:spacing w:beforeLines="50" w:afterLines="50"/>
        <w:ind w:left="360" w:firstLine="348"/>
        <w:rPr>
          <w:b/>
          <w:sz w:val="20"/>
          <w:szCs w:val="20"/>
        </w:rPr>
      </w:pPr>
    </w:p>
    <w:p w:rsidR="00F153D4" w:rsidRDefault="00F153D4" w:rsidP="00F153D4">
      <w:pPr>
        <w:spacing w:beforeLines="50" w:afterLines="50"/>
        <w:jc w:val="center"/>
        <w:rPr>
          <w:b/>
          <w:sz w:val="20"/>
          <w:szCs w:val="20"/>
        </w:rPr>
      </w:pPr>
      <w:r>
        <w:rPr>
          <w:b/>
          <w:sz w:val="20"/>
          <w:szCs w:val="20"/>
        </w:rPr>
        <w:t xml:space="preserve">        Gráfico 01. Índice de autonomia do jovem agricultor familiar segundo o sexo do entrevistado.</w:t>
      </w:r>
    </w:p>
    <w:p w:rsidR="00F153D4" w:rsidRDefault="00F153D4" w:rsidP="00F153D4">
      <w:pPr>
        <w:spacing w:beforeLines="50" w:afterLines="50"/>
        <w:ind w:left="357" w:firstLine="346"/>
      </w:pPr>
      <w:r>
        <w:t xml:space="preserve">           </w:t>
      </w:r>
      <w:r w:rsidR="00572729">
        <w:rPr>
          <w:noProof/>
          <w:lang w:eastAsia="pt-BR"/>
        </w:rPr>
        <w:drawing>
          <wp:inline distT="0" distB="0" distL="0" distR="0">
            <wp:extent cx="4214495" cy="2515870"/>
            <wp:effectExtent l="0" t="0" r="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214495" cy="2515870"/>
                    </a:xfrm>
                    <a:prstGeom prst="rect">
                      <a:avLst/>
                    </a:prstGeom>
                    <a:noFill/>
                    <a:ln w="9525">
                      <a:noFill/>
                      <a:miter lim="800000"/>
                      <a:headEnd/>
                      <a:tailEnd/>
                    </a:ln>
                  </pic:spPr>
                </pic:pic>
              </a:graphicData>
            </a:graphic>
          </wp:inline>
        </w:drawing>
      </w:r>
    </w:p>
    <w:p w:rsidR="00F153D4" w:rsidRDefault="00F153D4" w:rsidP="00F153D4">
      <w:pPr>
        <w:spacing w:beforeLines="50" w:afterLines="50"/>
        <w:ind w:left="1773" w:firstLine="351"/>
      </w:pPr>
      <w:r>
        <w:rPr>
          <w:sz w:val="16"/>
          <w:szCs w:val="16"/>
        </w:rPr>
        <w:t>Fonte: Banco de dados Jovens da Agricultura familiar no RS; MDA/FAURGS, 2007</w:t>
      </w:r>
    </w:p>
    <w:p w:rsidR="00F153D4" w:rsidRDefault="00F153D4" w:rsidP="00F153D4">
      <w:pPr>
        <w:spacing w:beforeLines="50" w:afterLines="50"/>
        <w:ind w:left="360" w:firstLine="348"/>
      </w:pPr>
    </w:p>
    <w:p w:rsidR="00F153D4" w:rsidRDefault="00F153D4" w:rsidP="00F153D4">
      <w:pPr>
        <w:spacing w:beforeLines="50" w:afterLines="50"/>
        <w:ind w:left="360" w:firstLine="348"/>
      </w:pPr>
      <w:r>
        <w:tab/>
        <w:t>De modo geral, os jovens apresentam um baixo nível de autonomia, o que é mais presente entre as mulheres. O gráfico permite contrastar a predominante presença das mulheres entre os jovens com baixa autonomia e a maior presença de homens entre aqueles com níveis de autonomia superiores à média. Quando perguntados se pretendem se estabelecer profissionalmente como agricultores, as respostas são ainda mais contrastantes segundo o sexo do entrevistado, retomando a problemática central da evasão feminina do trabalho familiar agrícola, como pode ser verificado abaixo:</w:t>
      </w:r>
    </w:p>
    <w:p w:rsidR="00F153D4" w:rsidRDefault="00F153D4" w:rsidP="00F153D4">
      <w:pPr>
        <w:spacing w:beforeLines="50" w:afterLines="50"/>
      </w:pPr>
    </w:p>
    <w:p w:rsidR="00F153D4" w:rsidRDefault="00572729" w:rsidP="00F153D4">
      <w:pPr>
        <w:spacing w:beforeLines="50" w:afterLines="50"/>
        <w:ind w:left="360" w:firstLine="348"/>
        <w:jc w:val="center"/>
        <w:rPr>
          <w:b/>
        </w:rPr>
      </w:pPr>
      <w:r>
        <w:rPr>
          <w:b/>
          <w:noProof/>
          <w:lang w:eastAsia="pt-BR"/>
        </w:rPr>
        <w:drawing>
          <wp:anchor distT="0" distB="0" distL="114300" distR="114300" simplePos="0" relativeHeight="251620864" behindDoc="0" locked="0" layoutInCell="1" allowOverlap="1">
            <wp:simplePos x="0" y="0"/>
            <wp:positionH relativeFrom="column">
              <wp:posOffset>1028700</wp:posOffset>
            </wp:positionH>
            <wp:positionV relativeFrom="paragraph">
              <wp:posOffset>236220</wp:posOffset>
            </wp:positionV>
            <wp:extent cx="4176395" cy="2590800"/>
            <wp:effectExtent l="0" t="0" r="0" b="0"/>
            <wp:wrapNone/>
            <wp:docPr id="17"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F153D4">
        <w:rPr>
          <w:b/>
        </w:rPr>
        <w:t>Gráfico 02. Projetos profissionais dos jovens agricultores.</w:t>
      </w:r>
    </w:p>
    <w:p w:rsidR="00F153D4" w:rsidRDefault="00F153D4" w:rsidP="00F153D4">
      <w:pPr>
        <w:spacing w:beforeLines="50" w:afterLines="50"/>
        <w:ind w:left="360" w:firstLine="348"/>
      </w:pPr>
    </w:p>
    <w:p w:rsidR="00F153D4" w:rsidRDefault="00F153D4" w:rsidP="00F153D4">
      <w:pPr>
        <w:spacing w:beforeLines="50" w:afterLines="50"/>
        <w:ind w:left="360" w:firstLine="348"/>
      </w:pPr>
    </w:p>
    <w:p w:rsidR="00F153D4" w:rsidRDefault="00F153D4" w:rsidP="00F153D4">
      <w:pPr>
        <w:spacing w:beforeLines="50" w:afterLines="50"/>
        <w:ind w:left="360" w:firstLine="348"/>
      </w:pPr>
    </w:p>
    <w:p w:rsidR="00F153D4" w:rsidRDefault="00F153D4" w:rsidP="00F153D4">
      <w:pPr>
        <w:spacing w:beforeLines="50" w:afterLines="50"/>
        <w:ind w:left="360" w:firstLine="348"/>
      </w:pPr>
    </w:p>
    <w:p w:rsidR="00F153D4" w:rsidRDefault="00F153D4" w:rsidP="00F153D4"/>
    <w:p w:rsidR="00F153D4" w:rsidRDefault="00F153D4" w:rsidP="00F153D4"/>
    <w:p w:rsidR="00F153D4" w:rsidRDefault="00F153D4" w:rsidP="00F153D4"/>
    <w:p w:rsidR="00F153D4" w:rsidRDefault="00F153D4" w:rsidP="00F153D4"/>
    <w:p w:rsidR="00F153D4" w:rsidRDefault="00F153D4" w:rsidP="00F153D4"/>
    <w:p w:rsidR="00F153D4" w:rsidRDefault="00F153D4" w:rsidP="00F153D4"/>
    <w:p w:rsidR="00F153D4" w:rsidRDefault="00F153D4" w:rsidP="00F153D4"/>
    <w:p w:rsidR="00F153D4" w:rsidRDefault="00F153D4" w:rsidP="00F153D4">
      <w:pPr>
        <w:tabs>
          <w:tab w:val="left" w:pos="3630"/>
        </w:tabs>
        <w:ind w:firstLine="2124"/>
        <w:rPr>
          <w:sz w:val="16"/>
          <w:szCs w:val="16"/>
        </w:rPr>
      </w:pPr>
      <w:r>
        <w:rPr>
          <w:sz w:val="16"/>
          <w:szCs w:val="16"/>
        </w:rPr>
        <w:t>Fonte: Banco de Dados Jovens da Agricultura Familiar no RS; MDA/FAURGS, 2007.</w:t>
      </w:r>
    </w:p>
    <w:p w:rsidR="00F153D4" w:rsidRDefault="00F153D4" w:rsidP="00F153D4">
      <w:pPr>
        <w:tabs>
          <w:tab w:val="left" w:pos="3630"/>
        </w:tabs>
        <w:jc w:val="center"/>
        <w:rPr>
          <w:sz w:val="16"/>
          <w:szCs w:val="16"/>
        </w:rPr>
      </w:pPr>
    </w:p>
    <w:p w:rsidR="00F153D4" w:rsidRDefault="00F153D4" w:rsidP="00F153D4">
      <w:pPr>
        <w:tabs>
          <w:tab w:val="left" w:pos="3630"/>
        </w:tabs>
        <w:rPr>
          <w:sz w:val="16"/>
          <w:szCs w:val="16"/>
        </w:rPr>
      </w:pPr>
    </w:p>
    <w:p w:rsidR="00F153D4" w:rsidRDefault="00F153D4" w:rsidP="00F153D4">
      <w:pPr>
        <w:tabs>
          <w:tab w:val="left" w:pos="3630"/>
        </w:tabs>
        <w:rPr>
          <w:sz w:val="16"/>
          <w:szCs w:val="16"/>
        </w:rPr>
      </w:pPr>
    </w:p>
    <w:p w:rsidR="00F153D4" w:rsidRDefault="00F153D4" w:rsidP="00F153D4">
      <w:pPr>
        <w:tabs>
          <w:tab w:val="left" w:pos="0"/>
        </w:tabs>
        <w:ind w:left="709"/>
        <w:rPr>
          <w:sz w:val="16"/>
          <w:szCs w:val="16"/>
        </w:rPr>
      </w:pPr>
      <w:r>
        <w:rPr>
          <w:sz w:val="16"/>
          <w:szCs w:val="16"/>
        </w:rPr>
        <w:tab/>
      </w:r>
    </w:p>
    <w:p w:rsidR="00F153D4" w:rsidRDefault="00F153D4" w:rsidP="00F153D4">
      <w:pPr>
        <w:tabs>
          <w:tab w:val="left" w:pos="0"/>
        </w:tabs>
        <w:ind w:left="709"/>
      </w:pPr>
      <w:r>
        <w:rPr>
          <w:sz w:val="16"/>
          <w:szCs w:val="16"/>
        </w:rPr>
        <w:tab/>
      </w:r>
      <w:r>
        <w:t>O dado mais interessante sobre a autonomia das jovens agricultoras é obtido, entretanto, quando efetuamos o cruzamento do índice de autonomia com os projetos profissionais por eles intencionados. A partir deste procedimento, podemos identificar a associação existente entre o papel social assumido pelo jovem agricultor (aqui representado pelo índice de autonomia) e a formulação de seus projetos profissionais, sejam eles de evasão ou permanência na atividade agrícola familiar. O resultado obtido pode ser apresentado no seguinte gráfico:</w:t>
      </w:r>
    </w:p>
    <w:p w:rsidR="00F153D4" w:rsidRDefault="00F153D4" w:rsidP="00F153D4">
      <w:pPr>
        <w:tabs>
          <w:tab w:val="left" w:pos="0"/>
        </w:tabs>
        <w:ind w:left="709"/>
      </w:pPr>
    </w:p>
    <w:p w:rsidR="00F153D4" w:rsidRDefault="00F153D4" w:rsidP="00F153D4">
      <w:pPr>
        <w:tabs>
          <w:tab w:val="left" w:pos="0"/>
        </w:tabs>
        <w:ind w:left="709"/>
        <w:rPr>
          <w:b/>
        </w:rPr>
      </w:pPr>
    </w:p>
    <w:p w:rsidR="00F153D4" w:rsidRDefault="00F153D4" w:rsidP="00F153D4">
      <w:pPr>
        <w:tabs>
          <w:tab w:val="left" w:pos="0"/>
        </w:tabs>
        <w:ind w:left="709"/>
        <w:rPr>
          <w:b/>
        </w:rPr>
      </w:pPr>
    </w:p>
    <w:p w:rsidR="00F153D4" w:rsidRDefault="00F153D4" w:rsidP="00F153D4">
      <w:pPr>
        <w:tabs>
          <w:tab w:val="left" w:pos="0"/>
        </w:tabs>
        <w:ind w:left="709"/>
        <w:rPr>
          <w:b/>
        </w:rPr>
      </w:pPr>
    </w:p>
    <w:p w:rsidR="00F153D4" w:rsidRDefault="00572729" w:rsidP="00F153D4">
      <w:pPr>
        <w:tabs>
          <w:tab w:val="left" w:pos="0"/>
        </w:tabs>
        <w:ind w:left="709"/>
        <w:jc w:val="center"/>
      </w:pPr>
      <w:r>
        <w:rPr>
          <w:noProof/>
          <w:lang w:eastAsia="pt-BR"/>
        </w:rPr>
        <w:drawing>
          <wp:anchor distT="0" distB="0" distL="114300" distR="114300" simplePos="0" relativeHeight="251621888" behindDoc="0" locked="0" layoutInCell="1" allowOverlap="1">
            <wp:simplePos x="0" y="0"/>
            <wp:positionH relativeFrom="column">
              <wp:posOffset>457200</wp:posOffset>
            </wp:positionH>
            <wp:positionV relativeFrom="paragraph">
              <wp:posOffset>457200</wp:posOffset>
            </wp:positionV>
            <wp:extent cx="5095875" cy="2476500"/>
            <wp:effectExtent l="0" t="0" r="0" b="0"/>
            <wp:wrapNone/>
            <wp:docPr id="1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095875" cy="2476500"/>
                    </a:xfrm>
                    <a:prstGeom prst="rect">
                      <a:avLst/>
                    </a:prstGeom>
                    <a:noFill/>
                    <a:ln w="9525">
                      <a:noFill/>
                      <a:miter lim="800000"/>
                      <a:headEnd/>
                      <a:tailEnd/>
                    </a:ln>
                  </pic:spPr>
                </pic:pic>
              </a:graphicData>
            </a:graphic>
          </wp:anchor>
        </w:drawing>
      </w:r>
      <w:r w:rsidR="00F153D4">
        <w:rPr>
          <w:b/>
        </w:rPr>
        <w:t>Gráfico 03. Índice de autonomia e projetos profissionais dos jovens agricultores</w:t>
      </w:r>
      <w:r w:rsidR="00F153D4">
        <w:t xml:space="preserve"> </w:t>
      </w:r>
      <w:r w:rsidR="00F153D4">
        <w:rPr>
          <w:b/>
        </w:rPr>
        <w:t>(pergunta</w:t>
      </w:r>
      <w:r w:rsidR="00F153D4">
        <w:rPr>
          <w:b/>
          <w:i/>
        </w:rPr>
        <w:t>: pretende se estabelecer profissionalmente como agricultor(a) familiar?</w:t>
      </w:r>
      <w:r w:rsidR="00F153D4">
        <w:rPr>
          <w:b/>
        </w:rPr>
        <w:t>)</w:t>
      </w:r>
    </w:p>
    <w:p w:rsidR="00F153D4" w:rsidRDefault="00F153D4" w:rsidP="00F153D4">
      <w:pPr>
        <w:tabs>
          <w:tab w:val="left" w:pos="0"/>
        </w:tabs>
      </w:pPr>
    </w:p>
    <w:p w:rsidR="00F153D4" w:rsidRDefault="00F153D4" w:rsidP="00F153D4"/>
    <w:p w:rsidR="00F153D4" w:rsidRDefault="00F153D4" w:rsidP="00F153D4"/>
    <w:p w:rsidR="00F153D4" w:rsidRDefault="00F153D4" w:rsidP="00F153D4"/>
    <w:p w:rsidR="00F153D4" w:rsidRDefault="00F153D4" w:rsidP="00F153D4"/>
    <w:p w:rsidR="00F153D4" w:rsidRDefault="00F153D4" w:rsidP="00F153D4"/>
    <w:p w:rsidR="00F153D4" w:rsidRDefault="00F153D4" w:rsidP="00F153D4">
      <w:pPr>
        <w:tabs>
          <w:tab w:val="left" w:pos="3630"/>
        </w:tabs>
      </w:pPr>
    </w:p>
    <w:p w:rsidR="00F153D4" w:rsidRDefault="00F153D4" w:rsidP="00F153D4">
      <w:pPr>
        <w:tabs>
          <w:tab w:val="left" w:pos="3630"/>
        </w:tabs>
      </w:pPr>
    </w:p>
    <w:p w:rsidR="00F153D4" w:rsidRDefault="00F153D4" w:rsidP="00F153D4">
      <w:pPr>
        <w:tabs>
          <w:tab w:val="left" w:pos="3630"/>
        </w:tabs>
      </w:pPr>
    </w:p>
    <w:p w:rsidR="00F153D4" w:rsidRDefault="00F153D4" w:rsidP="00F153D4">
      <w:pPr>
        <w:tabs>
          <w:tab w:val="left" w:pos="3630"/>
        </w:tabs>
      </w:pPr>
    </w:p>
    <w:p w:rsidR="00F153D4" w:rsidRDefault="00F153D4" w:rsidP="00F153D4">
      <w:pPr>
        <w:tabs>
          <w:tab w:val="left" w:pos="3630"/>
        </w:tabs>
      </w:pPr>
    </w:p>
    <w:p w:rsidR="00F153D4" w:rsidRDefault="00F153D4" w:rsidP="00F153D4">
      <w:pPr>
        <w:tabs>
          <w:tab w:val="left" w:pos="3630"/>
        </w:tabs>
      </w:pPr>
    </w:p>
    <w:p w:rsidR="00F153D4" w:rsidRDefault="00F153D4" w:rsidP="00F153D4">
      <w:pPr>
        <w:tabs>
          <w:tab w:val="left" w:pos="3630"/>
        </w:tabs>
      </w:pPr>
    </w:p>
    <w:p w:rsidR="00F153D4" w:rsidRDefault="00F153D4" w:rsidP="00F153D4">
      <w:pPr>
        <w:tabs>
          <w:tab w:val="left" w:pos="3630"/>
        </w:tabs>
      </w:pPr>
      <w:r>
        <w:t xml:space="preserve">                     </w:t>
      </w:r>
    </w:p>
    <w:p w:rsidR="00F153D4" w:rsidRDefault="00F153D4" w:rsidP="00F153D4">
      <w:pPr>
        <w:tabs>
          <w:tab w:val="left" w:pos="3630"/>
        </w:tabs>
      </w:pPr>
      <w:r>
        <w:t xml:space="preserve">                                </w:t>
      </w:r>
      <w:r>
        <w:rPr>
          <w:sz w:val="16"/>
          <w:szCs w:val="16"/>
        </w:rPr>
        <w:t>Fonte: Banco de Dados Jovens da Agricultura Familiar no RS; MDA/FAURGS, 2007.</w:t>
      </w:r>
    </w:p>
    <w:p w:rsidR="00F153D4" w:rsidRDefault="00F153D4" w:rsidP="00F153D4">
      <w:pPr>
        <w:tabs>
          <w:tab w:val="left" w:pos="4995"/>
        </w:tabs>
      </w:pPr>
    </w:p>
    <w:p w:rsidR="00F153D4" w:rsidRDefault="00F153D4" w:rsidP="00F153D4">
      <w:pPr>
        <w:tabs>
          <w:tab w:val="left" w:pos="4995"/>
        </w:tabs>
      </w:pPr>
    </w:p>
    <w:p w:rsidR="00F153D4" w:rsidRDefault="00F153D4" w:rsidP="00F153D4">
      <w:pPr>
        <w:tabs>
          <w:tab w:val="left" w:pos="4995"/>
        </w:tabs>
      </w:pPr>
    </w:p>
    <w:p w:rsidR="00F153D4" w:rsidRDefault="00F153D4" w:rsidP="00F153D4">
      <w:pPr>
        <w:tabs>
          <w:tab w:val="left" w:pos="0"/>
        </w:tabs>
        <w:ind w:left="709"/>
      </w:pPr>
      <w:r>
        <w:tab/>
        <w:t xml:space="preserve">Os homens, mesmo os que possuem um baixo nível de autonomia, pretendem se estabelecer profissionalmente como agricultores. Este fato se deve a outros fatores que são determinantes para a permanência destes na atividade agrícola, sejam eles a socialização no trabalho produtivo e a tradição da transmissão da propriedade para os herdeiros do sexo masculino (DEERE; LEON, 2002). É possível que isto signifique para eles que, embora tenham média ou baixa autonomia atualmente, existe a expectativa de maior autonomia no futuro, com o acesso à propriedade da terra. Entre as mulheres que possuem baixa autonomia, a intenção predominante não é a de estabelecimento na agricultura familiar, provavelmente por não poderem esperar ter maior autonomia no futuro. Entretanto, as jovens que possuem média ou alta autonomia apresentam comportamento diferenciado, havendo predominância de intenções de estabelecimento na agricultura familiar entre estas. Isto nos leva a concluir que a associação entre autonomia e projetos profissionais voltados para a agricultura é mais significativa para </w:t>
      </w:r>
      <w:r>
        <w:lastRenderedPageBreak/>
        <w:t xml:space="preserve">as mulheres do que para os homens, ou seja, o processo de autonomização da mulher pode ser considerado um possibilitador da permanência feminina na atividade agrícola familiar. </w:t>
      </w:r>
    </w:p>
    <w:p w:rsidR="00F153D4" w:rsidRDefault="00F153D4" w:rsidP="00F153D4">
      <w:pPr>
        <w:tabs>
          <w:tab w:val="left" w:pos="0"/>
        </w:tabs>
        <w:ind w:left="709"/>
      </w:pPr>
    </w:p>
    <w:p w:rsidR="00F153D4" w:rsidRDefault="00F153D4" w:rsidP="00F153D4">
      <w:pPr>
        <w:tabs>
          <w:tab w:val="left" w:pos="0"/>
        </w:tabs>
        <w:ind w:left="709"/>
        <w:rPr>
          <w:b/>
        </w:rPr>
      </w:pPr>
    </w:p>
    <w:p w:rsidR="00F153D4" w:rsidRDefault="00F153D4" w:rsidP="00F153D4">
      <w:pPr>
        <w:tabs>
          <w:tab w:val="left" w:pos="0"/>
        </w:tabs>
        <w:ind w:left="709"/>
        <w:rPr>
          <w:b/>
        </w:rPr>
      </w:pPr>
    </w:p>
    <w:p w:rsidR="00F153D4" w:rsidRDefault="00F153D4" w:rsidP="00F153D4">
      <w:pPr>
        <w:tabs>
          <w:tab w:val="left" w:pos="0"/>
        </w:tabs>
        <w:ind w:left="709"/>
        <w:rPr>
          <w:b/>
        </w:rPr>
      </w:pPr>
    </w:p>
    <w:p w:rsidR="00F153D4" w:rsidRDefault="00F153D4" w:rsidP="00F153D4">
      <w:pPr>
        <w:tabs>
          <w:tab w:val="left" w:pos="0"/>
        </w:tabs>
        <w:ind w:left="709"/>
        <w:rPr>
          <w:b/>
        </w:rPr>
      </w:pPr>
      <w:r>
        <w:rPr>
          <w:b/>
        </w:rPr>
        <w:t>Conclusões</w:t>
      </w:r>
    </w:p>
    <w:p w:rsidR="00F153D4" w:rsidRDefault="00F153D4" w:rsidP="00F153D4">
      <w:pPr>
        <w:tabs>
          <w:tab w:val="left" w:pos="0"/>
        </w:tabs>
        <w:ind w:left="709"/>
        <w:rPr>
          <w:b/>
        </w:rPr>
      </w:pPr>
      <w:r>
        <w:rPr>
          <w:b/>
        </w:rPr>
        <w:tab/>
      </w:r>
    </w:p>
    <w:p w:rsidR="00F153D4" w:rsidRDefault="00F153D4" w:rsidP="00F153D4">
      <w:pPr>
        <w:tabs>
          <w:tab w:val="left" w:pos="0"/>
        </w:tabs>
        <w:ind w:left="709"/>
      </w:pPr>
      <w:r>
        <w:rPr>
          <w:b/>
        </w:rPr>
        <w:tab/>
      </w:r>
      <w:r>
        <w:t>A partir dos dados aqui apresentados, torna-se possível avançar os estudos sociológicos sobre a reprodução do modo de produção agrícola familiar e o papel das mulheres, especialmente as jovens, fornecendo subsídios não só para o aprofundamento destas questões no universo científico, mas também para o avanço objetivado na transformação social. O fenômeno aqui abordado já há algum tempo faz parte das pautas de gestores públicos e cada vez mais se faz presente no debate sobre a questão agrária brasileira. Merece, todavia, maior concentração de esforços em sua superação para que o conhecimento desenvolvido não sirva apenas à massa crítica das Ciências Sociais, mas seja objetivado na formulação de políticas públicas que efetivamente promovam a igualdade de gênero no universo rural. A partir dos objetivos propostos para esta abordagem, quatro conclusões podem ser formuladas a fim de contribuir para este processo:</w:t>
      </w:r>
    </w:p>
    <w:p w:rsidR="00F153D4" w:rsidRDefault="00F153D4" w:rsidP="00F153D4">
      <w:pPr>
        <w:tabs>
          <w:tab w:val="left" w:pos="0"/>
        </w:tabs>
        <w:ind w:left="709"/>
      </w:pPr>
      <w:r>
        <w:t>a) os jovens que participam da atividade familiar agrícola familiar pouco acessam os recursos materiais provindos desta atividade;</w:t>
      </w:r>
    </w:p>
    <w:p w:rsidR="00F153D4" w:rsidRDefault="00F153D4" w:rsidP="00F153D4">
      <w:pPr>
        <w:tabs>
          <w:tab w:val="left" w:pos="0"/>
        </w:tabs>
        <w:ind w:left="709"/>
      </w:pPr>
      <w:r>
        <w:t>b) em todos indicadores de autonomia considerados, as mulheres apresentam desvantagens em relação aos homens;</w:t>
      </w:r>
    </w:p>
    <w:p w:rsidR="00F153D4" w:rsidRDefault="00F153D4" w:rsidP="00F153D4">
      <w:pPr>
        <w:tabs>
          <w:tab w:val="left" w:pos="0"/>
        </w:tabs>
        <w:ind w:left="709"/>
      </w:pPr>
      <w:r>
        <w:t>c) Os homens formulam projetos de permanência na atividade agrícola mais do que as mulheres;</w:t>
      </w:r>
    </w:p>
    <w:p w:rsidR="00F153D4" w:rsidRDefault="00F153D4" w:rsidP="00F153D4">
      <w:pPr>
        <w:tabs>
          <w:tab w:val="left" w:pos="0"/>
        </w:tabs>
        <w:ind w:left="709"/>
      </w:pPr>
      <w:r>
        <w:t>d) A associação entre autonomia e projetos profissionais é mais significativa para as mulheres que para os homens.</w:t>
      </w:r>
    </w:p>
    <w:p w:rsidR="00F153D4" w:rsidRDefault="00F153D4" w:rsidP="00F153D4">
      <w:pPr>
        <w:tabs>
          <w:tab w:val="left" w:pos="0"/>
        </w:tabs>
        <w:ind w:left="709"/>
      </w:pPr>
      <w:r>
        <w:tab/>
        <w:t xml:space="preserve">Conclui-se, assim, que, pensar estratégias de reprodução do modo agrícola familiar implica pensar estratégias de autonomização e empoderamento das mulheres em seus núcleos familiares. Estes processos podem ser operacionalizados – entre outras ações – na facilitação do acesso das mulheres aos </w:t>
      </w:r>
      <w:r>
        <w:lastRenderedPageBreak/>
        <w:t>recursos materiais necessários à prática agropecuária (terra, renda e crédito) e numa educação formal contextualizada ao seu meio, onde o investimento em educação não corresponda necessariamente a um investimento em sua evasão do meio rural.</w:t>
      </w:r>
    </w:p>
    <w:p w:rsidR="00F153D4" w:rsidRDefault="00F153D4" w:rsidP="00F153D4">
      <w:pPr>
        <w:tabs>
          <w:tab w:val="left" w:pos="0"/>
        </w:tabs>
        <w:ind w:left="709"/>
      </w:pPr>
    </w:p>
    <w:p w:rsidR="00F153D4" w:rsidRDefault="00F153D4" w:rsidP="00F153D4">
      <w:pPr>
        <w:tabs>
          <w:tab w:val="left" w:pos="0"/>
        </w:tabs>
        <w:ind w:left="709"/>
      </w:pPr>
    </w:p>
    <w:p w:rsidR="00F153D4" w:rsidRDefault="00F153D4" w:rsidP="00F153D4">
      <w:pPr>
        <w:rPr>
          <w:b/>
        </w:rPr>
      </w:pPr>
    </w:p>
    <w:p w:rsidR="00F153D4" w:rsidRDefault="00F153D4" w:rsidP="00F153D4">
      <w:pPr>
        <w:rPr>
          <w:b/>
        </w:rPr>
      </w:pPr>
    </w:p>
    <w:p w:rsidR="00F153D4" w:rsidRDefault="00F153D4" w:rsidP="00F153D4">
      <w:pPr>
        <w:rPr>
          <w:b/>
        </w:rPr>
      </w:pPr>
    </w:p>
    <w:p w:rsidR="00F153D4" w:rsidRDefault="00F153D4" w:rsidP="00F153D4">
      <w:pPr>
        <w:rPr>
          <w:b/>
        </w:rPr>
      </w:pPr>
      <w:r>
        <w:rPr>
          <w:b/>
        </w:rPr>
        <w:t>Referências Bibliográficas</w:t>
      </w:r>
    </w:p>
    <w:p w:rsidR="00F153D4" w:rsidRDefault="00F153D4" w:rsidP="00F153D4">
      <w:pPr>
        <w:autoSpaceDE w:val="0"/>
        <w:autoSpaceDN w:val="0"/>
        <w:adjustRightInd w:val="0"/>
        <w:rPr>
          <w:color w:val="000000"/>
        </w:rPr>
      </w:pPr>
    </w:p>
    <w:p w:rsidR="00F153D4" w:rsidRDefault="00F153D4" w:rsidP="00F153D4">
      <w:pPr>
        <w:autoSpaceDE w:val="0"/>
        <w:autoSpaceDN w:val="0"/>
        <w:adjustRightInd w:val="0"/>
        <w:rPr>
          <w:color w:val="000000"/>
        </w:rPr>
      </w:pPr>
      <w:r>
        <w:rPr>
          <w:color w:val="000000"/>
        </w:rPr>
        <w:t>ABRAMO, Laís; ABREU, Alice R. de Paiva (orgs.).  Gênero e Trabalho na Sociologia Latino-americana. Rio de Janeiro: ALAST, 1998.</w:t>
      </w:r>
    </w:p>
    <w:p w:rsidR="00F153D4" w:rsidRDefault="00F153D4" w:rsidP="00F153D4">
      <w:pPr>
        <w:autoSpaceDE w:val="0"/>
        <w:autoSpaceDN w:val="0"/>
        <w:adjustRightInd w:val="0"/>
      </w:pPr>
      <w:r>
        <w:rPr>
          <w:color w:val="000000"/>
        </w:rPr>
        <w:t xml:space="preserve">ABRAMOVAY, R. et alii. </w:t>
      </w:r>
      <w:r>
        <w:rPr>
          <w:i/>
          <w:color w:val="000000"/>
        </w:rPr>
        <w:t>Juventude e agricultura familiar</w:t>
      </w:r>
      <w:r>
        <w:rPr>
          <w:b/>
          <w:color w:val="000000"/>
        </w:rPr>
        <w:t>:</w:t>
      </w:r>
      <w:r>
        <w:rPr>
          <w:color w:val="000000"/>
        </w:rPr>
        <w:t xml:space="preserve"> desafios dos novos padrões sucessórios. Brasília: Edições Unesco, 1998. </w:t>
      </w:r>
      <w:r>
        <w:t xml:space="preserve"> </w:t>
      </w:r>
    </w:p>
    <w:p w:rsidR="00F153D4" w:rsidRDefault="00F153D4" w:rsidP="00F153D4">
      <w:r>
        <w:rPr>
          <w:color w:val="000000"/>
          <w:szCs w:val="20"/>
        </w:rPr>
        <w:t xml:space="preserve">ABRAMOVAY, Ricardo (Coord.). </w:t>
      </w:r>
      <w:r>
        <w:rPr>
          <w:i/>
          <w:color w:val="000000"/>
          <w:szCs w:val="20"/>
        </w:rPr>
        <w:t>Os impasses Sociais da Sucessão Hereditária na Agricultura Familiar</w:t>
      </w:r>
      <w:r>
        <w:rPr>
          <w:color w:val="000000"/>
          <w:szCs w:val="20"/>
        </w:rPr>
        <w:t>. Florianópolis: Epagri; Brasilia: Nrad / Ministério do Desenvolvimentos Agrário, 2001.</w:t>
      </w:r>
    </w:p>
    <w:p w:rsidR="00F153D4" w:rsidRDefault="00F153D4" w:rsidP="00F153D4">
      <w:r>
        <w:t xml:space="preserve">BOURDIEU, Pierre. </w:t>
      </w:r>
      <w:r>
        <w:rPr>
          <w:i/>
        </w:rPr>
        <w:t>A dominação masculina</w:t>
      </w:r>
      <w:r>
        <w:t>. Rio de Janeiro: Bertrand Brasil, 2005.</w:t>
      </w:r>
    </w:p>
    <w:p w:rsidR="00F153D4" w:rsidRDefault="00F153D4" w:rsidP="00F153D4">
      <w:pPr>
        <w:rPr>
          <w:color w:val="000000"/>
        </w:rPr>
      </w:pPr>
      <w:r>
        <w:t xml:space="preserve">BRUMER, Anita. </w:t>
      </w:r>
      <w:r>
        <w:rPr>
          <w:i/>
        </w:rPr>
        <w:t>Gênero e agricultura: a situação da mulher na agricultura do Rio Grande do Sul.</w:t>
      </w:r>
      <w:r>
        <w:t xml:space="preserve"> In: Estudos Feministas, </w:t>
      </w:r>
      <w:r>
        <w:rPr>
          <w:color w:val="000000"/>
        </w:rPr>
        <w:t>Rio de Janeiro Vol. 12, n. 1 (jan./abr. 2004), p. 205-227.</w:t>
      </w:r>
    </w:p>
    <w:p w:rsidR="00F153D4" w:rsidRDefault="00F153D4" w:rsidP="00F153D4">
      <w:pPr>
        <w:rPr>
          <w:color w:val="000000"/>
          <w:szCs w:val="20"/>
        </w:rPr>
      </w:pPr>
      <w:r>
        <w:rPr>
          <w:color w:val="000000"/>
          <w:szCs w:val="20"/>
        </w:rPr>
        <w:t xml:space="preserve">BRUMER, Anita; ROSAS, Eduardo Nunes L.; WEISHEIMER, Nilson. </w:t>
      </w:r>
      <w:r>
        <w:rPr>
          <w:i/>
          <w:color w:val="000000"/>
          <w:szCs w:val="20"/>
        </w:rPr>
        <w:t>Juventude rural e divisão do trabalho na unidade de produção familiar</w:t>
      </w:r>
      <w:r>
        <w:rPr>
          <w:i/>
          <w:iCs/>
          <w:color w:val="000000"/>
          <w:szCs w:val="20"/>
        </w:rPr>
        <w:t xml:space="preserve">. </w:t>
      </w:r>
      <w:r>
        <w:rPr>
          <w:color w:val="000000"/>
          <w:szCs w:val="20"/>
        </w:rPr>
        <w:t xml:space="preserve">In: </w:t>
      </w:r>
      <w:r>
        <w:rPr>
          <w:bCs/>
          <w:color w:val="000000"/>
          <w:szCs w:val="20"/>
        </w:rPr>
        <w:t>X Congresso</w:t>
      </w:r>
      <w:r>
        <w:rPr>
          <w:b/>
          <w:bCs/>
          <w:color w:val="000000"/>
          <w:szCs w:val="20"/>
        </w:rPr>
        <w:t xml:space="preserve"> </w:t>
      </w:r>
      <w:r>
        <w:rPr>
          <w:bCs/>
          <w:color w:val="000000"/>
          <w:szCs w:val="20"/>
        </w:rPr>
        <w:t>da International</w:t>
      </w:r>
      <w:r>
        <w:rPr>
          <w:b/>
          <w:bCs/>
          <w:color w:val="000000"/>
          <w:szCs w:val="20"/>
        </w:rPr>
        <w:t xml:space="preserve"> </w:t>
      </w:r>
      <w:r>
        <w:rPr>
          <w:bCs/>
          <w:color w:val="000000"/>
          <w:szCs w:val="20"/>
        </w:rPr>
        <w:t>Rural Sociology Association (IRSA)</w:t>
      </w:r>
      <w:r>
        <w:rPr>
          <w:color w:val="000000"/>
          <w:szCs w:val="20"/>
        </w:rPr>
        <w:t>. Rio de Janeiro, 2000.</w:t>
      </w:r>
    </w:p>
    <w:p w:rsidR="00F153D4" w:rsidRDefault="00F153D4" w:rsidP="00F153D4">
      <w:pPr>
        <w:autoSpaceDE w:val="0"/>
        <w:autoSpaceDN w:val="0"/>
        <w:adjustRightInd w:val="0"/>
      </w:pPr>
      <w:r>
        <w:t>BRUMER, Anita</w:t>
      </w:r>
      <w:r>
        <w:rPr>
          <w:i/>
          <w:iCs/>
        </w:rPr>
        <w:t xml:space="preserve">. Mulher e desenvolvimento rural. </w:t>
      </w:r>
      <w:r>
        <w:t>In: PREVESLAU, Clio. ALMEIDA, F. Rodrigues e ALMEIDA J. Anécio (org.) Mulher, Família e Desenvolvimento Rural. Santa Maria RS: Ed. da UFSM,1996.</w:t>
      </w:r>
    </w:p>
    <w:p w:rsidR="00F153D4" w:rsidRDefault="00F153D4" w:rsidP="00F153D4">
      <w:pPr>
        <w:keepLines/>
      </w:pPr>
      <w:r>
        <w:t xml:space="preserve">CAMARANO, Ana Amélia; ABRAMOVAY, Ricardo. </w:t>
      </w:r>
      <w:r>
        <w:rPr>
          <w:i/>
          <w:iCs/>
        </w:rPr>
        <w:t>Êxodo rural, envelhecimento e masculinização no Brasil</w:t>
      </w:r>
      <w:r>
        <w:t xml:space="preserve">: panorama dos últimos cinqüenta anos. Rio de Janeiro: IPEA, 1999. Série Textos para discussão. </w:t>
      </w:r>
    </w:p>
    <w:p w:rsidR="00F153D4" w:rsidRDefault="00F153D4" w:rsidP="00F153D4">
      <w:pPr>
        <w:keepLines/>
      </w:pPr>
      <w:r>
        <w:t xml:space="preserve">CATTANI, Antonio David. </w:t>
      </w:r>
      <w:r>
        <w:rPr>
          <w:i/>
        </w:rPr>
        <w:t>Trabalho &amp; Autonomia</w:t>
      </w:r>
      <w:r>
        <w:t>. Petrópolis, RJ. Ed. Vozes, 1996.</w:t>
      </w:r>
    </w:p>
    <w:p w:rsidR="00F153D4" w:rsidRDefault="00F153D4" w:rsidP="00F153D4">
      <w:r>
        <w:rPr>
          <w:szCs w:val="20"/>
        </w:rPr>
        <w:t xml:space="preserve">DEERE, Carmen; LEÓN, Magdalena. </w:t>
      </w:r>
      <w:r>
        <w:rPr>
          <w:i/>
          <w:szCs w:val="20"/>
        </w:rPr>
        <w:t>O empoderamento da mulher</w:t>
      </w:r>
      <w:r>
        <w:rPr>
          <w:szCs w:val="20"/>
        </w:rPr>
        <w:t>. Porto Alegre, Ed. da UFRGS, 2002.</w:t>
      </w:r>
    </w:p>
    <w:p w:rsidR="00F153D4" w:rsidRDefault="00F153D4" w:rsidP="00F153D4">
      <w:pPr>
        <w:rPr>
          <w:color w:val="000000"/>
        </w:rPr>
      </w:pPr>
      <w:r>
        <w:lastRenderedPageBreak/>
        <w:t>MELO, Hildete</w:t>
      </w:r>
      <w:r>
        <w:rPr>
          <w:color w:val="000000"/>
        </w:rPr>
        <w:t xml:space="preserve"> Pereira; DI SABBATO, Alberto. Mulheres rurais – invisíveis e mal remuneradas. In: </w:t>
      </w:r>
      <w:r>
        <w:rPr>
          <w:i/>
          <w:color w:val="000000"/>
        </w:rPr>
        <w:t>Gênero, agricultura familiar e reforma agrária no Mercosul</w:t>
      </w:r>
      <w:r>
        <w:rPr>
          <w:color w:val="000000"/>
        </w:rPr>
        <w:t>. Brasília: Ministério do Desenvolvimento Agrário, 2006.</w:t>
      </w:r>
    </w:p>
    <w:p w:rsidR="00F153D4" w:rsidRDefault="00F153D4" w:rsidP="00F153D4">
      <w:pPr>
        <w:rPr>
          <w:color w:val="000000"/>
        </w:rPr>
      </w:pPr>
      <w:r>
        <w:rPr>
          <w:color w:val="000000"/>
        </w:rPr>
        <w:t xml:space="preserve"> </w:t>
      </w:r>
      <w:r>
        <w:t xml:space="preserve">PAULILO, M. Ignez. Trabalho familiar: uma categoria esquecida de análise. </w:t>
      </w:r>
      <w:r>
        <w:rPr>
          <w:i/>
          <w:iCs/>
        </w:rPr>
        <w:t>Revista de Estudos Feministas,</w:t>
      </w:r>
      <w:r>
        <w:t xml:space="preserve"> Vol. 12, n. 1, 2004, p. 229/252. </w:t>
      </w:r>
    </w:p>
    <w:p w:rsidR="00F153D4" w:rsidRDefault="00F153D4" w:rsidP="00F153D4">
      <w:pPr>
        <w:rPr>
          <w:bCs/>
          <w:color w:val="000000"/>
        </w:rPr>
      </w:pPr>
      <w:r>
        <w:t xml:space="preserve">_______________. </w:t>
      </w:r>
      <w:r>
        <w:rPr>
          <w:bCs/>
          <w:color w:val="000000"/>
        </w:rPr>
        <w:t xml:space="preserve">Trabalho doméstico: reflexões a partir de Polanyi e Arendt. In: </w:t>
      </w:r>
      <w:r>
        <w:rPr>
          <w:bCs/>
          <w:i/>
          <w:color w:val="000000"/>
        </w:rPr>
        <w:t>Serviço Social em Revista</w:t>
      </w:r>
      <w:r>
        <w:rPr>
          <w:bCs/>
          <w:color w:val="000000"/>
        </w:rPr>
        <w:t xml:space="preserve">. Vol. 8, n. 1 (jul./dez. 2005). </w:t>
      </w:r>
    </w:p>
    <w:p w:rsidR="00F153D4" w:rsidRDefault="00F153D4" w:rsidP="00F153D4">
      <w:pPr>
        <w:rPr>
          <w:rFonts w:cs="Calisto MT"/>
          <w:color w:val="000000"/>
        </w:rPr>
      </w:pPr>
      <w:r>
        <w:rPr>
          <w:rFonts w:cs="Calisto MT"/>
          <w:color w:val="000000"/>
        </w:rPr>
        <w:t xml:space="preserve">VELHO, Gilberto. </w:t>
      </w:r>
      <w:r>
        <w:rPr>
          <w:rFonts w:cs="Calisto MT"/>
          <w:i/>
          <w:color w:val="000000"/>
        </w:rPr>
        <w:t>Projeto e Metamorfose: antropologia das sociedades complexas</w:t>
      </w:r>
      <w:r>
        <w:rPr>
          <w:rFonts w:cs="Calisto MT"/>
          <w:color w:val="000000"/>
        </w:rPr>
        <w:t>. Rio de Janeiro: Zahar, 1994.</w:t>
      </w:r>
    </w:p>
    <w:p w:rsidR="00F153D4" w:rsidRDefault="00F153D4" w:rsidP="00F153D4">
      <w:pPr>
        <w:rPr>
          <w:color w:val="000000"/>
        </w:rPr>
      </w:pPr>
      <w:r>
        <w:t xml:space="preserve">WEISHEIMER, Nilson. </w:t>
      </w:r>
      <w:r>
        <w:rPr>
          <w:i/>
        </w:rPr>
        <w:t xml:space="preserve">Jovens agricultores: gênero, trabalho e projetos profissionais. </w:t>
      </w:r>
      <w:r>
        <w:t>XXIX Encontro Anual da ANPOCS, 2005.</w:t>
      </w:r>
    </w:p>
    <w:p w:rsidR="00F153D4" w:rsidRDefault="00F153D4" w:rsidP="00F153D4">
      <w:pPr>
        <w:pBdr>
          <w:bottom w:val="single" w:sz="12" w:space="31" w:color="auto"/>
        </w:pBdr>
      </w:pPr>
      <w:r>
        <w:t xml:space="preserve">WEISHEIMER, Nilson. </w:t>
      </w:r>
      <w:r>
        <w:rPr>
          <w:i/>
        </w:rPr>
        <w:t>Relatório técnico da pesquisa de caracterização dos jovens na agricultura familiar no Rio Grande do Sul</w:t>
      </w:r>
      <w:r>
        <w:rPr>
          <w:b/>
        </w:rPr>
        <w:t>.</w:t>
      </w:r>
      <w:r>
        <w:t xml:space="preserve"> Porto Alegre: IFCH/UFRGS, convênio MDA/FAURGS nº 109/2006, 2007. </w:t>
      </w:r>
    </w:p>
    <w:p w:rsidR="00F153D4" w:rsidRDefault="00F153D4" w:rsidP="00F153D4">
      <w:pPr>
        <w:tabs>
          <w:tab w:val="left" w:pos="0"/>
        </w:tabs>
        <w:ind w:left="709"/>
      </w:pPr>
    </w:p>
    <w:p w:rsidR="00F153D4" w:rsidRDefault="00F153D4" w:rsidP="00F153D4">
      <w:pPr>
        <w:tabs>
          <w:tab w:val="left" w:pos="0"/>
        </w:tabs>
        <w:ind w:left="709"/>
      </w:pPr>
    </w:p>
    <w:p w:rsidR="00F153D4" w:rsidRDefault="00F153D4" w:rsidP="00F153D4">
      <w:pPr>
        <w:tabs>
          <w:tab w:val="left" w:pos="0"/>
        </w:tabs>
        <w:ind w:left="709"/>
      </w:pPr>
    </w:p>
    <w:p w:rsidR="00F153D4" w:rsidRDefault="00F153D4" w:rsidP="00F153D4">
      <w:pPr>
        <w:tabs>
          <w:tab w:val="left" w:pos="0"/>
        </w:tabs>
        <w:ind w:left="709"/>
      </w:pPr>
    </w:p>
    <w:p w:rsidR="00F153D4" w:rsidRDefault="00F153D4" w:rsidP="00F153D4">
      <w:pPr>
        <w:tabs>
          <w:tab w:val="left" w:pos="0"/>
        </w:tabs>
        <w:ind w:left="709"/>
      </w:pPr>
    </w:p>
    <w:p w:rsidR="00F153D4" w:rsidRDefault="00F153D4" w:rsidP="00F153D4">
      <w:pPr>
        <w:tabs>
          <w:tab w:val="left" w:pos="0"/>
        </w:tabs>
        <w:ind w:left="709"/>
      </w:pPr>
    </w:p>
    <w:p w:rsidR="00F153D4" w:rsidRDefault="00F153D4" w:rsidP="009741F1"/>
    <w:p w:rsidR="00F153D4" w:rsidRDefault="00F153D4"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3C742A" w:rsidRPr="001E2C63" w:rsidTr="00505E82">
        <w:tc>
          <w:tcPr>
            <w:tcW w:w="6771" w:type="dxa"/>
            <w:shd w:val="clear" w:color="auto" w:fill="auto"/>
          </w:tcPr>
          <w:p w:rsidR="00281321" w:rsidRPr="00281321" w:rsidRDefault="003C742A" w:rsidP="00281321">
            <w:pPr>
              <w:spacing w:line="240" w:lineRule="auto"/>
              <w:rPr>
                <w:rFonts w:ascii="Times New Roman" w:hAnsi="Times New Roman"/>
                <w:sz w:val="24"/>
                <w:szCs w:val="24"/>
              </w:rPr>
            </w:pPr>
            <w:r w:rsidRPr="00281321">
              <w:rPr>
                <w:rFonts w:ascii="Times New Roman" w:hAnsi="Times New Roman"/>
                <w:sz w:val="24"/>
                <w:szCs w:val="24"/>
              </w:rPr>
              <w:t xml:space="preserve">Nome </w:t>
            </w:r>
            <w:r w:rsidR="00281321" w:rsidRPr="00281321">
              <w:rPr>
                <w:rFonts w:ascii="Times New Roman" w:hAnsi="Times New Roman"/>
                <w:sz w:val="24"/>
                <w:szCs w:val="24"/>
              </w:rPr>
              <w:t>UM ESTUDO EXPLORATÓRIO SOBRE</w:t>
            </w:r>
          </w:p>
          <w:p w:rsidR="00281321" w:rsidRPr="00281321" w:rsidRDefault="00281321" w:rsidP="00281321">
            <w:pPr>
              <w:spacing w:line="240" w:lineRule="auto"/>
              <w:rPr>
                <w:rFonts w:ascii="Times New Roman" w:hAnsi="Times New Roman"/>
                <w:sz w:val="24"/>
                <w:szCs w:val="24"/>
              </w:rPr>
            </w:pPr>
            <w:r w:rsidRPr="00281321">
              <w:rPr>
                <w:rFonts w:ascii="Times New Roman" w:hAnsi="Times New Roman"/>
                <w:sz w:val="24"/>
                <w:szCs w:val="24"/>
              </w:rPr>
              <w:t xml:space="preserve">O TURISMO SEXUAL NA CIDADE DE SALVADOR </w:t>
            </w:r>
          </w:p>
          <w:p w:rsidR="003C742A" w:rsidRPr="00281321" w:rsidRDefault="00281321" w:rsidP="00281321">
            <w:pPr>
              <w:spacing w:line="240" w:lineRule="auto"/>
              <w:rPr>
                <w:rFonts w:ascii="Times New Roman" w:hAnsi="Times New Roman"/>
                <w:sz w:val="24"/>
                <w:szCs w:val="24"/>
              </w:rPr>
            </w:pPr>
            <w:r w:rsidRPr="00281321">
              <w:rPr>
                <w:rFonts w:ascii="Times New Roman" w:hAnsi="Times New Roman"/>
                <w:sz w:val="24"/>
                <w:szCs w:val="24"/>
              </w:rPr>
              <w:t>ATRAVÉS DA VISÃO DOS FACILITADORES DESSA PRÁTICA</w:t>
            </w:r>
          </w:p>
        </w:tc>
        <w:tc>
          <w:tcPr>
            <w:tcW w:w="1873" w:type="dxa"/>
            <w:vMerge w:val="restart"/>
            <w:shd w:val="clear" w:color="auto" w:fill="auto"/>
          </w:tcPr>
          <w:p w:rsidR="003C742A" w:rsidRPr="001E2C63" w:rsidRDefault="003C742A" w:rsidP="00505E82">
            <w:pPr>
              <w:spacing w:line="240" w:lineRule="auto"/>
              <w:rPr>
                <w:rFonts w:ascii="Times New Roman" w:hAnsi="Times New Roman"/>
                <w:b/>
                <w:sz w:val="36"/>
                <w:szCs w:val="36"/>
              </w:rPr>
            </w:pPr>
            <w:r>
              <w:rPr>
                <w:rFonts w:ascii="Times New Roman" w:hAnsi="Times New Roman"/>
                <w:b/>
                <w:sz w:val="36"/>
                <w:szCs w:val="36"/>
              </w:rPr>
              <w:t>A 008</w:t>
            </w:r>
          </w:p>
          <w:p w:rsidR="003C742A" w:rsidRPr="001E2C63" w:rsidRDefault="00281321" w:rsidP="00505E82">
            <w:pPr>
              <w:spacing w:line="240" w:lineRule="auto"/>
              <w:rPr>
                <w:rFonts w:ascii="Times New Roman" w:hAnsi="Times New Roman"/>
                <w:sz w:val="24"/>
                <w:szCs w:val="24"/>
              </w:rPr>
            </w:pPr>
            <w:r>
              <w:rPr>
                <w:rFonts w:ascii="Times New Roman" w:hAnsi="Times New Roman"/>
                <w:b/>
                <w:sz w:val="36"/>
                <w:szCs w:val="36"/>
              </w:rPr>
              <w:t>Menção Honrosa</w:t>
            </w:r>
          </w:p>
        </w:tc>
      </w:tr>
      <w:tr w:rsidR="003C742A" w:rsidRPr="001E2C63" w:rsidTr="00505E82">
        <w:tc>
          <w:tcPr>
            <w:tcW w:w="6771" w:type="dxa"/>
            <w:shd w:val="clear" w:color="auto" w:fill="auto"/>
          </w:tcPr>
          <w:p w:rsidR="003C742A" w:rsidRPr="00281321" w:rsidRDefault="003C742A" w:rsidP="00281321">
            <w:pPr>
              <w:spacing w:line="240" w:lineRule="auto"/>
              <w:rPr>
                <w:rFonts w:ascii="Times New Roman" w:hAnsi="Times New Roman"/>
                <w:sz w:val="24"/>
                <w:szCs w:val="24"/>
              </w:rPr>
            </w:pPr>
            <w:r w:rsidRPr="00281321">
              <w:rPr>
                <w:rFonts w:ascii="Times New Roman" w:hAnsi="Times New Roman"/>
                <w:sz w:val="24"/>
                <w:szCs w:val="24"/>
              </w:rPr>
              <w:t xml:space="preserve">Autora/o </w:t>
            </w:r>
            <w:r w:rsidR="00281321" w:rsidRPr="00281321">
              <w:rPr>
                <w:rFonts w:ascii="Times New Roman" w:hAnsi="Times New Roman"/>
                <w:sz w:val="24"/>
                <w:szCs w:val="24"/>
              </w:rPr>
              <w:t>Daphne Oliveira Soares</w:t>
            </w:r>
          </w:p>
        </w:tc>
        <w:tc>
          <w:tcPr>
            <w:tcW w:w="1873" w:type="dxa"/>
            <w:vMerge/>
            <w:shd w:val="clear" w:color="auto" w:fill="auto"/>
          </w:tcPr>
          <w:p w:rsidR="003C742A" w:rsidRPr="001E2C63" w:rsidRDefault="003C742A" w:rsidP="00505E82">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281321" w:rsidRDefault="003C742A" w:rsidP="00281321">
            <w:pPr>
              <w:spacing w:line="240" w:lineRule="auto"/>
              <w:rPr>
                <w:rFonts w:ascii="Times New Roman" w:hAnsi="Times New Roman"/>
                <w:sz w:val="24"/>
                <w:szCs w:val="24"/>
              </w:rPr>
            </w:pPr>
            <w:r w:rsidRPr="00281321">
              <w:rPr>
                <w:rFonts w:ascii="Times New Roman" w:hAnsi="Times New Roman"/>
                <w:sz w:val="24"/>
                <w:szCs w:val="24"/>
              </w:rPr>
              <w:t xml:space="preserve">Orientadora/o </w:t>
            </w:r>
            <w:r w:rsidR="00281321" w:rsidRPr="00281321">
              <w:rPr>
                <w:rFonts w:ascii="Times New Roman" w:hAnsi="Times New Roman"/>
                <w:sz w:val="24"/>
                <w:szCs w:val="24"/>
              </w:rPr>
              <w:t>Profª Ilka Bichara</w:t>
            </w:r>
          </w:p>
        </w:tc>
        <w:tc>
          <w:tcPr>
            <w:tcW w:w="1873" w:type="dxa"/>
            <w:vMerge/>
            <w:shd w:val="clear" w:color="auto" w:fill="auto"/>
          </w:tcPr>
          <w:p w:rsidR="003C742A" w:rsidRPr="001E2C63" w:rsidRDefault="003C742A" w:rsidP="00505E82">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281321" w:rsidRDefault="003C742A" w:rsidP="00281321">
            <w:pPr>
              <w:spacing w:line="240" w:lineRule="auto"/>
              <w:rPr>
                <w:rFonts w:ascii="Times New Roman" w:hAnsi="Times New Roman"/>
                <w:sz w:val="24"/>
                <w:szCs w:val="24"/>
              </w:rPr>
            </w:pPr>
            <w:r w:rsidRPr="00281321">
              <w:rPr>
                <w:rFonts w:ascii="Times New Roman" w:hAnsi="Times New Roman"/>
                <w:sz w:val="24"/>
                <w:szCs w:val="24"/>
              </w:rPr>
              <w:t>IES:</w:t>
            </w:r>
            <w:r w:rsidR="00281321" w:rsidRPr="00281321">
              <w:rPr>
                <w:rFonts w:ascii="Times New Roman" w:hAnsi="Times New Roman"/>
                <w:sz w:val="24"/>
                <w:szCs w:val="24"/>
              </w:rPr>
              <w:t xml:space="preserve"> Universidade Federal da Bahia</w:t>
            </w:r>
          </w:p>
        </w:tc>
        <w:tc>
          <w:tcPr>
            <w:tcW w:w="1873" w:type="dxa"/>
            <w:vMerge/>
            <w:shd w:val="clear" w:color="auto" w:fill="auto"/>
          </w:tcPr>
          <w:p w:rsidR="003C742A" w:rsidRPr="001E2C63" w:rsidRDefault="003C742A" w:rsidP="00505E82">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281321" w:rsidRDefault="003C742A" w:rsidP="00281321">
            <w:pPr>
              <w:spacing w:line="240" w:lineRule="auto"/>
              <w:rPr>
                <w:rFonts w:ascii="Times New Roman" w:hAnsi="Times New Roman"/>
                <w:sz w:val="24"/>
                <w:szCs w:val="24"/>
              </w:rPr>
            </w:pPr>
            <w:r w:rsidRPr="00281321">
              <w:rPr>
                <w:rFonts w:ascii="Times New Roman" w:hAnsi="Times New Roman"/>
                <w:sz w:val="24"/>
                <w:szCs w:val="24"/>
              </w:rPr>
              <w:t xml:space="preserve">Cidade/Estado: </w:t>
            </w:r>
            <w:r w:rsidR="00281321" w:rsidRPr="00281321">
              <w:rPr>
                <w:rFonts w:ascii="Times New Roman" w:hAnsi="Times New Roman"/>
                <w:sz w:val="24"/>
                <w:szCs w:val="24"/>
              </w:rPr>
              <w:t>Salvador, agosto/ 2005 a julho/ 2006</w:t>
            </w:r>
          </w:p>
        </w:tc>
        <w:tc>
          <w:tcPr>
            <w:tcW w:w="1873" w:type="dxa"/>
            <w:vMerge/>
            <w:shd w:val="clear" w:color="auto" w:fill="auto"/>
          </w:tcPr>
          <w:p w:rsidR="003C742A" w:rsidRPr="001E2C63" w:rsidRDefault="003C742A" w:rsidP="00505E82">
            <w:pPr>
              <w:spacing w:line="240" w:lineRule="auto"/>
              <w:rPr>
                <w:rFonts w:ascii="Times New Roman" w:hAnsi="Times New Roman"/>
                <w:sz w:val="24"/>
                <w:szCs w:val="24"/>
              </w:rPr>
            </w:pPr>
          </w:p>
        </w:tc>
      </w:tr>
      <w:tr w:rsidR="003C742A" w:rsidRPr="001E2C63" w:rsidTr="00505E82">
        <w:tc>
          <w:tcPr>
            <w:tcW w:w="6771" w:type="dxa"/>
            <w:shd w:val="clear" w:color="auto" w:fill="auto"/>
          </w:tcPr>
          <w:p w:rsidR="003C742A" w:rsidRPr="00281321" w:rsidRDefault="003C742A" w:rsidP="00281321">
            <w:pPr>
              <w:spacing w:line="240" w:lineRule="auto"/>
              <w:rPr>
                <w:rFonts w:ascii="Times New Roman" w:hAnsi="Times New Roman"/>
                <w:sz w:val="24"/>
                <w:szCs w:val="24"/>
              </w:rPr>
            </w:pPr>
            <w:r w:rsidRPr="00281321">
              <w:rPr>
                <w:rFonts w:ascii="Times New Roman" w:hAnsi="Times New Roman"/>
                <w:sz w:val="24"/>
                <w:szCs w:val="24"/>
              </w:rPr>
              <w:t xml:space="preserve">Outras Informações: Estudante de Graduação </w:t>
            </w:r>
            <w:r w:rsidR="00281321" w:rsidRPr="00281321">
              <w:rPr>
                <w:rFonts w:ascii="Times New Roman" w:hAnsi="Times New Roman"/>
                <w:sz w:val="24"/>
                <w:szCs w:val="24"/>
              </w:rPr>
              <w:t>Faculdade de Filosofia e Ciências Humanas - Departamento de Psicologia</w:t>
            </w:r>
          </w:p>
          <w:p w:rsidR="003C742A" w:rsidRPr="00281321" w:rsidRDefault="003C742A" w:rsidP="00281321">
            <w:pPr>
              <w:spacing w:line="240" w:lineRule="auto"/>
              <w:rPr>
                <w:rFonts w:ascii="Times New Roman" w:hAnsi="Times New Roman"/>
                <w:sz w:val="24"/>
                <w:szCs w:val="24"/>
              </w:rPr>
            </w:pPr>
          </w:p>
        </w:tc>
        <w:tc>
          <w:tcPr>
            <w:tcW w:w="1873" w:type="dxa"/>
            <w:vMerge/>
            <w:shd w:val="clear" w:color="auto" w:fill="auto"/>
          </w:tcPr>
          <w:p w:rsidR="003C742A" w:rsidRPr="001E2C63" w:rsidRDefault="003C742A" w:rsidP="00505E82">
            <w:pPr>
              <w:spacing w:line="240" w:lineRule="auto"/>
              <w:rPr>
                <w:rFonts w:ascii="Times New Roman" w:hAnsi="Times New Roman"/>
                <w:sz w:val="24"/>
                <w:szCs w:val="24"/>
              </w:rPr>
            </w:pPr>
          </w:p>
        </w:tc>
      </w:tr>
    </w:tbl>
    <w:p w:rsidR="003C742A" w:rsidRDefault="003C742A" w:rsidP="009741F1"/>
    <w:p w:rsidR="00281321" w:rsidRDefault="00281321" w:rsidP="00281321">
      <w:pPr>
        <w:rPr>
          <w:b/>
        </w:rPr>
      </w:pPr>
      <w:r>
        <w:rPr>
          <w:b/>
        </w:rPr>
        <w:t>INTRODUÇÃO</w:t>
      </w:r>
    </w:p>
    <w:p w:rsidR="00281321" w:rsidRDefault="00281321" w:rsidP="00281321">
      <w:pPr>
        <w:ind w:firstLine="708"/>
      </w:pPr>
      <w:r>
        <w:t xml:space="preserve">Este trabalho se refere a um estudo do turismo sexual na cidade de Salvador. Nas últimas décadas, a Bahia vem se tornando um dos principais pólos turísticos devido às suas belas praias, ao carnaval, à riqueza do seu patrimônio histórico e mais especificamente às suas belas mulheres. A prática do turismo é fundamental para a cidade de Salvador, e como sinalizam Dias Filho e Sardenberg (1998), o governo baiano tem investido maciçamente nesta área e aposta em seu constante sucesso, principalmente para a economia do estado. </w:t>
      </w:r>
    </w:p>
    <w:p w:rsidR="00281321" w:rsidRDefault="00281321" w:rsidP="00281321">
      <w:pPr>
        <w:ind w:firstLine="708"/>
      </w:pPr>
      <w:r>
        <w:t xml:space="preserve">Salvador se configura como uma das principais cidades turísticas do país. A grande questão é que, como indicam os autores supracitados, além do turismo, está crescendo outra modalidade: o turismo sexual. E desta forma, as mulheres baianas estão cada vez mais imersas na rota não só da prática do turismo sexual, como do tráfico de mulheres.  </w:t>
      </w:r>
    </w:p>
    <w:p w:rsidR="00281321" w:rsidRDefault="00281321" w:rsidP="00281321">
      <w:pPr>
        <w:ind w:firstLine="708"/>
      </w:pPr>
      <w:r>
        <w:t>Na prática do turismo sexual estão envolvidos, além das mulheres e dos turistas estrangeiros, os chamados “facilitadores”. Estes atuam como ponte entre as mulheres e os turistas. Os facilitadores são os responsáveis por essa mediação, promovendo encontros, dando acesso a pousadas e conduzindo os envolvidos aos locais desejados. São exemplos destes taxistas, garçons, ambulantes, barraqueiros de praia, meninos de rua, lojistas, etc.</w:t>
      </w:r>
    </w:p>
    <w:p w:rsidR="00281321" w:rsidRDefault="00281321" w:rsidP="00281321">
      <w:pPr>
        <w:ind w:firstLine="708"/>
      </w:pPr>
      <w:r>
        <w:t xml:space="preserve">O turismo sexual e o tráfico de mulheres são um problema real da sociedade soteropolitana, porém ainda não possuem tanta visibilidade. A clandestinidade desta prática dificulta ainda mais os estudos direcionados para este tema. Dentre os estudos até então produzidos no país, temos os da pesquisadora da Unicamp, Adriana Piscitelli, que realizou sua pesquisa com meninas de Fortaleza e os estudos do professor Antônio Jonas Dias Filho, professor da Universidade Estadual da Bahia, que estudou o turismo sexual em Salvador. </w:t>
      </w:r>
    </w:p>
    <w:p w:rsidR="00281321" w:rsidRDefault="00281321" w:rsidP="00281321">
      <w:pPr>
        <w:ind w:firstLine="708"/>
      </w:pPr>
      <w:r>
        <w:t xml:space="preserve">Diante da escassez de produção acadêmica sobre o tema, o presente trabalho configurou-se como exploratório. Por meio desta linha de pesquisa, se propôs a investigar o contexto do turismo sexual na cidade de Salvador a partir da perspectiva dos facilitadores desta prática, buscando particularmente caracterizar as mulheres envolvidas neste contexto. </w:t>
      </w:r>
    </w:p>
    <w:p w:rsidR="00281321" w:rsidRDefault="00281321" w:rsidP="00281321">
      <w:pPr>
        <w:jc w:val="center"/>
        <w:rPr>
          <w:sz w:val="28"/>
          <w:szCs w:val="28"/>
        </w:rPr>
      </w:pPr>
    </w:p>
    <w:p w:rsidR="00281321" w:rsidRDefault="00281321" w:rsidP="00281321">
      <w:pPr>
        <w:rPr>
          <w:b/>
        </w:rPr>
      </w:pPr>
      <w:r>
        <w:rPr>
          <w:b/>
        </w:rPr>
        <w:lastRenderedPageBreak/>
        <w:t>O turismo Sexual</w:t>
      </w:r>
    </w:p>
    <w:p w:rsidR="00281321" w:rsidRDefault="00281321" w:rsidP="00281321">
      <w:pPr>
        <w:ind w:firstLine="708"/>
      </w:pPr>
      <w:r>
        <w:t>O turismo sexual pode ser entendido pelo deslocamento de homens estrangeiros para o Brasil com a intenção de procurar mulheres para a realização de suas fantasias sexuais (GUIMARÃES, 2003). Este contato com mulheres locais possui a vantagem de uma estadia barata no país, devido ao não pagamento de guias turísticos ou serviços especializados para tal fim. O contato desejado não está relacionado com a prostituição, e sim com mulheres que possam servir de companhia durante o tempo em que os turistas permanecem no Brasil. Este fato é o que diferencia, segundo Guimarães (2003), o turismo sexual da prostituição, que possui outras características envolvidas.</w:t>
      </w:r>
    </w:p>
    <w:p w:rsidR="00281321" w:rsidRDefault="00281321" w:rsidP="00281321">
      <w:pPr>
        <w:ind w:firstLine="708"/>
      </w:pPr>
      <w:r>
        <w:t>Conforme Dias Filho e Sardenberg (1998), o turismo sexual é caracterizado, mais especificamente, como um fenômeno que ocorre quando europeus, japoneses e norte-americanos saem de suas regiões, através de pacotes de viagens ou de forma independente, indo para lugares como a Tailândia, Filipinas, Américas Central e do Sul e África, buscando aventuras eróticas. Esses autores colocam que, além da busca destas aventuras, está envolvida também a atração destes turistas pela imagem de uma suposta submissão das mulheres do “Terceiro Mundo”, que representa para estes homens a possibilidade de um casamento com uma mulher submissa, prendada e ao mesmo tempo sensual.</w:t>
      </w:r>
    </w:p>
    <w:p w:rsidR="00281321" w:rsidRDefault="00281321" w:rsidP="00281321">
      <w:pPr>
        <w:ind w:firstLine="708"/>
      </w:pPr>
      <w:r>
        <w:t xml:space="preserve"> Dados extraídos de estudos realizados pelo Centro Humanitário de Apoio à Mulher – CHAME (DIAS FILHO e SARDENBERG, 1998), apontam que os turistas que predominam na prática em questão são caracterizados como heterossexuais, do sexo masculino, de 35 a 60 anos. </w:t>
      </w:r>
    </w:p>
    <w:p w:rsidR="00281321" w:rsidRDefault="00281321" w:rsidP="00281321">
      <w:pPr>
        <w:ind w:firstLine="708"/>
      </w:pPr>
      <w:r>
        <w:t>A prática do turismo sexual pode estar vinculada a uma questão de gênero, e no Brasil se relaciona com a imagem da mulher vista como “mercadoria”. Esta visão da mulher é fortemente influenciada pela nossa história, onde a mulher tem ocupado uma posição subordinada em relação aos homens, estando em situação de desvantagem em vários contextos. Além destes fatores, há também a vinculação da imagem da mulher brasileira ao objeto de desejo dos homens, o que também reforça a manutenção desta prática.</w:t>
      </w:r>
    </w:p>
    <w:p w:rsidR="00281321" w:rsidRDefault="00281321" w:rsidP="00281321">
      <w:pPr>
        <w:ind w:firstLine="708"/>
      </w:pPr>
      <w:r>
        <w:t xml:space="preserve">Na última década, a Bahia passou a figurar entre os pontos mais procurados na rota do turismo sexual e, conseqüentemente, tornou-se um dos principais portos do tráfico de mulheres, principalmente negras e ‘mulatas’ que saem do país. </w:t>
      </w:r>
    </w:p>
    <w:p w:rsidR="00281321" w:rsidRDefault="00281321" w:rsidP="00281321">
      <w:pPr>
        <w:ind w:firstLine="708"/>
      </w:pPr>
      <w:r>
        <w:lastRenderedPageBreak/>
        <w:t xml:space="preserve">O Turismo Sexual é considerado, de acordo com Dias Filho e Sardenberg (1998), a porta de entrada para o tráfico de mulheres. É através de um sonho de morar fora, da possibilidade de mudança da qualidade de vida, que muitas mulheres aceitam e procuram este tipo de relação. </w:t>
      </w:r>
    </w:p>
    <w:p w:rsidR="00281321" w:rsidRDefault="00281321" w:rsidP="00281321">
      <w:pPr>
        <w:ind w:firstLine="708"/>
      </w:pPr>
      <w:r>
        <w:t xml:space="preserve">O tráfico de mulheres é entendido pelo </w:t>
      </w:r>
      <w:r>
        <w:rPr>
          <w:i/>
        </w:rPr>
        <w:t xml:space="preserve">“deslocamento em massa de mulheres de uma cidade, região ou país para outros, com o intuito de engajá-las na prostituição. Não raro isso se dá forçosamente ou ao desconhecimento das próprias mulheres, muitas das quais acabam sendo submetidas a um regime de escravidão” </w:t>
      </w:r>
      <w:r>
        <w:t>(DIAS FILHO e SARDENBERG, 1998). Para esses estudiosos, o tráfico de mulheres está intimamente ligado ao turismo sexual, porém é uma prática mais antiga e geralmente ocorre nos grandes centros urbanos ou pólos turísticos, para áreas com grande concentração de homens.</w:t>
      </w:r>
    </w:p>
    <w:p w:rsidR="00281321" w:rsidRDefault="00281321" w:rsidP="00281321">
      <w:pPr>
        <w:ind w:firstLine="708"/>
      </w:pPr>
      <w:r>
        <w:t>O turismo sexual e o tráfico de mulheres mostram-se intimamente ligados. Como sinalizam estudos realizados em 1998 pelos autores referidos, é crescente o número de mulheres brasileiras no exterior que trabalham em cabarés ou casas ligadas ao mercado do sexo. Esses estudos mostram que dados coletados por organizações feministas na Suíça indicam que cerca de 40 % das dançarinas de cabarés deste país são brasileiras, além das mulheres que estão ilegais em países como Estados Unidos, nas cidades de Nova Yorque, Boston, Los Angeles e Miami.</w:t>
      </w:r>
    </w:p>
    <w:p w:rsidR="00281321" w:rsidRDefault="00281321" w:rsidP="00281321">
      <w:pPr>
        <w:ind w:right="-81" w:hanging="180"/>
      </w:pPr>
      <w:r>
        <w:tab/>
      </w:r>
      <w:r>
        <w:tab/>
        <w:t>A análise de casos dá conta de que parcela considerável das brasileiras que ingressam no tráfico não praticava a prostituição no Brasil. Há histórias de universitárias ou até mesmo portadoras de curso superior, na sua maioria, jovens que por falta de emprego ou desiludidas com baixos salários aqui auferidos, sonhavam com “um passaporte para o primeiro mundo”, através da promessa de uma colocação no exterior ou de casamento com um turista com quem mantiveram um romance por aqui (DIAS FILHO e SARDENBERG, 1998).</w:t>
      </w:r>
    </w:p>
    <w:p w:rsidR="00281321" w:rsidRDefault="00281321" w:rsidP="00281321">
      <w:r>
        <w:tab/>
        <w:t>A saída da mulher para o exterior se inicia nos primeiros contatos que estas estabelecem com o “gringo” que vem para o seu país, à procura das aventuras sexuais.</w:t>
      </w:r>
    </w:p>
    <w:p w:rsidR="00281321" w:rsidRDefault="00281321" w:rsidP="00281321">
      <w:pPr>
        <w:ind w:firstLine="708"/>
      </w:pPr>
      <w:r>
        <w:t>A migração feminina é considerada quando as mulheres são envolvidas emocionalmente para concordarem em viajar para o exterior. O que acontece é uma falta de conhecimento das condições que estas mulheres encontram quando chegam ao país de destino. Estas têm seus documentos apreendidos e conseqüentemente são impedidas de voltar ao país de origem (GUIMARÃES, 2003).</w:t>
      </w:r>
    </w:p>
    <w:p w:rsidR="00281321" w:rsidRDefault="00281321" w:rsidP="00281321">
      <w:pPr>
        <w:ind w:firstLine="708"/>
      </w:pPr>
      <w:r>
        <w:t xml:space="preserve">O envolvimento emocional é questionado pelo fato da migração ter sido feita por vontade da envolvida. Mas o que deve ser colocado em questão são as condições em que estas mulheres aceitaram, seja através de </w:t>
      </w:r>
      <w:r>
        <w:lastRenderedPageBreak/>
        <w:t>promessas irrecusáveis, seja pelo desconhecimento da situação que irão vivenciar nestes países, seja pela influência do contexto social em que estas estão inseridas.</w:t>
      </w:r>
    </w:p>
    <w:p w:rsidR="00281321" w:rsidRDefault="00281321" w:rsidP="00281321">
      <w:pPr>
        <w:ind w:firstLine="708"/>
      </w:pPr>
      <w:r>
        <w:t xml:space="preserve">As pessoas não conseguem distinguir a prostituição voluntária do tráfico humano. Existe uma diferença entre a prostituição voluntária e o tráfico de pessoas, que no caso envolve a migração feminina. A prostituição é a comercialização da prática sexual, ou o oferecimento de satisfação sexual em troca de vantagens monetárias ou favores. Para França (1994), o termo </w:t>
      </w:r>
      <w:r>
        <w:rPr>
          <w:bCs/>
          <w:i/>
          <w:iCs/>
        </w:rPr>
        <w:t>prostituição</w:t>
      </w:r>
      <w:r>
        <w:t xml:space="preserve">, deriva do latim </w:t>
      </w:r>
      <w:r>
        <w:rPr>
          <w:bCs/>
          <w:i/>
          <w:iCs/>
        </w:rPr>
        <w:t>prosto</w:t>
      </w:r>
      <w:r>
        <w:t xml:space="preserve">, que quer dizer </w:t>
      </w:r>
      <w:r>
        <w:rPr>
          <w:bCs/>
          <w:i/>
          <w:iCs/>
        </w:rPr>
        <w:t>"estar às vistas, à espera de quem quer chegar ou estar exposto ao olhar público (...) é a prática sexual remunerada habitual e promíscua"</w:t>
      </w:r>
      <w:r>
        <w:t xml:space="preserve">. Sendo assim, a prostituta é, essencialmente, </w:t>
      </w:r>
      <w:r>
        <w:rPr>
          <w:bCs/>
          <w:i/>
          <w:iCs/>
        </w:rPr>
        <w:t>"uma mulher que aluga seu corpo para jogos sexuais sem amor"</w:t>
      </w:r>
      <w:r>
        <w:t>.</w:t>
      </w:r>
    </w:p>
    <w:p w:rsidR="00281321" w:rsidRDefault="00281321" w:rsidP="00281321">
      <w:pPr>
        <w:ind w:firstLine="708"/>
        <w:rPr>
          <w:bCs/>
        </w:rPr>
      </w:pPr>
      <w:r>
        <w:t>No caso do turismo sexual, além da troca de favores, a mulher é levada por uma expectativa de melhoria das condições de vida, pelo sonho de morar no exterior, que teria como conseqüência uma mudança, para melhor, do contexto no qual está inserida.</w:t>
      </w:r>
      <w:r>
        <w:rPr>
          <w:bCs/>
        </w:rPr>
        <w:t xml:space="preserve"> </w:t>
      </w:r>
      <w:r>
        <w:t>Porém, essa prática não necessariamente está relacionada com fatores unicamente sexuais e troca monetária. Diferentemente da prostituição, as mulheres além de oferecer conteúdos que estão na esfera afetiva, oferecem serviços de guias mostrando a cidade e acompanhando os turistas na sua visita.</w:t>
      </w:r>
    </w:p>
    <w:p w:rsidR="00281321" w:rsidRDefault="00281321" w:rsidP="00281321">
      <w:pPr>
        <w:ind w:firstLine="720"/>
      </w:pPr>
      <w:r>
        <w:t>Estudos realizados por Guimarães, em 2003, sinalizam que o turismo sexual ocorre mais intensamente no litoral do país, principalmente no litoral do nordeste. Esta prática é mais intensa nestas regiões, principalmente pelo reforço das propagandas veiculadas no exterior, onde a mulher brasileira tem sua imagem intimamente relacionada à sensualidade, além da relação com as praias paradisíacas e o clima quente.</w:t>
      </w:r>
      <w:r>
        <w:rPr>
          <w:b/>
          <w:bCs/>
        </w:rPr>
        <w:t xml:space="preserve"> </w:t>
      </w:r>
    </w:p>
    <w:p w:rsidR="00281321" w:rsidRDefault="00281321" w:rsidP="00281321">
      <w:pPr>
        <w:ind w:firstLine="720"/>
        <w:rPr>
          <w:bCs/>
        </w:rPr>
      </w:pPr>
      <w:r>
        <w:rPr>
          <w:bCs/>
        </w:rPr>
        <w:t xml:space="preserve">A imagem da mulher brasileira ultrapassa as barreiras históricas. A visão da mulher brasileira está intimamente relacionada à do Brasil colonial, onde as índias e as negras serviam sexualmente aos donos de terras e à nobreza estrangeira instalada no Brasil. A imagem da mulher brasileira foi, por muito tempo, e ainda hoje é veiculada desta maneira, através dos meios de comunicação (GUIMARÃES, 2003). Um grande exemplo são as obras do escritor Jorge Amado, onde estas </w:t>
      </w:r>
      <w:r>
        <w:t xml:space="preserve">trazem a figura feminina como sendo a mulher "de cama, mesa e banho", a serviço do homem. </w:t>
      </w:r>
    </w:p>
    <w:p w:rsidR="00281321" w:rsidRDefault="00281321" w:rsidP="00281321">
      <w:pPr>
        <w:ind w:firstLine="708"/>
      </w:pPr>
      <w:r>
        <w:t>Assim, o conceito de gênero, a identidade feminina, a questão de raça, a identidade do Brasil e a imagem do país veiculada através dos meios de comunicação são base de discussão sobre a prática do turismo sexual, e serão discutidos mais profundamente ao longo da pesquisa.</w:t>
      </w:r>
    </w:p>
    <w:p w:rsidR="00281321" w:rsidRDefault="00281321" w:rsidP="00281321">
      <w:pPr>
        <w:ind w:firstLine="708"/>
      </w:pPr>
    </w:p>
    <w:p w:rsidR="00281321" w:rsidRDefault="00281321" w:rsidP="00281321">
      <w:pPr>
        <w:rPr>
          <w:b/>
        </w:rPr>
      </w:pPr>
      <w:r>
        <w:rPr>
          <w:b/>
        </w:rPr>
        <w:t>A questão de gênero e a identidade feminina: Uma construção histórico-cultural</w:t>
      </w:r>
    </w:p>
    <w:p w:rsidR="00281321" w:rsidRDefault="00281321" w:rsidP="00281321">
      <w:pPr>
        <w:ind w:firstLine="708"/>
      </w:pPr>
      <w:r>
        <w:t>No presente trabalho, os estudos sobre gênero, sua conceituação e a dinâmica social envolvida, contribuem para o entendimento das diferenças simbólicas desenvolvidas socialmente e que estão envolvidos não só na manutenção da prática do turismo sexual, como também proporcionam o entendimento deste processo.</w:t>
      </w:r>
    </w:p>
    <w:p w:rsidR="00281321" w:rsidRDefault="00281321" w:rsidP="00281321">
      <w:pPr>
        <w:ind w:firstLine="708"/>
      </w:pPr>
      <w:r>
        <w:t xml:space="preserve">Para uma melhor compreensão do estudo de gênero, é necessária a diferenciação deste dos aspectos sexuais. O sexo é a diferença física e anatômica entre homens e mulheres. </w:t>
      </w:r>
      <w:r>
        <w:rPr>
          <w:i/>
        </w:rPr>
        <w:t>“O gênero é um produto social, aprendido, representado, institucionalizado e transmitido ao longo das gerações”</w:t>
      </w:r>
      <w:r>
        <w:t xml:space="preserve"> (SORJ apud DIAS, 2003). O gênero é, então, influenciado pelos valores sociais, políticos, econômicos e culturais de uma determinada sociedade.</w:t>
      </w:r>
    </w:p>
    <w:p w:rsidR="00281321" w:rsidRDefault="00281321" w:rsidP="00281321">
      <w:pPr>
        <w:ind w:firstLine="708"/>
      </w:pPr>
      <w:r>
        <w:t>Não só construída socialmente, a definição de gênero relaciona este fenômeno a uma “</w:t>
      </w:r>
      <w:r>
        <w:rPr>
          <w:i/>
        </w:rPr>
        <w:t>forma pioneira de significar as relações de poder”</w:t>
      </w:r>
      <w:r>
        <w:t xml:space="preserve"> (DIAS, 2003), quebrando também as idéias reducionistas e a - históricas dos estudos de gênero até então realizados. </w:t>
      </w:r>
    </w:p>
    <w:p w:rsidR="00281321" w:rsidRDefault="00281321" w:rsidP="00281321">
      <w:pPr>
        <w:ind w:firstLine="708"/>
      </w:pPr>
      <w:r>
        <w:t>Partindo do conceito de identidade, como uma dimensão histórica construída socialmente, em oposição ao caráter fixo e imutável dado a este conceito (TORRES, 2003), propõe-se o conceito de identidade de gênero para o melhor entendimento das questões que envolvem a prática do turismo sexual. Entender a construção desta identidade proporciona um melhor entendimento das relações que são mantidas entre estas mulheres com o turista estrangeiro.</w:t>
      </w:r>
    </w:p>
    <w:p w:rsidR="00281321" w:rsidRDefault="00281321" w:rsidP="00281321">
      <w:pPr>
        <w:ind w:firstLine="708"/>
      </w:pPr>
      <w:r>
        <w:t xml:space="preserve">A identidade de gênero é formada partindo da diferença sexual. Para Scott (1991, apud TORRES, 2003): </w:t>
      </w:r>
      <w:r>
        <w:rPr>
          <w:i/>
        </w:rPr>
        <w:t>“gênero é uma categoria social imposta sobre um corpo sexuado”</w:t>
      </w:r>
      <w:r>
        <w:t xml:space="preserve">. </w:t>
      </w:r>
    </w:p>
    <w:p w:rsidR="00281321" w:rsidRDefault="00281321" w:rsidP="00281321">
      <w:pPr>
        <w:ind w:firstLine="708"/>
      </w:pPr>
      <w:r>
        <w:t>Portanto a identidade do indivíduo possui uma característica que é determinada pelo gênero, onde os comportamentos vão ser influenciados pelos papéis sociais que o homem e a mulher possuem no meio social. Em outras palavras, cada um se apropria da realidade simbólica e sócio-cultural a partir da interpretação que faz da diferença anatômica entre os sexos (SAFFIOT, 1992 apud TORRES, 2003).</w:t>
      </w:r>
    </w:p>
    <w:p w:rsidR="00281321" w:rsidRDefault="00281321" w:rsidP="00281321">
      <w:pPr>
        <w:ind w:firstLine="708"/>
      </w:pPr>
      <w:r>
        <w:t xml:space="preserve">No presente trabalho, será adotado o conceito de gênero ligado à construção histórica e cultural, em que as diferenças entre os sexos estão ligadas ao exercício de papéis específicos de cada indivíduo imerso em seu contexto social. </w:t>
      </w:r>
    </w:p>
    <w:p w:rsidR="00281321" w:rsidRDefault="00281321" w:rsidP="00281321">
      <w:pPr>
        <w:ind w:firstLine="708"/>
      </w:pPr>
      <w:r>
        <w:lastRenderedPageBreak/>
        <w:t>Os indivíduos, independentes de suas diferenças estruturais e biológicas, constroem um quadro de referência subjetivo, onde ao homem são atribuídas a objetividade, a competitividade, a praticidade, determinação e inteligência e às mulheres são atribuídas características de submissão, fragilidade, além de objeto de satisfação sexual dos homens (TORRES, 2003).</w:t>
      </w:r>
    </w:p>
    <w:p w:rsidR="00281321" w:rsidRDefault="00281321" w:rsidP="00281321">
      <w:pPr>
        <w:ind w:firstLine="708"/>
      </w:pPr>
      <w:r>
        <w:t>Além da identidade de gênero, considera-se também a identidade feminina dentro da discussão sobre gênero, já que o fenômeno do turismo sexual está intrinsecamente ligado à questão da mulher.</w:t>
      </w:r>
    </w:p>
    <w:p w:rsidR="00281321" w:rsidRDefault="00281321" w:rsidP="00281321">
      <w:pPr>
        <w:ind w:firstLine="480"/>
      </w:pPr>
      <w:r>
        <w:t>A identidade feminina é o produto do entrelaçamento de fatores históricos e culturais, e pode ser entendida como o “</w:t>
      </w:r>
      <w:r>
        <w:rPr>
          <w:i/>
        </w:rPr>
        <w:t>resultado da interação entre a consciência que uma pessoa tem de pertencer ao sexo feminino e as conseqüências sociais concretizadas nas relações com o outro</w:t>
      </w:r>
      <w:r>
        <w:t>” (FAGUNDES, 2003). A construção dessa identidade está atrelada à assimilação de normas, valores e comportamentos, que juntos a compõem. A formação do ser mulher se dá em oposição ao ser homem e assenta-se, inicialmente, no que é expresso nos corpos físicos, evoluindo para relações e diferenciações mais complexas que envolvem poder e submissão.</w:t>
      </w:r>
    </w:p>
    <w:p w:rsidR="00281321" w:rsidRDefault="00281321" w:rsidP="00281321">
      <w:pPr>
        <w:ind w:firstLine="480"/>
      </w:pPr>
      <w:r>
        <w:t xml:space="preserve"> Fagundes (2003) aponta que, na cultura ocidental, as garotas aprendem desde cedo a exercer funções associadas à maternidade, bem como desenvolvem características de personalidade historicamente vinculadas à imagem feminina – docilidade, emotividade e paciência. A raiz da identificação e conseqüente condição feminina, que caracteriza a mulher como submissa e dependente, evidenciam-se na desigualdade entre os gêneros no âmbito das relações sociais. Estas relações historicamente construídas e até hoje vigentes caracterizam-se pela manutenção do poder do homem sobre a mulher, sobre a prole, sobre a propriedade, na esfera privada, expressando-se, principalmente, na esfera pública. </w:t>
      </w:r>
    </w:p>
    <w:p w:rsidR="00281321" w:rsidRDefault="00281321" w:rsidP="00281321">
      <w:pPr>
        <w:ind w:firstLine="480"/>
      </w:pPr>
      <w:r>
        <w:t xml:space="preserve">Com o surgimento da propriedade privada, os homens passam a situação de donos do poder, estabelecendo-se então a manutenção histórica da dominação patriarcal sobre a mulher. Esse poder, segundo Foucault (1985 apud FAGUNDES, 2003), pode estender-se ao campo simbólico uma vez que nem sempre pode ser percebido como uma forma explícita de dominação. O poder simbólico encontra-se estreitamente associado ao domínio do conhecimento, e esta realidade afeta profundamente a história das mulheres, uma vez que, desde o estabelecimento da clara equação entre poder e conhecimento, as mulheres foram alijadas desse processo. </w:t>
      </w:r>
    </w:p>
    <w:p w:rsidR="00281321" w:rsidRDefault="00281321" w:rsidP="00281321">
      <w:pPr>
        <w:ind w:firstLine="480"/>
      </w:pPr>
      <w:r>
        <w:lastRenderedPageBreak/>
        <w:t xml:space="preserve">Entende-se que as principais concepções a respeito dos papéis da mulher são aprendidas no âmbito familiar e muitas vezes reforçadas na escola, acrescentando-se também as contribuições da mídia que através de programas e comerciais reafirmam a dicotomia entre os gêneros. </w:t>
      </w:r>
    </w:p>
    <w:p w:rsidR="00281321" w:rsidRDefault="00281321" w:rsidP="00281321">
      <w:pPr>
        <w:ind w:left="720" w:firstLine="480"/>
        <w:rPr>
          <w:sz w:val="20"/>
          <w:szCs w:val="20"/>
        </w:rPr>
      </w:pPr>
      <w:r>
        <w:rPr>
          <w:sz w:val="20"/>
          <w:szCs w:val="20"/>
        </w:rPr>
        <w:t>As meninas vão aprendendo sentidos e significados, e exercitando um fazer estabelecido pela sociedade como eminentemente feminino, que se desenvolve, prevalentemente, na esfera da vida familiar, no âmbito do provado ou pré-político. (...) As meninas se tornam mulheres sob influências de toda a ordem que definem o seu papel na sociedade, desde as funções relacionadas à vida privada, àquelas exercidas no mundo público (ARENDT, 1995 apud FAGUNDES, 2003).</w:t>
      </w:r>
    </w:p>
    <w:p w:rsidR="00281321" w:rsidRDefault="00281321" w:rsidP="00281321">
      <w:pPr>
        <w:ind w:firstLine="708"/>
      </w:pPr>
      <w:r>
        <w:t>A identidade feminina, portanto, se constrói no contato com o meio social, e está fortemente veiculada ao papel social representado pela mulher em seu contexto.</w:t>
      </w:r>
    </w:p>
    <w:p w:rsidR="00281321" w:rsidRDefault="00281321" w:rsidP="00281321">
      <w:pPr>
        <w:ind w:firstLine="708"/>
      </w:pPr>
      <w:r>
        <w:t xml:space="preserve">Diante desta realidade, podemos afirmar a importância do entendimento da construção desta identidade para uma melhor visão da mulher inserida no turismo sexual. </w:t>
      </w:r>
    </w:p>
    <w:p w:rsidR="00281321" w:rsidRDefault="00281321" w:rsidP="00281321">
      <w:pPr>
        <w:ind w:firstLine="708"/>
      </w:pPr>
      <w:r>
        <w:t>Além desse aspecto, outro fator importante a ser analisado é a influência da herança colonial e a questão da raça interagindo com a temática do turismo sexual. Fatores como veiculação da imagem brasileira no exterior e questões raciais têm suma importância para estudos nesse campo.</w:t>
      </w:r>
    </w:p>
    <w:p w:rsidR="00281321" w:rsidRDefault="00281321" w:rsidP="00281321">
      <w:pPr>
        <w:rPr>
          <w:sz w:val="28"/>
          <w:szCs w:val="28"/>
        </w:rPr>
      </w:pPr>
    </w:p>
    <w:p w:rsidR="00281321" w:rsidRDefault="00281321" w:rsidP="00281321">
      <w:pPr>
        <w:rPr>
          <w:b/>
        </w:rPr>
      </w:pPr>
      <w:r>
        <w:rPr>
          <w:b/>
        </w:rPr>
        <w:t>A Identidade Nacional: A herança colonial e a questão de raça</w:t>
      </w:r>
    </w:p>
    <w:p w:rsidR="00281321" w:rsidRDefault="00281321" w:rsidP="00281321">
      <w:pPr>
        <w:ind w:firstLine="540"/>
      </w:pPr>
      <w:r>
        <w:t>Para tratar do turismo sexual é imprescindível que se discuta sobre a identidade nacional. O turismo no Brasil está totalmente baseado na divulgação da identidade do país, ou seja, suas principais características atraem o turista estrangeiro. Esta identidade acaba por definir-se a partir da interação das características ambientais, raciais, sociais e culturais do país. Desta forma, o mercado turístico utiliza propagandas que exaltam a identidade do país tanto no exterior quanto internamente, o que termina por favorecer a internalização desses modelos pelos próprios brasileiros.</w:t>
      </w:r>
    </w:p>
    <w:p w:rsidR="00281321" w:rsidRDefault="00281321" w:rsidP="00281321">
      <w:pPr>
        <w:ind w:firstLine="540"/>
      </w:pPr>
      <w:r>
        <w:t xml:space="preserve">A discussão da identidade brasileira se deu a partir das influências de algumas teorias que tentavam analisar a questão racial como uma relação homem /ambiente, em que se desconsideravam as características sócio-culturais: </w:t>
      </w:r>
      <w:r>
        <w:rPr>
          <w:i/>
        </w:rPr>
        <w:t>“... clima e raça explicariam a natureza indolente do brasileiro (...), o lirismo dos poetas da terra, o nervosismo e a sexualidade desenfreada dos mulatos”</w:t>
      </w:r>
      <w:r>
        <w:t xml:space="preserve"> (ORTIZ, 1993 apud DIAS FILHO, 1998).</w:t>
      </w:r>
    </w:p>
    <w:p w:rsidR="00281321" w:rsidRDefault="00281321" w:rsidP="00281321">
      <w:pPr>
        <w:ind w:firstLine="540"/>
      </w:pPr>
      <w:r>
        <w:lastRenderedPageBreak/>
        <w:t>O Brasil é conhecido no exterior como um país de clima quente, convidativo e de belezas naturais, composto de um povo alegre, festeiro e cativante. Por muito tempo esta imagem acabou por permear o imaginário dos estrangeiros, que por influência destas teorias vêem o povo a partir dessa relação entre natureza e raça.</w:t>
      </w:r>
    </w:p>
    <w:p w:rsidR="00281321" w:rsidRDefault="00281321" w:rsidP="00281321">
      <w:pPr>
        <w:ind w:firstLine="540"/>
      </w:pPr>
      <w:r>
        <w:t>Diante desta problemática, torna-se necessário fazer um resgate da dinâmica racial brasileira. Para Corrêa (1996), desde o período colonial, o Brasil se constituiu essencialmente a partir da miscigenação de raças, ou seja, mistura do branco, do negro e do índio, originando-se o mestiço. E desta forma o mestiço passou a ser o símbolo do povo brasileiro. A ele foram associadas algumas idéias originadas da união destas raças. As características do branco civilizado uniram-se com as características do negro primitivo e selvagem, acabando por produzir um outro “melhorado”, que era mais civilizado do que o negro, mais inteligente e dócil (TADEI, 2002).</w:t>
      </w:r>
    </w:p>
    <w:p w:rsidR="00281321" w:rsidRDefault="00281321" w:rsidP="00281321">
      <w:pPr>
        <w:ind w:firstLine="540"/>
      </w:pPr>
      <w:r>
        <w:t xml:space="preserve">O mestiço, por ser o símbolo dessa mistura racial, passou a ser idealizado de diversas formas. Aluísio de Azevedo em o “Cortiço” destaca a mulata como símbolo brasileiro, representando a abundância e sensualidade natural do Brasil: </w:t>
      </w:r>
    </w:p>
    <w:p w:rsidR="00281321" w:rsidRDefault="00281321" w:rsidP="00281321">
      <w:pPr>
        <w:ind w:left="540" w:right="-81" w:firstLine="360"/>
        <w:rPr>
          <w:sz w:val="20"/>
          <w:szCs w:val="20"/>
        </w:rPr>
      </w:pPr>
      <w:r>
        <w:rPr>
          <w:i/>
          <w:sz w:val="20"/>
          <w:szCs w:val="20"/>
        </w:rPr>
        <w:t>“Naquela mulata estava o grande mistério, a síntese das impressões que ele recebeu chegando aqui: ela era a luz do meio dia; era o aroma quente dos trevos e das baunilhas, que o atordoara nas matas brasileiras (...) era o veneno e era o açúcar gostoso; era o sapoti mais doce que o mel e era a castanha, que feridas com seu azeite e fogo”</w:t>
      </w:r>
      <w:r>
        <w:rPr>
          <w:sz w:val="20"/>
          <w:szCs w:val="20"/>
        </w:rPr>
        <w:t xml:space="preserve"> (Aluísio de Azevedo, 1890). </w:t>
      </w:r>
    </w:p>
    <w:p w:rsidR="00281321" w:rsidRDefault="00281321" w:rsidP="00281321">
      <w:pPr>
        <w:ind w:firstLine="540"/>
      </w:pPr>
      <w:r>
        <w:t xml:space="preserve">De acordo com Dias Filho (1998), Gilberto Freyre também foi o responsável pela popularização do mito da mestiçagem e da democracia racial, além de ser o primeiro a destacar a questão da sexualidade ligada à raça e à identidade.  Para ele, a identidade brasileira estaria intimamente relacionada à sensualidade e à mistura étnica. Em “Casa Grande e Senzala”, por exemplo, a figura da mulher negra estava relacionada à realização dos costumes domésticos e à sexualidade. </w:t>
      </w:r>
    </w:p>
    <w:p w:rsidR="00281321" w:rsidRDefault="00281321" w:rsidP="00281321">
      <w:pPr>
        <w:ind w:firstLine="540"/>
      </w:pPr>
      <w:r>
        <w:t>Na esfera do turismo sexual, estão presentes questões de raça e de gênero. Estas questões permeiam toda essa imagem construída da mulher no Brasil ao longo da história. Elas podem ser exemplificadas pela fascinação que o turista tem pela mulher afrodescendente. Nesse sentido, buscam aquelas mulheres com tons de pele diferentes das que eles encontram no seu país de origem – a mulher branca. Este desejo pela mulher afrodescendente encontra uma explicação na questão de que a mulher mulata brasileira carrega uma herança colonial muito forte que não foi, de certo modo, abandonada.</w:t>
      </w:r>
    </w:p>
    <w:p w:rsidR="00281321" w:rsidRDefault="00281321" w:rsidP="00281321">
      <w:pPr>
        <w:ind w:firstLine="540"/>
      </w:pPr>
      <w:r>
        <w:lastRenderedPageBreak/>
        <w:t xml:space="preserve"> No período colonial, a negra era considerada como capaz de realizar os trabalhos braçais, domésticos, satisfazer as necessidades sexuais do senhor e reproduzir-se bastante, e além do que, já estava acostumada à submissão a um superior, ou seja, ao homem. Essa visão acaba por não ser totalmente esquecida e contribui para a construção da imagem da mulher que transmite sensualidade, sexualidade, submissão, beleza e malemolência, uma verdadeira “mulata tipo exportação”. </w:t>
      </w:r>
    </w:p>
    <w:p w:rsidR="00281321" w:rsidRDefault="00281321" w:rsidP="00281321">
      <w:pPr>
        <w:ind w:firstLine="540"/>
      </w:pPr>
      <w:r>
        <w:t>A propaganda desenvolvida pelo país para atrair o turismo para as regiões vincula-se, assim, à imagem festiva e das belezas naturais aqui presentes, sendo que</w:t>
      </w:r>
    </w:p>
    <w:p w:rsidR="00281321" w:rsidRDefault="00281321" w:rsidP="00281321">
      <w:pPr>
        <w:ind w:left="540" w:right="459"/>
        <w:rPr>
          <w:sz w:val="20"/>
          <w:szCs w:val="20"/>
        </w:rPr>
      </w:pPr>
      <w:r>
        <w:rPr>
          <w:sz w:val="20"/>
          <w:szCs w:val="20"/>
        </w:rPr>
        <w:t xml:space="preserve">“um dos maiores símbolos dessa propaganda é a mulher, presente em quase todos os cartazes, vídeos e mensagens sobre o Brasil, veiculados dentro e fora do país (...). Na maior parte destas peças publicitárias, as mulheres mostradas são negras ou mulatas vestidas com trajes típicos, maiôs, biquínis ou fazendo </w:t>
      </w:r>
      <w:r>
        <w:rPr>
          <w:i/>
          <w:sz w:val="20"/>
          <w:szCs w:val="20"/>
        </w:rPr>
        <w:t>top less,</w:t>
      </w:r>
      <w:r>
        <w:rPr>
          <w:sz w:val="20"/>
          <w:szCs w:val="20"/>
        </w:rPr>
        <w:t xml:space="preserve"> e os textos convidam as pessoas para ‘desfrutar as delícias’ da ‘terra da felicidade” (DIAS FILHO, 1998). </w:t>
      </w:r>
    </w:p>
    <w:p w:rsidR="00281321" w:rsidRDefault="00281321" w:rsidP="00281321">
      <w:pPr>
        <w:widowControl w:val="0"/>
      </w:pPr>
      <w:r>
        <w:tab/>
        <w:t>Através de informações fornecidas por técnicos da EMBRATUR – Empresa Brasileira de Turismo – este órgão, ao iniciar na década de 80 sua política de propaganda, transmitindo a imagem anteriormente descrita tanto para turistas quanto para agenciadores nacionais e internacionais, foi o responsável pela consolidação do Brasil na rota do Turismo Sexual (DIAS FILHO e SARDENBERG, 1998).</w:t>
      </w:r>
    </w:p>
    <w:p w:rsidR="00281321" w:rsidRDefault="00281321" w:rsidP="00281321">
      <w:pPr>
        <w:widowControl w:val="0"/>
        <w:ind w:firstLine="708"/>
      </w:pPr>
      <w:r>
        <w:t>Evidencia-se, assim, que dentro da temática do turismo sexual, a imagem do Brasil é muito relacionada com a figura feminina da mulata estereotipada como exótica e sensual. Ou seja, as características tanto ambientais quanto sociais se corporificam na imagem da mulher. A mulher brasileira passa a ser definida como a negra, a mulata ou a morena de “corpo tipo violão, bundinha empinada e cintura fina”, que canta e encanta, sendo tudo isso objeto de atração dos turistas (DIAS FILHO, 1998).</w:t>
      </w:r>
    </w:p>
    <w:p w:rsidR="00281321" w:rsidRDefault="00281321" w:rsidP="00281321">
      <w:pPr>
        <w:rPr>
          <w:b/>
          <w:sz w:val="28"/>
          <w:szCs w:val="28"/>
        </w:rPr>
      </w:pPr>
    </w:p>
    <w:p w:rsidR="00281321" w:rsidRDefault="00281321" w:rsidP="00281321">
      <w:pPr>
        <w:pStyle w:val="Ttulo3"/>
        <w:jc w:val="left"/>
        <w:rPr>
          <w:rFonts w:ascii="Times New Roman" w:hAnsi="Times New Roman"/>
          <w:sz w:val="24"/>
          <w:szCs w:val="24"/>
        </w:rPr>
      </w:pPr>
      <w:r>
        <w:rPr>
          <w:rFonts w:ascii="Times New Roman" w:hAnsi="Times New Roman"/>
          <w:sz w:val="24"/>
          <w:szCs w:val="24"/>
        </w:rPr>
        <w:t>OBJETIVOS</w:t>
      </w:r>
    </w:p>
    <w:p w:rsidR="00281321" w:rsidRDefault="00281321" w:rsidP="00281321">
      <w:pPr>
        <w:rPr>
          <w:b/>
        </w:rPr>
      </w:pPr>
      <w:r>
        <w:rPr>
          <w:b/>
        </w:rPr>
        <w:t xml:space="preserve">Objetivo Geral: </w:t>
      </w:r>
      <w:r>
        <w:rPr>
          <w:b/>
        </w:rPr>
        <w:tab/>
      </w:r>
      <w:r>
        <w:rPr>
          <w:b/>
        </w:rPr>
        <w:tab/>
      </w:r>
    </w:p>
    <w:p w:rsidR="00281321" w:rsidRDefault="00281321" w:rsidP="00281321">
      <w:r>
        <w:t>- Investigar o turismo sexual na cidade de Salvador, na Praia do Porto da Barra, a partir da perspectiva dos facilitadores envolvidos nesta prática.</w:t>
      </w:r>
    </w:p>
    <w:p w:rsidR="00281321" w:rsidRDefault="00281321" w:rsidP="00281321">
      <w:pPr>
        <w:rPr>
          <w:b/>
        </w:rPr>
      </w:pPr>
      <w:r>
        <w:rPr>
          <w:b/>
        </w:rPr>
        <w:t>Objetivos específicos:</w:t>
      </w:r>
    </w:p>
    <w:p w:rsidR="00281321" w:rsidRDefault="00281321" w:rsidP="00281321">
      <w:r>
        <w:lastRenderedPageBreak/>
        <w:t>- Caracterizar as mulheres envolvidas na prática do turismo sexual, a partir da perspectiva dos facilitadores: delinear os atributos físicos, as condições sociais; identificar as motivações que levaram à prática da atividade, e os objetivos que desejam alcançar com tal prática; descrever o tipo de relacionamento com os estrangeiros, e a relação destas com os facilitadores.</w:t>
      </w:r>
    </w:p>
    <w:p w:rsidR="00281321" w:rsidRDefault="00281321" w:rsidP="00281321">
      <w:r>
        <w:tab/>
      </w:r>
      <w:r>
        <w:tab/>
      </w:r>
      <w:r>
        <w:tab/>
      </w:r>
      <w:r>
        <w:tab/>
      </w:r>
    </w:p>
    <w:p w:rsidR="00281321" w:rsidRDefault="00281321" w:rsidP="00281321">
      <w:pPr>
        <w:pStyle w:val="Ttulo1"/>
        <w:spacing w:line="360" w:lineRule="auto"/>
        <w:rPr>
          <w:b w:val="0"/>
          <w:sz w:val="24"/>
        </w:rPr>
      </w:pPr>
      <w:r>
        <w:rPr>
          <w:b w:val="0"/>
          <w:sz w:val="24"/>
        </w:rPr>
        <w:t>MÉTODO</w:t>
      </w:r>
    </w:p>
    <w:p w:rsidR="00281321" w:rsidRDefault="00281321" w:rsidP="00281321">
      <w:pPr>
        <w:pStyle w:val="Corpodetexto"/>
        <w:spacing w:line="360" w:lineRule="auto"/>
        <w:ind w:firstLine="708"/>
      </w:pPr>
      <w:r>
        <w:t>A amostra da pesquisa se constituiu por cinco sujeitos:</w:t>
      </w:r>
    </w:p>
    <w:p w:rsidR="00281321" w:rsidRDefault="00281321" w:rsidP="00281321">
      <w:pPr>
        <w:pStyle w:val="Corpodetexto"/>
        <w:spacing w:line="360" w:lineRule="auto"/>
        <w:ind w:firstLine="708"/>
      </w:pPr>
      <w:r>
        <w:t>Sujeito 1 – homem, 20 anos, faz bicos com os turistas;</w:t>
      </w:r>
    </w:p>
    <w:p w:rsidR="00281321" w:rsidRDefault="00281321" w:rsidP="00281321">
      <w:pPr>
        <w:pStyle w:val="Corpodetexto"/>
        <w:spacing w:line="360" w:lineRule="auto"/>
        <w:ind w:firstLine="708"/>
      </w:pPr>
      <w:r>
        <w:t>Sujeito 2 – homem, 27 anos, guia turístico;</w:t>
      </w:r>
    </w:p>
    <w:p w:rsidR="00281321" w:rsidRDefault="00281321" w:rsidP="00281321">
      <w:pPr>
        <w:pStyle w:val="Corpodetexto"/>
        <w:spacing w:line="360" w:lineRule="auto"/>
        <w:ind w:firstLine="708"/>
      </w:pPr>
      <w:r>
        <w:t>Sujeito 3 – homem, 23 anos, estudante universitário;</w:t>
      </w:r>
    </w:p>
    <w:p w:rsidR="00281321" w:rsidRDefault="00281321" w:rsidP="00281321">
      <w:pPr>
        <w:pStyle w:val="Corpodetexto"/>
        <w:spacing w:line="360" w:lineRule="auto"/>
        <w:ind w:firstLine="708"/>
      </w:pPr>
      <w:r>
        <w:t>Sujeito 4 – homem, 32 anos, aluga quartos para temporada;</w:t>
      </w:r>
    </w:p>
    <w:p w:rsidR="00281321" w:rsidRDefault="00281321" w:rsidP="00281321">
      <w:pPr>
        <w:pStyle w:val="Corpodetexto"/>
        <w:spacing w:line="360" w:lineRule="auto"/>
        <w:ind w:firstLine="708"/>
      </w:pPr>
      <w:r>
        <w:t>Sujeito 5 – mulher, 30 anos, cabeleireira.</w:t>
      </w:r>
    </w:p>
    <w:p w:rsidR="00281321" w:rsidRDefault="00281321" w:rsidP="00281321">
      <w:pPr>
        <w:pStyle w:val="Corpodetexto"/>
        <w:spacing w:line="360" w:lineRule="auto"/>
        <w:ind w:firstLine="708"/>
      </w:pPr>
    </w:p>
    <w:p w:rsidR="00281321" w:rsidRDefault="00281321" w:rsidP="00281321">
      <w:pPr>
        <w:pStyle w:val="Corpodetexto"/>
        <w:spacing w:line="360" w:lineRule="auto"/>
        <w:ind w:firstLine="708"/>
      </w:pPr>
      <w:r>
        <w:t>A técnica utilizada para a coleta dos dados foi a entrevista, e o instrumento foi um roteiro semi-estruturado contendo 15 questões, com tópicos selecionados, seguindo uma ordem flexível às entrevistas, de acordo com o discurso dos sujeitos.</w:t>
      </w:r>
    </w:p>
    <w:p w:rsidR="00281321" w:rsidRDefault="00281321" w:rsidP="00281321">
      <w:pPr>
        <w:pStyle w:val="Corpodetexto"/>
        <w:spacing w:line="360" w:lineRule="auto"/>
        <w:ind w:firstLine="708"/>
      </w:pPr>
      <w:r>
        <w:t xml:space="preserve">A análise dos dados foi feita de forma qualitativa, e para isso utilizou-se como referencial teórico a Análise de Conteúdo de Laurence Bardin, destacando a análise temática como método mais adequado ao tipo de pesquisa realizada. </w:t>
      </w:r>
    </w:p>
    <w:p w:rsidR="00281321" w:rsidRDefault="00281321" w:rsidP="00281321">
      <w:pPr>
        <w:pStyle w:val="Corpodetexto"/>
        <w:spacing w:line="360" w:lineRule="auto"/>
        <w:ind w:firstLine="708"/>
      </w:pPr>
      <w:r>
        <w:t>Para a organização e formulação da análise, seguiram-se três etapas: realizou-se uma leitura flutuante, buscando-se retirar as primeiras impressões do material obtido; utilizou-se a regra da exaustividade, explorando todas as possibilidades em relação às informações contidas nas entrevistas; identificaram-se os temas, que são frases ou palavras carregadas de significado para a análise, estando esses temas transversais a todas as entrevistas.</w:t>
      </w:r>
    </w:p>
    <w:p w:rsidR="00281321" w:rsidRDefault="00281321" w:rsidP="00281321">
      <w:pPr>
        <w:tabs>
          <w:tab w:val="num" w:pos="0"/>
        </w:tabs>
        <w:rPr>
          <w:sz w:val="28"/>
          <w:szCs w:val="28"/>
        </w:rPr>
      </w:pPr>
    </w:p>
    <w:p w:rsidR="00281321" w:rsidRDefault="00281321" w:rsidP="00281321">
      <w:pPr>
        <w:tabs>
          <w:tab w:val="num" w:pos="0"/>
        </w:tabs>
        <w:rPr>
          <w:b/>
        </w:rPr>
      </w:pPr>
      <w:r>
        <w:rPr>
          <w:b/>
        </w:rPr>
        <w:t>RESULTADOS</w:t>
      </w:r>
    </w:p>
    <w:p w:rsidR="00281321" w:rsidRDefault="00281321" w:rsidP="00281321">
      <w:pPr>
        <w:tabs>
          <w:tab w:val="num" w:pos="0"/>
        </w:tabs>
      </w:pPr>
      <w:r>
        <w:lastRenderedPageBreak/>
        <w:tab/>
        <w:t xml:space="preserve">Após a leitura flutuante de todas as entrevistas e aplicada a regra da exaustividade, foram selecionados alguns temas que atravessaram todos os questionários. Além disso, durante esse percurso algumas perguntas referentes aos principais temas foram destacadas, principalmente, pelo fato destas se correlacionarem com os conteúdos encontrados na revisão da literatura e alcançarem os objetivos propostos como: investigar a prática do Turismo sexual e caracterizar as mulheres envolvidas a partir da perspectiva dos facilitadores. </w:t>
      </w:r>
    </w:p>
    <w:p w:rsidR="00281321" w:rsidRDefault="00281321" w:rsidP="00281321">
      <w:pPr>
        <w:tabs>
          <w:tab w:val="num" w:pos="0"/>
        </w:tabs>
        <w:ind w:firstLine="540"/>
        <w:rPr>
          <w:i/>
          <w:iCs/>
        </w:rPr>
      </w:pPr>
      <w:r>
        <w:t xml:space="preserve">Observa-se que, segundo os facilitadores, a mulher utiliza algumas estratégias para chamar a atenção dos estrangeiros como comportamentos de insinuação: </w:t>
      </w:r>
      <w:r>
        <w:rPr>
          <w:i/>
          <w:iCs/>
        </w:rPr>
        <w:t>“Fica de biquininho tomando sol”; “Dá tchauzinho”; “Pisca o olho, sorri”.</w:t>
      </w:r>
      <w:r>
        <w:t xml:space="preserve"> Assim, para os facilitadores, os principais fatores motivacionais que envolvem as mulheres no Turismo Sexual estão relacionados ao foco de interesse nos estrangeiros.</w:t>
      </w:r>
      <w:r>
        <w:rPr>
          <w:i/>
          <w:iCs/>
        </w:rPr>
        <w:t xml:space="preserve"> “Só de elas saberem que é gringo, 80% garantido. Viu que não fala a língua, se interessam logo”. </w:t>
      </w:r>
    </w:p>
    <w:p w:rsidR="00281321" w:rsidRDefault="00281321" w:rsidP="00281321">
      <w:pPr>
        <w:tabs>
          <w:tab w:val="num" w:pos="0"/>
        </w:tabs>
        <w:ind w:firstLine="540"/>
      </w:pPr>
      <w:r>
        <w:t>O dinheiro e os presentes que podem ser oferecidos pelos estrangeiros também fazem parte desses fatores de motivação:</w:t>
      </w:r>
      <w:r>
        <w:rPr>
          <w:i/>
          <w:iCs/>
        </w:rPr>
        <w:t xml:space="preserve"> “O turista tem mais dinheiro. O Brasil é um país difícil. As pessoas se ligam no dinheiro”; “Essas mulheres procuram uma melhor condição de vida”; “Elas não têm dinheiro. È uma forma rápido de consegui-lo. Além disso, mesmo que não consigam dinheiro, elas vão freqüentar lugares legais que não são do meio delas, podem ganhar presentes”. </w:t>
      </w:r>
      <w:r>
        <w:t>Estes exemplos também se relacionam à motivação pela ascensão social, que também foi um aspecto encontrado nas entrevistas.</w:t>
      </w:r>
    </w:p>
    <w:p w:rsidR="00281321" w:rsidRDefault="00281321" w:rsidP="00281321">
      <w:pPr>
        <w:tabs>
          <w:tab w:val="num" w:pos="0"/>
        </w:tabs>
        <w:ind w:firstLine="540"/>
      </w:pPr>
    </w:p>
    <w:p w:rsidR="00281321" w:rsidRDefault="00281321" w:rsidP="00281321">
      <w:pPr>
        <w:tabs>
          <w:tab w:val="num" w:pos="0"/>
        </w:tabs>
        <w:ind w:firstLine="540"/>
      </w:pPr>
      <w:r>
        <w:t xml:space="preserve">Segundo os facilitadores, outro fator que também chama a atenção dos estrangeiros sobre essas mulheres é a diferença física destas em relação ao padrão da cultura deles. No Brasil, as mulheres possuem um tipo físico diferente, que se caracteriza pela cor da pele (mistura das raças), o corpo – </w:t>
      </w:r>
      <w:r>
        <w:rPr>
          <w:i/>
          <w:iCs/>
        </w:rPr>
        <w:t xml:space="preserve">“Morena, uma pessoa diferente daquela que está acostumado”; ”As mulheres de lá não têm a sensualidade que a mulher daqui tem”; ”A pele negra é o que eles levam logo em conta”. </w:t>
      </w:r>
      <w:r>
        <w:t>Além disso, a imagem que o Brasil possui no exterior influencia muito na forma como os estrangeiros enxergam as mulheres:</w:t>
      </w:r>
      <w:r>
        <w:rPr>
          <w:i/>
          <w:iCs/>
        </w:rPr>
        <w:t xml:space="preserve"> “As mulheres daqui são muito conhecidas lá fora pelas suas qualidades de corpo”; “A fama do Brasil em relação ao turismo sexual”, “A imagem do Brasil é só mulher. Eles pensam no Brasil, pensam em mulher”.</w:t>
      </w:r>
    </w:p>
    <w:p w:rsidR="00281321" w:rsidRDefault="00281321" w:rsidP="00281321">
      <w:pPr>
        <w:tabs>
          <w:tab w:val="num" w:pos="0"/>
        </w:tabs>
        <w:ind w:firstLine="540"/>
      </w:pPr>
      <w:r>
        <w:t xml:space="preserve">Os facilitadores também falaram de como o estrangeiro se comporta para atrair essas mulheres. Como requisito principal foi citado a condição de estrangeiro </w:t>
      </w:r>
      <w:r>
        <w:rPr>
          <w:i/>
          <w:iCs/>
        </w:rPr>
        <w:t xml:space="preserve">“Não precisa fazer nada, basta ser gringo. Quanto mais </w:t>
      </w:r>
      <w:r>
        <w:rPr>
          <w:i/>
          <w:iCs/>
        </w:rPr>
        <w:lastRenderedPageBreak/>
        <w:t>cara de gringo tiver melhor”.</w:t>
      </w:r>
      <w:r>
        <w:t xml:space="preserve"> Outro aspecto encontrado foram os olhares: </w:t>
      </w:r>
      <w:r>
        <w:rPr>
          <w:i/>
          <w:iCs/>
        </w:rPr>
        <w:t xml:space="preserve">“Eles ficam olhando. Troca de olhares. Logo sorriem”. </w:t>
      </w:r>
    </w:p>
    <w:p w:rsidR="00281321" w:rsidRDefault="00281321" w:rsidP="00281321">
      <w:pPr>
        <w:tabs>
          <w:tab w:val="num" w:pos="0"/>
        </w:tabs>
        <w:ind w:firstLine="540"/>
      </w:pPr>
      <w:r>
        <w:t>O dinheiro dos estrangeiros também apareceu como algo bastante relevante e atrativo para estas mulheres, de acordo com os facilitadores, já que é um fator de grande interesse delas em relação aos estrangeiros. Outros interesses permeiam esse fator financeiro, já que a maioria dessas mulheres se caracteriza por ser de uma classe social econômica mais baixa, revelando uma desigualdade social entre os dois envolvidos nessa relação. Assim, encontra-se como objetivo de interesse maior dessas mulheres sair do país e melhorar as suas condições de vida.</w:t>
      </w:r>
    </w:p>
    <w:p w:rsidR="00281321" w:rsidRDefault="00281321" w:rsidP="00281321">
      <w:pPr>
        <w:tabs>
          <w:tab w:val="num" w:pos="0"/>
        </w:tabs>
        <w:ind w:firstLine="540"/>
      </w:pPr>
      <w:r>
        <w:t>Há dificuldades no estabelecimento de uma relação estável entre o estrangeiro e a mulher, de acordo com os facilitadores, já que a maioria das mulheres envolvidas nessa prática é tida como prostituta. Há uma intenção de diversão do estrangeiro junto a essa mulher, pois se passa a imagem de mulher fácil, interesseira, onde prevalece o interesse do estrangeiro pelo sexo e pela companhia somente durante a estadia no Brasil. A qualidade da relação mantida também pode depender da postura, da forma de se vestir, de se comportar da mulher.</w:t>
      </w:r>
    </w:p>
    <w:p w:rsidR="00281321" w:rsidRDefault="00281321" w:rsidP="00281321">
      <w:pPr>
        <w:tabs>
          <w:tab w:val="num" w:pos="0"/>
        </w:tabs>
        <w:ind w:firstLine="360"/>
      </w:pPr>
      <w:r>
        <w:t xml:space="preserve">Dentre todos esses conteúdos encontrados, destacam-se os temas principais da pesquisa que se correlacionam com a </w:t>
      </w:r>
      <w:r>
        <w:rPr>
          <w:b/>
          <w:bCs/>
        </w:rPr>
        <w:t>imagem da mulher</w:t>
      </w:r>
      <w:r>
        <w:t xml:space="preserve">, </w:t>
      </w:r>
      <w:r>
        <w:rPr>
          <w:b/>
          <w:bCs/>
        </w:rPr>
        <w:t>imagem do Brasil</w:t>
      </w:r>
      <w:r>
        <w:t xml:space="preserve">, e a </w:t>
      </w:r>
      <w:r>
        <w:rPr>
          <w:b/>
          <w:bCs/>
        </w:rPr>
        <w:t>motivação tanto da mulher quanto do facilitador</w:t>
      </w:r>
      <w:r>
        <w:t xml:space="preserve"> na prática do turismo sexual. Estes temas também se correlacionam com as referências da literatura e colaboram para a discussão sobre o que há de novo e o que confirma os dados já conhecidos, se tratando de uma pesquisa exploratória.  </w:t>
      </w:r>
    </w:p>
    <w:p w:rsidR="00281321" w:rsidRDefault="00281321" w:rsidP="00281321">
      <w:pPr>
        <w:pStyle w:val="Ttulo3"/>
        <w:jc w:val="left"/>
        <w:rPr>
          <w:rFonts w:ascii="Times New Roman" w:hAnsi="Times New Roman"/>
          <w:sz w:val="24"/>
          <w:szCs w:val="24"/>
        </w:rPr>
      </w:pPr>
      <w:r>
        <w:rPr>
          <w:rFonts w:ascii="Times New Roman" w:hAnsi="Times New Roman"/>
          <w:sz w:val="24"/>
          <w:szCs w:val="24"/>
        </w:rPr>
        <w:t>DISCUSSÃO</w:t>
      </w:r>
    </w:p>
    <w:p w:rsidR="00281321" w:rsidRDefault="00281321" w:rsidP="00281321">
      <w:pPr>
        <w:ind w:firstLine="708"/>
      </w:pPr>
      <w:r>
        <w:t>Os dados obtidos nas entrevistas evidenciaram que as mulheres que estão mais envolvidas, e que também são as mais atraentes e procuradas pelos estrangeiros, são as mulheres negras e mulatas, com corpo escultural, característica da mulata de exportação. Este fato confirmou o que mostram os estudos já feitos na área do turismo sexual. Além disso, foi revelado pelos facilitadores que a maioria destas possui baixo nível sócio-econômico.</w:t>
      </w:r>
    </w:p>
    <w:p w:rsidR="00281321" w:rsidRDefault="00281321" w:rsidP="00281321">
      <w:pPr>
        <w:rPr>
          <w:color w:val="FF0000"/>
        </w:rPr>
      </w:pPr>
      <w:r>
        <w:lastRenderedPageBreak/>
        <w:tab/>
        <w:t>Em relação ao perfil destas mulheres, acrescenta-se que, de acordo com a presente pesquisa, além de mulheres negras e mulatas, o turista procura aquelas que possuem uma característica afrodescendente além da cor da pele, como usar tranças, por exemplo.</w:t>
      </w:r>
    </w:p>
    <w:p w:rsidR="00281321" w:rsidRDefault="00281321" w:rsidP="00281321">
      <w:pPr>
        <w:rPr>
          <w:color w:val="000000"/>
        </w:rPr>
      </w:pPr>
      <w:r>
        <w:rPr>
          <w:color w:val="FF0000"/>
        </w:rPr>
        <w:tab/>
      </w:r>
      <w:r>
        <w:rPr>
          <w:color w:val="000000"/>
        </w:rPr>
        <w:t>As características das mulheres já citadas estão intimamente relacionadas com a imagem que o estrangeiro possui da mulher brasileira. O estrangeiro vem para o Brasil para procurar uma mulher submissa, prendada e sensual (DIAS FILHO e SARDENBERG, 1998) e este fato foi confirmado pelos facilitadores que revelaram a sensualidade da mulher baiana como um atrativo para os turistas. Além desta sensualidade, foi citado também por estes a cor e a diferença racial como fatores de atração. Esta diferença racial é dita nas entrevistas como uma variedade, se referindo a uma mistura de raças, além de uma diferença dos padrões culturais e estéticos existentes entre o Brasil e o país de origem dos turistas.</w:t>
      </w:r>
    </w:p>
    <w:p w:rsidR="00281321" w:rsidRDefault="00281321" w:rsidP="00281321">
      <w:pPr>
        <w:ind w:firstLine="708"/>
      </w:pPr>
      <w:r>
        <w:t>Esta visão do feminino está intimamente ligada com a imagem do Brasil.</w:t>
      </w:r>
      <w:r>
        <w:rPr>
          <w:b/>
        </w:rPr>
        <w:t xml:space="preserve"> </w:t>
      </w:r>
      <w:r>
        <w:t xml:space="preserve">A forma que estes estrangeiros vêem as mulheres é reflexo da imagem do país que é divulgada no exterior. Esta imagem foi construída através das propagandas que enfatizavam as belezas naturais do país, a cultura, o caráter exótico e sensual das mulheres brasileiras (DIAS FILHO, 1998). Isso pode ser comprovado através de algumas entrevistas em que os facilitadores relatavam como a fama do Brasil atrai os turistas para o nosso país. </w:t>
      </w:r>
    </w:p>
    <w:p w:rsidR="00281321" w:rsidRDefault="00281321" w:rsidP="00281321">
      <w:pPr>
        <w:ind w:firstLine="708"/>
      </w:pPr>
      <w:r>
        <w:t>Além disso, essa propaganda também veicula a imagem feminina à imagem de um país festivo, de clima quente, cordial e receptivo ao estrangeiro. Com isso, a mulher também é vista a partir de uma cultura colonial, ou seja, de um país que oferece suas belezas naturais para atrair o outro que vem de fora, já que o próprio processo de colonização foi marcado pela submissão e subserviência do povo, e principalmente das mulheres. Foi encontrado também nas entrevistas com os facilitadores que essa propaganda não está somente restrita às belezas naturais e das mulheres, mas também às facilidades encontradas aqui no que diz respeito ao contato com as mulheres envolvidas na prática do Turismo Sexual.</w:t>
      </w:r>
    </w:p>
    <w:p w:rsidR="00281321" w:rsidRDefault="00281321" w:rsidP="00281321">
      <w:pPr>
        <w:ind w:firstLine="708"/>
      </w:pPr>
      <w:r>
        <w:t>Existem dois fatores principais que motivam mulheres baianas a se relacionarem com estrangeiros. Uma das motivações que se mostra evidente é a busca de uma ascensão social por parte dessas mulheres, que corresponde a uma mudança de classe. Isso pode ser ilustrado nos relatos que informam que a mulher gosta de sair pra jantar, ganhar presentes</w:t>
      </w:r>
      <w:r>
        <w:rPr>
          <w:color w:val="FF0000"/>
        </w:rPr>
        <w:t>.</w:t>
      </w:r>
      <w:r>
        <w:t xml:space="preserve"> Muito mais que o dinheiro, elas buscam certo status social.</w:t>
      </w:r>
    </w:p>
    <w:p w:rsidR="00281321" w:rsidRDefault="00281321" w:rsidP="00281321">
      <w:r>
        <w:lastRenderedPageBreak/>
        <w:tab/>
        <w:t xml:space="preserve">Além da ascensão social, outro fator que influencia o envolvimento dessas mulheres com os turistas está relacionado com a possibilidade de saída do país. A perspectiva de sair do país é evidente nos discursos dos entrevistados. </w:t>
      </w:r>
    </w:p>
    <w:p w:rsidR="00281321" w:rsidRDefault="00281321" w:rsidP="00281321">
      <w:r>
        <w:tab/>
        <w:t>Com relação à migração feminina, foi evidenciado nas entrevistas um desconhecimento das condições da imigrante brasileira no exterior. Os dados obtidos revelaram o que Guimarães (2003) já havia evidenciado: há o sonho de casar sem o conhecimento das condições da mulher imigrante; muitas vezes, estas têm seus documentos apreendidos, são impedidas de retornar ao país de origem e obrigadas a se prostituir.</w:t>
      </w:r>
    </w:p>
    <w:p w:rsidR="00281321" w:rsidRDefault="00281321" w:rsidP="00281321">
      <w:pPr>
        <w:ind w:firstLine="708"/>
      </w:pPr>
      <w:r>
        <w:t xml:space="preserve">Apesar disso, percebe-se entre os facilitadores uma visão positiva da migração. Os dados evidenciaram que estes facilitadores acham que sair do país através de um relacionamento </w:t>
      </w:r>
      <w:r>
        <w:rPr>
          <w:i/>
          <w:iCs/>
        </w:rPr>
        <w:t>“é o melhor negócio”</w:t>
      </w:r>
      <w:r>
        <w:t>. Este fato é compreensível, já que os próprios facilitadores estão, muitas vezes, envolvidos com estrangeiras. Um deles, (sujeito 1), está com viagem marcada para a Inglaterra, que ocorreu através de um relacionamento iniciado na cidade de Salvador com uma estrangeira. Além dele, o sujeito 3 tem uma boa relação com este tipo de tema, porque o próprio é filho de um estrangeiro alemão com uma baiana.</w:t>
      </w:r>
    </w:p>
    <w:p w:rsidR="00281321" w:rsidRDefault="00281321" w:rsidP="00281321">
      <w:r>
        <w:tab/>
        <w:t>Através desse fato, percebe-se que há uma familiaridade entre o facilitador e o turismo sexual. Entre aqueles que não demonstraram essa familiaridade, evidencia-se uma naturalidade nos seus discursos, revelando, o que nos arriscamos a dizer, que o turismo sexual é uma prática que acaba fazendo parte da cultura baiana.</w:t>
      </w:r>
    </w:p>
    <w:p w:rsidR="00281321" w:rsidRDefault="00281321" w:rsidP="00281321">
      <w:pPr>
        <w:ind w:firstLine="708"/>
      </w:pPr>
      <w:r>
        <w:t>Conclui-se que, além de um desconhecimento da realidade da imigrante feminina no exterior, de acordo com Guimarães (2003), verificou-se, através desta pesquisa, que existe também o desconhecimento desta realidade por parte dos facilitadores.</w:t>
      </w:r>
    </w:p>
    <w:p w:rsidR="00281321" w:rsidRDefault="00281321" w:rsidP="00281321">
      <w:pPr>
        <w:ind w:firstLine="708"/>
      </w:pPr>
      <w:r>
        <w:t>Em relação à prostituição, Dias Filho e Sardenberg (1998) dizem que esta se encontra intimamente ligada ao turismo sexual. Porém, durante a análise de dados, pôde-se perceber que muitas mulheres citadas nas entrevistas eram conhecidas dos sujeitos da pesquisa. Um dos entrevistados, inclusive, relatou ter apresentado sua irmã a um turista. Evidenciou-se, portanto, que o relacionamento estabelecido entre as mulheres baianas e o estrangeiro está muito mais ligado à disponibilidade e à facilidade com que o assunto é tratado em Salvador, principalmente no local onde a pesquisa foi realizada – a praia do Porto da Barra. Vincula-se a isso um sentimento de cumplicidade com o estrangeiro, muito relacionado com o sentimento do colonizado para com o colonizador.</w:t>
      </w:r>
    </w:p>
    <w:p w:rsidR="00281321" w:rsidRDefault="00281321" w:rsidP="00281321">
      <w:pPr>
        <w:ind w:firstLine="708"/>
      </w:pPr>
      <w:r>
        <w:lastRenderedPageBreak/>
        <w:t xml:space="preserve">Quanto ao dado, de certo novo, que as mulheres envolvidas com o turismo sexual são consideradas pelos facilitadores como prostitutas, questiona-se aí o provável preconceito e distanciamento para com a prática. Percebe-se que esse tratamento possivelmente não acontece quando as mulheres contatadas pelos facilitadores são conhecidas, amigas, irmãs. Assim, a proximidade ou não dos facilitadores, tanto com as mulheres quanto com o turismo sexual em si, influencia nas características dadas a essas mulheres.      </w:t>
      </w:r>
    </w:p>
    <w:p w:rsidR="00281321" w:rsidRDefault="00281321" w:rsidP="00281321"/>
    <w:p w:rsidR="00281321" w:rsidRDefault="00281321" w:rsidP="00281321">
      <w:pPr>
        <w:pStyle w:val="Ttulo3"/>
        <w:jc w:val="left"/>
        <w:rPr>
          <w:rFonts w:ascii="Times New Roman" w:hAnsi="Times New Roman"/>
          <w:sz w:val="24"/>
          <w:szCs w:val="24"/>
        </w:rPr>
      </w:pPr>
      <w:r>
        <w:rPr>
          <w:rFonts w:ascii="Times New Roman" w:hAnsi="Times New Roman"/>
          <w:sz w:val="24"/>
          <w:szCs w:val="24"/>
        </w:rPr>
        <w:t>CONSIDERAÇÕES FINAIS</w:t>
      </w:r>
    </w:p>
    <w:p w:rsidR="00281321" w:rsidRDefault="00281321" w:rsidP="00281321">
      <w:pPr>
        <w:ind w:firstLine="708"/>
      </w:pPr>
      <w:r>
        <w:t xml:space="preserve">Através dessa pesquisa, pôde-se investigar o turismo sexual na cidade de Salvador, na praia do Porto da Barra, e as características envolvidas nessa prática.  As condições para essa atividade vão além dos aspectos sócio-econômicos dos envolvidos, prevalecendo também um clima de disponibilidade no país, que foi construído histórica e culturalmente.  </w:t>
      </w:r>
    </w:p>
    <w:p w:rsidR="00281321" w:rsidRDefault="00281321" w:rsidP="00281321">
      <w:pPr>
        <w:ind w:firstLine="708"/>
      </w:pPr>
      <w:r>
        <w:t>Destaca-se também que os facilitadores entrevistados encaram o turismo sexual como uma atividade complementar às suas ocupações, e que se relacionam ao contexto onde estão inseridos – ambiente, círculo de amigos.</w:t>
      </w:r>
    </w:p>
    <w:p w:rsidR="00281321" w:rsidRDefault="00281321" w:rsidP="00281321">
      <w:pPr>
        <w:ind w:firstLine="708"/>
      </w:pPr>
      <w:r>
        <w:t>Durante a pesquisa, obteve-se um dado novo e revelador quanto a um novo arranjo na dinâmica da relação que se estabelece dentro da prática do turismo sexual. Há também o envolvimento de homens baianos com mulheres estrangeiras – que se exemplifica pelo relato do sujeito 1, com viagem para a Inglaterra – motivados pelos mesmos interesses das mulheres baianas caracterizadas por essa pesquisa. Existe o interesse de sair do país, de ascensão social, além de toda a idealização de relacionar-se com alguém diferente tanto esteticamente quanto culturalmente.</w:t>
      </w:r>
    </w:p>
    <w:p w:rsidR="00281321" w:rsidRDefault="00281321" w:rsidP="00281321">
      <w:pPr>
        <w:ind w:firstLine="708"/>
      </w:pPr>
      <w:r>
        <w:t>Apesar das dificuldades encontradas quanto aos diversos temas que permeiam o turismo sexual, entre eles a prostituição, o tráfico de mulheres, e a própria dificuldade em definir um aspecto relevante para estudo, já que estes são escassos, entendemos que pesquisas nessa área e sobre esse tema especificamente são de suma importância. Colaboram no entendimento da nossa dinâmica sócio-histórica, e também para a atuação do Estado sobre práticas que, em algumas circunstâncias, podem ser consideradas ilegais.</w:t>
      </w:r>
    </w:p>
    <w:p w:rsidR="00281321" w:rsidRDefault="00281321" w:rsidP="00281321">
      <w:pPr>
        <w:ind w:firstLine="708"/>
        <w:rPr>
          <w:b/>
          <w:sz w:val="28"/>
          <w:szCs w:val="28"/>
        </w:rPr>
      </w:pPr>
      <w:r>
        <w:t xml:space="preserve">Assim, como ponto-chave e concluindo essa discussão, questiona-se a conscientização, principalmente das mulheres, sobre as reais condições em que se dá o fenômeno do turismo sexual e o papel que elas possuem </w:t>
      </w:r>
      <w:r>
        <w:lastRenderedPageBreak/>
        <w:t>nessa atividade, reforçando uma imagem criada e mantida historicamente. Como exemplo desse trabalho de conscientização destaca-se o CHAME – Centro Humanitário de Apoio à Mulher, uma ONG localizada em Salvador que tem como objetivo conscientizar e sensibilizar não só as mulheres jovens e adultas envolvidas nessa prática, mas também toda a sociedade.</w:t>
      </w:r>
      <w:r>
        <w:rPr>
          <w:b/>
          <w:sz w:val="28"/>
          <w:szCs w:val="28"/>
        </w:rPr>
        <w:tab/>
      </w:r>
    </w:p>
    <w:p w:rsidR="00281321" w:rsidRDefault="00281321" w:rsidP="00281321">
      <w:pPr>
        <w:ind w:firstLine="708"/>
        <w:rPr>
          <w:b/>
          <w:sz w:val="28"/>
          <w:szCs w:val="28"/>
        </w:rPr>
      </w:pPr>
    </w:p>
    <w:p w:rsidR="00281321" w:rsidRDefault="00281321" w:rsidP="00281321">
      <w:pPr>
        <w:rPr>
          <w:b/>
        </w:rPr>
      </w:pPr>
      <w:r>
        <w:rPr>
          <w:b/>
        </w:rPr>
        <w:t>Referências Bibliográficas</w:t>
      </w:r>
    </w:p>
    <w:p w:rsidR="00281321" w:rsidRDefault="00281321" w:rsidP="00281321">
      <w:r>
        <w:t xml:space="preserve">CORRÊA, M. Sobre a invenção da mulata. </w:t>
      </w:r>
      <w:r>
        <w:rPr>
          <w:i/>
        </w:rPr>
        <w:t>Cadernos Pagu,</w:t>
      </w:r>
      <w:r>
        <w:t xml:space="preserve"> nº 6-7 (p. 35-50), 1996.</w:t>
      </w:r>
    </w:p>
    <w:p w:rsidR="00281321" w:rsidRDefault="00281321" w:rsidP="00281321"/>
    <w:p w:rsidR="00281321" w:rsidRDefault="00281321" w:rsidP="00281321">
      <w:pPr>
        <w:rPr>
          <w:color w:val="666666"/>
        </w:rPr>
      </w:pPr>
      <w:r>
        <w:t>BARDIN, L., Análise de Conteúdo</w:t>
      </w:r>
      <w:r>
        <w:rPr>
          <w:color w:val="666666"/>
        </w:rPr>
        <w:t xml:space="preserve">. </w:t>
      </w:r>
      <w:r>
        <w:t>Lisboa. Edição 70, 2000.</w:t>
      </w:r>
    </w:p>
    <w:p w:rsidR="00281321" w:rsidRDefault="00281321" w:rsidP="00281321"/>
    <w:p w:rsidR="00281321" w:rsidRDefault="00281321" w:rsidP="00281321">
      <w:r>
        <w:t xml:space="preserve">DIAS FILHO, A.J. e SARDEMBERG, C.M.B. O que é que a Bahia tem. O outro lado do turismo em Salvador. </w:t>
      </w:r>
      <w:r>
        <w:rPr>
          <w:i/>
        </w:rPr>
        <w:t xml:space="preserve">Revista do CHAME – Centro Humanitário de Apoio à Mulher, </w:t>
      </w:r>
      <w:r>
        <w:t>Salvador, 1998.</w:t>
      </w:r>
    </w:p>
    <w:p w:rsidR="00281321" w:rsidRDefault="00281321" w:rsidP="00281321"/>
    <w:p w:rsidR="00281321" w:rsidRDefault="00281321" w:rsidP="00281321">
      <w:r>
        <w:t xml:space="preserve">DIAS FILHO, A.J. As mulatas que não estão no mapa. </w:t>
      </w:r>
      <w:r>
        <w:rPr>
          <w:i/>
        </w:rPr>
        <w:t>Cadernos Pagu,</w:t>
      </w:r>
      <w:r>
        <w:t xml:space="preserve"> nº 6-7 (p. 51-66), 1996.</w:t>
      </w:r>
    </w:p>
    <w:p w:rsidR="00281321" w:rsidRDefault="00281321" w:rsidP="00281321"/>
    <w:p w:rsidR="00281321" w:rsidRDefault="00281321" w:rsidP="00281321">
      <w:r>
        <w:t>DIAS FILHO, A.J. Fulôs, Ritas, Gabrielas, Gringólas e Garotas de Programa. Falas, práticas, textos e imagens em torno de negras e mestiças, que apontam para a construção da identidade nacional, a partir da sensualidade atribuída à mulher brasileira. Dissertação de Mestrado, Salvador: Universidade Federal da Bahia, 1998.</w:t>
      </w:r>
    </w:p>
    <w:p w:rsidR="00281321" w:rsidRDefault="00281321" w:rsidP="00281321"/>
    <w:p w:rsidR="00281321" w:rsidRDefault="00281321" w:rsidP="00281321">
      <w:r>
        <w:t xml:space="preserve">DIAS, M.R.C. Por uma compreensão do conceito de gênero. In: FAGUNDES, T.C.P.C. (Org), </w:t>
      </w:r>
      <w:r>
        <w:rPr>
          <w:i/>
        </w:rPr>
        <w:t>Ensaios sobre Identidade e Gênero.</w:t>
      </w:r>
      <w:r>
        <w:t xml:space="preserve"> Salvador, p. 15-34, Helvécia, 2003.</w:t>
      </w:r>
    </w:p>
    <w:p w:rsidR="00281321" w:rsidRDefault="00281321" w:rsidP="00281321"/>
    <w:p w:rsidR="00281321" w:rsidRDefault="00281321" w:rsidP="00281321"/>
    <w:p w:rsidR="00281321" w:rsidRDefault="00281321" w:rsidP="00281321">
      <w:r>
        <w:t xml:space="preserve">FAGUNDES, T.C.P.C. A identidade feminina – uma construção histórico-cultural. </w:t>
      </w:r>
      <w:r>
        <w:rPr>
          <w:i/>
        </w:rPr>
        <w:t>Ensaios sobre Identidade e Gênero.</w:t>
      </w:r>
      <w:r>
        <w:t xml:space="preserve"> Salvador, p. 63-89, Helvécia, 2003.</w:t>
      </w:r>
    </w:p>
    <w:p w:rsidR="00281321" w:rsidRDefault="00281321" w:rsidP="00281321"/>
    <w:p w:rsidR="00281321" w:rsidRDefault="00281321" w:rsidP="00281321">
      <w:r>
        <w:lastRenderedPageBreak/>
        <w:t xml:space="preserve">FRANÇA, G.V.de. Prostituição: um enfoque político-social. </w:t>
      </w:r>
      <w:r>
        <w:rPr>
          <w:bCs/>
          <w:i/>
        </w:rPr>
        <w:t>Femina</w:t>
      </w:r>
      <w:r>
        <w:t xml:space="preserve">, Rio de Janeiro, v. 22, n.2, p. 145-148, fev. 1994. </w:t>
      </w:r>
      <w:r>
        <w:br/>
      </w:r>
    </w:p>
    <w:p w:rsidR="00281321" w:rsidRDefault="00281321" w:rsidP="00281321">
      <w:r>
        <w:t>GUIMARÃES, M.J.B. Cap. 2: “Os anúncios”, In: “</w:t>
      </w:r>
      <w:r>
        <w:rPr>
          <w:i/>
        </w:rPr>
        <w:t>Empresário procura mulher jovem, morena, bonita, liberal...”</w:t>
      </w:r>
      <w:r>
        <w:t xml:space="preserve"> explorando os anúncios de estrangeiros. EDUFBA, Salvador, 2002.</w:t>
      </w:r>
    </w:p>
    <w:p w:rsidR="00281321" w:rsidRDefault="00281321" w:rsidP="00281321"/>
    <w:p w:rsidR="00281321" w:rsidRDefault="00281321" w:rsidP="00281321">
      <w:r>
        <w:t>GUIMARÃES, M.J.B. O turismo sexual é mais intenso no litoral. [online]. Disponível em: http:// www.comciência.br/ acesso em 03 de novembro de 2005.</w:t>
      </w:r>
    </w:p>
    <w:p w:rsidR="00281321" w:rsidRDefault="00281321" w:rsidP="00281321"/>
    <w:p w:rsidR="00281321" w:rsidRDefault="00281321" w:rsidP="00281321">
      <w:r>
        <w:t>PEREIRA, M.E. Psicologia Social dos Estereótipos. São Paulo, EPU, 2002.</w:t>
      </w:r>
    </w:p>
    <w:p w:rsidR="00281321" w:rsidRDefault="00281321" w:rsidP="00281321"/>
    <w:p w:rsidR="00281321" w:rsidRDefault="00281321" w:rsidP="00281321">
      <w:r>
        <w:t xml:space="preserve">PISCITELLI, A. “Sexo Tropical”: Comentários sobre gênero e “raça” em alguns textos da mídia brasileira. </w:t>
      </w:r>
      <w:r>
        <w:rPr>
          <w:i/>
        </w:rPr>
        <w:t xml:space="preserve">Cadernos Pagu, </w:t>
      </w:r>
      <w:r>
        <w:t>nº 6-7 (p. 9-34), 1996.</w:t>
      </w:r>
    </w:p>
    <w:p w:rsidR="00281321" w:rsidRDefault="00281321" w:rsidP="00281321"/>
    <w:p w:rsidR="00281321" w:rsidRDefault="00281321" w:rsidP="00281321">
      <w:r>
        <w:t xml:space="preserve">REIS FILHO, J.T. Um olhar sobre a questão racial no Brasil. </w:t>
      </w:r>
      <w:r>
        <w:rPr>
          <w:i/>
        </w:rPr>
        <w:t xml:space="preserve">Cadernos Psicologia, </w:t>
      </w:r>
      <w:r>
        <w:t>Belo Horizonte, vol. 3, nº 4 (p. 19-24) 1995.</w:t>
      </w:r>
    </w:p>
    <w:p w:rsidR="00281321" w:rsidRDefault="00281321" w:rsidP="00281321"/>
    <w:p w:rsidR="00281321" w:rsidRDefault="00281321" w:rsidP="00281321">
      <w:r>
        <w:t xml:space="preserve">TADEI, E. M., “A mestiçagem enquanto dispositivo de poder e a constituição de nossa identidade nacional”, </w:t>
      </w:r>
      <w:r>
        <w:rPr>
          <w:i/>
        </w:rPr>
        <w:t>Revista Psicologia Ciência e Profissão</w:t>
      </w:r>
      <w:r>
        <w:t xml:space="preserve"> - Ano 2002 - Nº4.</w:t>
      </w:r>
    </w:p>
    <w:p w:rsidR="00281321" w:rsidRDefault="00281321" w:rsidP="00281321"/>
    <w:p w:rsidR="00281321" w:rsidRDefault="00281321" w:rsidP="00281321">
      <w:r>
        <w:t xml:space="preserve">TORRES, C.R.V. Sobre gênero e identidade. In: FAGUNDES, T.C.P.C. </w:t>
      </w:r>
      <w:r>
        <w:rPr>
          <w:i/>
        </w:rPr>
        <w:t xml:space="preserve">Ensaios sobre Identidade e Gênero. </w:t>
      </w:r>
      <w:r>
        <w:t>Salvador, p. 37-60, Helvécia, 2003.</w:t>
      </w:r>
    </w:p>
    <w:p w:rsidR="00281321" w:rsidRDefault="00281321" w:rsidP="00281321"/>
    <w:p w:rsidR="00281321" w:rsidRDefault="00281321" w:rsidP="00281321">
      <w:r>
        <w:t xml:space="preserve"> WIKIPEDIA, a enciclopédia livre. Prostituição. [online]. Disponível em: </w:t>
      </w:r>
    </w:p>
    <w:p w:rsidR="00281321" w:rsidRDefault="00281321" w:rsidP="00281321">
      <w:r>
        <w:t xml:space="preserve">  http:// www.wikipedia.org/ acesso em 04 de novembro de 2005. </w:t>
      </w:r>
    </w:p>
    <w:p w:rsidR="00281321" w:rsidRDefault="00281321" w:rsidP="00281321"/>
    <w:p w:rsidR="00281321" w:rsidRDefault="00281321" w:rsidP="009741F1"/>
    <w:p w:rsidR="00281321" w:rsidRDefault="00281321" w:rsidP="009741F1"/>
    <w:p w:rsidR="00281321" w:rsidRDefault="00281321" w:rsidP="009741F1"/>
    <w:p w:rsidR="00281321" w:rsidRDefault="00281321" w:rsidP="009741F1"/>
    <w:p w:rsidR="00281321" w:rsidRDefault="00281321" w:rsidP="009741F1"/>
    <w:p w:rsidR="00281321" w:rsidRDefault="00281321" w:rsidP="009741F1"/>
    <w:p w:rsidR="00281321" w:rsidRDefault="00281321" w:rsidP="009741F1"/>
    <w:p w:rsidR="00281321" w:rsidRDefault="00281321" w:rsidP="009741F1"/>
    <w:p w:rsidR="00281321" w:rsidRDefault="00281321" w:rsidP="009741F1"/>
    <w:p w:rsidR="00281321" w:rsidRDefault="00281321" w:rsidP="009741F1"/>
    <w:p w:rsidR="00281321" w:rsidRDefault="00281321" w:rsidP="009741F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F153D4" w:rsidRPr="001E2C63" w:rsidTr="00505E82">
        <w:tc>
          <w:tcPr>
            <w:tcW w:w="6771" w:type="dxa"/>
            <w:shd w:val="clear" w:color="auto" w:fill="auto"/>
          </w:tcPr>
          <w:p w:rsidR="00F153D4" w:rsidRPr="00505E82" w:rsidRDefault="00F153D4" w:rsidP="00281321">
            <w:pPr>
              <w:pStyle w:val="Ttulo2"/>
              <w:spacing w:before="120" w:after="120" w:line="240" w:lineRule="auto"/>
              <w:rPr>
                <w:rFonts w:ascii="Times New Roman" w:hAnsi="Times New Roman"/>
                <w:sz w:val="24"/>
                <w:szCs w:val="24"/>
              </w:rPr>
            </w:pPr>
            <w:r w:rsidRPr="00505E82">
              <w:rPr>
                <w:rFonts w:ascii="Times New Roman" w:hAnsi="Times New Roman"/>
                <w:b w:val="0"/>
                <w:i w:val="0"/>
                <w:sz w:val="24"/>
                <w:szCs w:val="24"/>
              </w:rPr>
              <w:t>Nome</w:t>
            </w:r>
            <w:r w:rsidR="00281321" w:rsidRPr="00505E82">
              <w:rPr>
                <w:rFonts w:ascii="Times New Roman" w:hAnsi="Times New Roman"/>
                <w:b w:val="0"/>
                <w:caps/>
                <w:sz w:val="24"/>
                <w:szCs w:val="24"/>
              </w:rPr>
              <w:t>:</w:t>
            </w:r>
            <w:r w:rsidRPr="00505E82">
              <w:rPr>
                <w:rFonts w:ascii="Times New Roman" w:hAnsi="Times New Roman"/>
                <w:b w:val="0"/>
                <w:caps/>
                <w:sz w:val="24"/>
                <w:szCs w:val="24"/>
              </w:rPr>
              <w:t xml:space="preserve"> </w:t>
            </w:r>
            <w:bookmarkStart w:id="4" w:name="OLE_LINK1"/>
            <w:bookmarkStart w:id="5" w:name="OLE_LINK2"/>
            <w:r w:rsidR="00281321" w:rsidRPr="00505E82">
              <w:rPr>
                <w:rFonts w:ascii="Times New Roman" w:hAnsi="Times New Roman"/>
                <w:b w:val="0"/>
                <w:i w:val="0"/>
                <w:sz w:val="24"/>
                <w:szCs w:val="24"/>
              </w:rPr>
              <w:t>Desaparecidos civis: um problema de gênero e geracional</w:t>
            </w:r>
            <w:bookmarkEnd w:id="4"/>
            <w:bookmarkEnd w:id="5"/>
          </w:p>
        </w:tc>
        <w:tc>
          <w:tcPr>
            <w:tcW w:w="1873" w:type="dxa"/>
            <w:vMerge w:val="restart"/>
            <w:shd w:val="clear" w:color="auto" w:fill="auto"/>
          </w:tcPr>
          <w:p w:rsidR="00F153D4" w:rsidRPr="001E2C63" w:rsidRDefault="00F153D4" w:rsidP="00505E82">
            <w:pPr>
              <w:spacing w:line="240" w:lineRule="auto"/>
              <w:rPr>
                <w:rFonts w:ascii="Times New Roman" w:hAnsi="Times New Roman"/>
                <w:b/>
                <w:sz w:val="36"/>
                <w:szCs w:val="36"/>
              </w:rPr>
            </w:pPr>
            <w:r>
              <w:rPr>
                <w:rFonts w:ascii="Times New Roman" w:hAnsi="Times New Roman"/>
                <w:b/>
                <w:sz w:val="36"/>
                <w:szCs w:val="36"/>
              </w:rPr>
              <w:t>A 00</w:t>
            </w:r>
            <w:r w:rsidR="00281321">
              <w:rPr>
                <w:rFonts w:ascii="Times New Roman" w:hAnsi="Times New Roman"/>
                <w:b/>
                <w:sz w:val="36"/>
                <w:szCs w:val="36"/>
              </w:rPr>
              <w:t>9</w:t>
            </w:r>
          </w:p>
          <w:p w:rsidR="00F153D4" w:rsidRPr="001E2C63" w:rsidRDefault="00281321" w:rsidP="00505E82">
            <w:pPr>
              <w:spacing w:line="240" w:lineRule="auto"/>
              <w:rPr>
                <w:rFonts w:ascii="Times New Roman" w:hAnsi="Times New Roman"/>
                <w:sz w:val="24"/>
                <w:szCs w:val="24"/>
              </w:rPr>
            </w:pPr>
            <w:r>
              <w:rPr>
                <w:rFonts w:ascii="Times New Roman" w:hAnsi="Times New Roman"/>
                <w:b/>
                <w:sz w:val="36"/>
                <w:szCs w:val="36"/>
              </w:rPr>
              <w:t>Menção Honrosa</w:t>
            </w:r>
          </w:p>
        </w:tc>
      </w:tr>
      <w:tr w:rsidR="00F153D4" w:rsidRPr="001E2C63" w:rsidTr="00505E82">
        <w:tc>
          <w:tcPr>
            <w:tcW w:w="6771" w:type="dxa"/>
            <w:shd w:val="clear" w:color="auto" w:fill="auto"/>
          </w:tcPr>
          <w:p w:rsidR="00F153D4" w:rsidRPr="00281321" w:rsidRDefault="00F153D4" w:rsidP="00281321">
            <w:pPr>
              <w:jc w:val="left"/>
              <w:rPr>
                <w:rFonts w:ascii="Times New Roman" w:hAnsi="Times New Roman"/>
                <w:sz w:val="24"/>
                <w:szCs w:val="24"/>
              </w:rPr>
            </w:pPr>
            <w:r w:rsidRPr="00281321">
              <w:rPr>
                <w:rFonts w:ascii="Times New Roman" w:hAnsi="Times New Roman"/>
                <w:sz w:val="24"/>
                <w:szCs w:val="24"/>
              </w:rPr>
              <w:t xml:space="preserve">Autora/o </w:t>
            </w:r>
            <w:r w:rsidR="00281321" w:rsidRPr="00281321">
              <w:rPr>
                <w:rFonts w:ascii="Times New Roman" w:hAnsi="Times New Roman"/>
                <w:sz w:val="24"/>
                <w:szCs w:val="24"/>
              </w:rPr>
              <w:t>Dijaci David de Oliveira</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281321" w:rsidRDefault="00F153D4" w:rsidP="00281321">
            <w:pPr>
              <w:jc w:val="left"/>
              <w:rPr>
                <w:rFonts w:ascii="Times New Roman" w:hAnsi="Times New Roman"/>
                <w:sz w:val="24"/>
                <w:szCs w:val="24"/>
              </w:rPr>
            </w:pPr>
            <w:r w:rsidRPr="00281321">
              <w:rPr>
                <w:rFonts w:ascii="Times New Roman" w:hAnsi="Times New Roman"/>
                <w:sz w:val="24"/>
                <w:szCs w:val="24"/>
              </w:rPr>
              <w:t>Orientadora/o</w:t>
            </w:r>
            <w:r w:rsidRPr="00281321">
              <w:rPr>
                <w:rFonts w:ascii="Times New Roman" w:hAnsi="Times New Roman"/>
                <w:bCs/>
                <w:sz w:val="24"/>
                <w:szCs w:val="24"/>
              </w:rPr>
              <w:t xml:space="preserve"> </w:t>
            </w:r>
            <w:r w:rsidR="00281321" w:rsidRPr="00281321">
              <w:rPr>
                <w:rFonts w:ascii="Times New Roman" w:hAnsi="Times New Roman"/>
                <w:sz w:val="24"/>
                <w:szCs w:val="24"/>
              </w:rPr>
              <w:t>Lourdes M. Bandeira</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281321" w:rsidRDefault="00F153D4" w:rsidP="00281321">
            <w:pPr>
              <w:spacing w:line="240" w:lineRule="auto"/>
              <w:rPr>
                <w:rFonts w:ascii="Times New Roman" w:hAnsi="Times New Roman"/>
                <w:sz w:val="24"/>
                <w:szCs w:val="24"/>
              </w:rPr>
            </w:pPr>
            <w:r w:rsidRPr="00281321">
              <w:rPr>
                <w:rFonts w:ascii="Times New Roman" w:hAnsi="Times New Roman"/>
                <w:sz w:val="24"/>
                <w:szCs w:val="24"/>
              </w:rPr>
              <w:t>IES:</w:t>
            </w:r>
            <w:r w:rsidR="00281321" w:rsidRPr="00281321">
              <w:rPr>
                <w:rFonts w:ascii="Times New Roman" w:hAnsi="Times New Roman"/>
                <w:sz w:val="24"/>
                <w:szCs w:val="24"/>
              </w:rPr>
              <w:t>UNB</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281321" w:rsidRDefault="00F153D4" w:rsidP="00281321">
            <w:pPr>
              <w:spacing w:line="240" w:lineRule="auto"/>
              <w:rPr>
                <w:rFonts w:ascii="Times New Roman" w:hAnsi="Times New Roman"/>
                <w:sz w:val="24"/>
                <w:szCs w:val="24"/>
              </w:rPr>
            </w:pPr>
            <w:r w:rsidRPr="00281321">
              <w:rPr>
                <w:rFonts w:ascii="Times New Roman" w:hAnsi="Times New Roman"/>
                <w:sz w:val="24"/>
                <w:szCs w:val="24"/>
              </w:rPr>
              <w:t xml:space="preserve">Cidade/Estado: </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281321" w:rsidRDefault="00F153D4" w:rsidP="00281321">
            <w:pPr>
              <w:spacing w:line="240" w:lineRule="auto"/>
              <w:rPr>
                <w:rFonts w:ascii="Times New Roman" w:hAnsi="Times New Roman"/>
                <w:sz w:val="24"/>
                <w:szCs w:val="24"/>
              </w:rPr>
            </w:pPr>
            <w:r w:rsidRPr="00281321">
              <w:rPr>
                <w:rFonts w:ascii="Times New Roman" w:hAnsi="Times New Roman"/>
                <w:sz w:val="24"/>
                <w:szCs w:val="24"/>
              </w:rPr>
              <w:t>Outras Informações: Estudante de Gradua</w:t>
            </w:r>
            <w:r w:rsidR="00281321" w:rsidRPr="00281321">
              <w:rPr>
                <w:rFonts w:ascii="Times New Roman" w:hAnsi="Times New Roman"/>
                <w:sz w:val="24"/>
                <w:szCs w:val="24"/>
              </w:rPr>
              <w:t>do -</w:t>
            </w:r>
            <w:r w:rsidRPr="00281321">
              <w:rPr>
                <w:rFonts w:ascii="Times New Roman" w:hAnsi="Times New Roman"/>
                <w:sz w:val="24"/>
                <w:szCs w:val="24"/>
              </w:rPr>
              <w:t xml:space="preserve"> </w:t>
            </w:r>
            <w:r w:rsidR="00281321" w:rsidRPr="00281321">
              <w:rPr>
                <w:rFonts w:ascii="Times New Roman" w:eastAsia="Times New Roman" w:hAnsi="Times New Roman"/>
                <w:sz w:val="24"/>
                <w:szCs w:val="24"/>
                <w:lang w:eastAsia="pt-BR"/>
              </w:rPr>
              <w:t>Programa de Pós-graduação em Sociologia, UnB</w:t>
            </w:r>
          </w:p>
          <w:p w:rsidR="00F153D4" w:rsidRPr="00281321" w:rsidRDefault="00F153D4" w:rsidP="00281321">
            <w:pPr>
              <w:spacing w:line="240" w:lineRule="auto"/>
              <w:rPr>
                <w:rFonts w:ascii="Times New Roman" w:hAnsi="Times New Roman"/>
                <w:sz w:val="24"/>
                <w:szCs w:val="24"/>
              </w:rPr>
            </w:pP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bl>
    <w:p w:rsidR="00F153D4" w:rsidRDefault="00F153D4" w:rsidP="009741F1"/>
    <w:p w:rsidR="00281321" w:rsidRDefault="00281321" w:rsidP="00281321">
      <w:pPr>
        <w:spacing w:before="120" w:after="120"/>
      </w:pPr>
    </w:p>
    <w:p w:rsidR="00281321" w:rsidRDefault="00281321" w:rsidP="00281321">
      <w:pPr>
        <w:pStyle w:val="Ttulo2"/>
        <w:spacing w:before="120" w:after="120"/>
        <w:rPr>
          <w:rFonts w:ascii="Times New Roman" w:hAnsi="Times New Roman"/>
          <w:i w:val="0"/>
          <w:sz w:val="24"/>
          <w:szCs w:val="24"/>
        </w:rPr>
      </w:pPr>
      <w:r>
        <w:rPr>
          <w:rFonts w:ascii="Times New Roman" w:hAnsi="Times New Roman"/>
          <w:i w:val="0"/>
          <w:sz w:val="24"/>
          <w:szCs w:val="24"/>
        </w:rPr>
        <w:t>Introdução</w:t>
      </w:r>
    </w:p>
    <w:p w:rsidR="00281321" w:rsidRDefault="00281321" w:rsidP="00281321">
      <w:pPr>
        <w:spacing w:before="120" w:after="120"/>
      </w:pPr>
      <w:r>
        <w:t>Neste trabalho se procurou abordar o fenômeno dos desaparecimentos de pessoas no Brasil. O desaparecido civil é aqui caracterizado como sendo: a) todo evento em que uma pessoa que sai de um determinado ambiente de convivência familiar ou de algum grupo de referência emocional-afetiva, b) se desloca objetivando realizar qualquer atividade cotidiana e, c) sem quaisquer explicações croncretas, desaparece, d) ato contínuo observa-se uma ruptura de sua trajetória cotidiana de ir e vir, além da convivência com os seus familiares e conhecidos, e) sem motivo aparente e sem que houvesse qualquer anúncio direto ou indireto de sua intenção de partir, sumiu sem deixar vestígio.</w:t>
      </w:r>
    </w:p>
    <w:p w:rsidR="00281321" w:rsidRDefault="00281321" w:rsidP="00281321">
      <w:pPr>
        <w:spacing w:before="120" w:after="120"/>
      </w:pPr>
      <w:r>
        <w:lastRenderedPageBreak/>
        <w:t xml:space="preserve">A pesquisa procurou compreender ainda o que é este fenômeno, seus antecedentes, assim como os caminhos percorridos pelos familiares e conhecidos após o fato. A análise do fenômeno a pesquisa se concentrou sobre a relação entre a família e os desaparecimentos. A hipótese de trabalho foi de que a família se apresenta como um nódulo central para a produção dos desaparecidos. </w:t>
      </w:r>
    </w:p>
    <w:p w:rsidR="00281321" w:rsidRDefault="00281321" w:rsidP="00281321">
      <w:pPr>
        <w:pStyle w:val="Recuodecorpodetexto"/>
        <w:spacing w:before="120"/>
      </w:pPr>
      <w:r>
        <w:t>Para compreender a presença do fenômeno na sociedade buscou-se alguns indicadores disponibilizados pelo Estado. A este trabalho se somou uma leitura das narrativas de familiares com pessoas desaparecidas, das narrativas de delegados de polícia e de gestores de políticas públicas. Fechando o trabalho de pesquisa se discutiu também sobre a abordagem midiática dos casos de desaparecimentos, assim como do tratamento institucional ofertado pelo Estado/polícia.</w:t>
      </w:r>
    </w:p>
    <w:p w:rsidR="00281321" w:rsidRDefault="00281321" w:rsidP="00281321">
      <w:pPr>
        <w:spacing w:before="120" w:after="120"/>
        <w:rPr>
          <w:b/>
        </w:rPr>
      </w:pPr>
      <w:r>
        <w:rPr>
          <w:b/>
        </w:rPr>
        <w:t>Objetivos</w:t>
      </w:r>
    </w:p>
    <w:p w:rsidR="00281321" w:rsidRDefault="00281321" w:rsidP="00281321">
      <w:pPr>
        <w:spacing w:before="120" w:after="120"/>
      </w:pPr>
      <w:r>
        <w:t>A cada ano mais de 40.000 crianças e adolescentes figuram nos Boletins de Ocorrências (BOs) como desaparecidos. Ao se acrescentar os adultos este número ultrapassa seguramente a casa dos 100.000 casos anuais (Reis, 2005). Entende-se que esse é um evento que produz transformações significativas numa parcela considerável das famílias e comunidades que convivem com este drama. Por ser um fenômeno profundamente marcante na experiência de vida de milhares de pessoas, torna-se imperativo compreender estas transformações. Assim, o interesse recaiu em analisar dentre os possíveis fatores intervenientes na produção dos desaparecimentos, a dinâmica dos valores presentes no contexto familiar que contribuem na produção do fenômeno.</w:t>
      </w:r>
    </w:p>
    <w:p w:rsidR="00281321" w:rsidRDefault="00281321" w:rsidP="00281321">
      <w:pPr>
        <w:spacing w:before="120" w:after="120"/>
      </w:pPr>
      <w:r>
        <w:t xml:space="preserve">Nos casos de desaparecimentos colocam-se pelo menos três problemas imediatos: “saber o que ocorreu”, “saber o que fazer”, “saber a quem procurar”, enfim, saber que providências tomar. Para tanto, nada mais evidente que recorrer às estruturas legais (tais como a instituição policial), já que, por pressuposto, o desaparecimento ocorreu em algum ambiente público. A primeira providência, embora pareça óbvia, pelo menos no Brasil não o é. Recorrer à polícia tem sido um forte obstáculo enfrentado pelas famílias de desaparecidos. A angústia familiar diz respeito à falta de amparo jurídico e psicológico para suas aflições e na ausência de aparatos policiais de investigação. Um dos problemas pode estar na complexa teia de significados que se construiu sobre o desaparecido civil. Tal situação tem inviabilizado a constituição de um estatuto legal </w:t>
      </w:r>
      <w:r>
        <w:lastRenderedPageBreak/>
        <w:t>que norteie as ações estatais e normatize as atividades policiais, assim como permita uma clara orientação sobre as relações entre a família e as instituições de apoio para a busca do desaparecido.</w:t>
      </w:r>
    </w:p>
    <w:p w:rsidR="00281321" w:rsidRDefault="00281321" w:rsidP="00281321">
      <w:pPr>
        <w:tabs>
          <w:tab w:val="left" w:pos="5670"/>
        </w:tabs>
        <w:spacing w:before="120" w:after="120"/>
      </w:pPr>
      <w:r>
        <w:t>Como desafio para a realização deste trabalho é importante destacar que, a despeito da dimensão do problema, o trabalho de pesquisa se deparou com uma significativa escassez bibliográfica. Para ampliar o drama deparou-se com os dados policiais não sistematizados, inexistência de estudos na área, negligência ou não-percepção da importância do problema por parte dos órgãos oficiais. Enfim, diante deste quadro, o objetivo que se colocou foi o de, a partir dos dados coletados junto a atores chaves (familiares, gestores estatais e delegados de polícia), compreender o status do fenômeno dos desaparecimentos no Brasil.</w:t>
      </w:r>
    </w:p>
    <w:p w:rsidR="00281321" w:rsidRDefault="00281321" w:rsidP="00281321">
      <w:pPr>
        <w:autoSpaceDE w:val="0"/>
        <w:autoSpaceDN w:val="0"/>
        <w:adjustRightInd w:val="0"/>
        <w:spacing w:before="120" w:after="120"/>
        <w:rPr>
          <w:b/>
        </w:rPr>
      </w:pPr>
      <w:r>
        <w:rPr>
          <w:b/>
        </w:rPr>
        <w:t>Metodologia</w:t>
      </w:r>
    </w:p>
    <w:p w:rsidR="00281321" w:rsidRDefault="00281321" w:rsidP="00281321">
      <w:pPr>
        <w:autoSpaceDE w:val="0"/>
        <w:autoSpaceDN w:val="0"/>
        <w:adjustRightInd w:val="0"/>
        <w:spacing w:before="120" w:after="120"/>
        <w:rPr>
          <w:i/>
        </w:rPr>
      </w:pPr>
      <w:r>
        <w:t>Este trabalho é tributário da orientação metodológica de muitos autores. Com destaque, porém, para aqueles que compreendem que o processo de pesquisa não deva se distanciar das preocupações práticas com a vida social. Numa discussão sobre o processo de pesquisa social, Minayo (1994) coloca que “</w:t>
      </w:r>
      <w:r>
        <w:rPr>
          <w:i/>
        </w:rPr>
        <w:t xml:space="preserve">(...) nada pode ser intelectualmente um problema, se não tiver sido, em primeiro lugar, um problema da vida prática. As questões da investigação estão, portanto, relacionadas a interesses e circunstâncias socialmente condicionadas” </w:t>
      </w:r>
      <w:r>
        <w:t>(Minayo, 1994:17-18).</w:t>
      </w:r>
    </w:p>
    <w:p w:rsidR="00281321" w:rsidRDefault="00281321" w:rsidP="00281321">
      <w:pPr>
        <w:spacing w:before="120" w:after="120"/>
      </w:pPr>
      <w:r>
        <w:t xml:space="preserve">Notadamente, duas outras orientações foram constantes. Se por um lado se objetivou pensar cientificamente o problema, por outro sempre se manteve uma forte ligação com as representações do senso comum. Um passo importante, de acordo com Santos (1989), na construção do novo paradigma científico, está na nova relação com os variados tipos de conhecimentos considerados não-científicos. Entretanto, é necessário, segundo o autor, que o conhecimento científico se mantenha enquanto tal. Isso significa que este deve manter alguns pré-requisitos que o distinga dos demais. </w:t>
      </w:r>
    </w:p>
    <w:p w:rsidR="00281321" w:rsidRDefault="00281321" w:rsidP="00281321">
      <w:pPr>
        <w:spacing w:before="120" w:after="120"/>
        <w:rPr>
          <w:i/>
        </w:rPr>
      </w:pPr>
      <w:r>
        <w:t xml:space="preserve">Santos (1989) afirma que é necessário, na construção do conhecimento científico, o que chama de: </w:t>
      </w:r>
      <w:r>
        <w:rPr>
          <w:i/>
        </w:rPr>
        <w:t>a dupla ruptura</w:t>
      </w:r>
      <w:r>
        <w:t>.  De acordo com o autor “</w:t>
      </w:r>
      <w:r>
        <w:rPr>
          <w:i/>
        </w:rPr>
        <w:t>A Ciência, para se constituir, tem de romper com essas evidências e com o ‘código de leitura’ do real que elas constituem"</w:t>
      </w:r>
      <w:r>
        <w:t>. (Santos, 1989:32). Assim, cabe à Ciência, no primeiro momento de construção do conhecimento científico romper com o senso comum, isto porque, segundo autor: “</w:t>
      </w:r>
      <w:r>
        <w:rPr>
          <w:i/>
        </w:rPr>
        <w:t xml:space="preserve">O senso comum é um ‘conhecimento’ evidente que pensa o que existe tal como existe e cuja função é a de reconciliar a </w:t>
      </w:r>
      <w:r>
        <w:rPr>
          <w:i/>
        </w:rPr>
        <w:lastRenderedPageBreak/>
        <w:t xml:space="preserve">todo custo a consciência comum consigo mesma. É, pois, um pensamento necessariamente conservador e fixista” </w:t>
      </w:r>
      <w:r>
        <w:t>(Santos, 1989:32).</w:t>
      </w:r>
    </w:p>
    <w:p w:rsidR="00281321" w:rsidRDefault="00281321" w:rsidP="00281321">
      <w:pPr>
        <w:spacing w:before="120" w:after="120"/>
      </w:pPr>
      <w:r>
        <w:t xml:space="preserve">Entretanto, após a </w:t>
      </w:r>
      <w:r>
        <w:rPr>
          <w:i/>
        </w:rPr>
        <w:t>primeira ruptura</w:t>
      </w:r>
      <w:r>
        <w:t xml:space="preserve">, é necessário fazer a </w:t>
      </w:r>
      <w:r>
        <w:rPr>
          <w:i/>
        </w:rPr>
        <w:t>segunda ruptura</w:t>
      </w:r>
      <w:r>
        <w:t xml:space="preserve">. Este processo Santos chamará de “dupla ruptura”. Se a primeira foi do conhecimento científico com o senso comum, a segunda será do conhecimento científico com ele mesmo. Não se trata, óbvio, de um retorno ao senso comum, mas de um reencontro da ciência com os outros tipos de conhecimentos. Trata-se, portanto, de despir o saber científico dos seus preconceitos para com os outros tipos de saberes respeitando-os enquanto outras formas de conhecimento da realidade. A discussão dessas proposições teóricas formuladas por Santos (1989), possibilita uma reflexão sobre a importância da teoria para a compreensão das relações sociais. Tomando as preocupações destes autores como pano de fundo, o trabalho de pesquisa foi realizado em três fases de coleta de dados. A primeira focalizou-se nos representantes de organizações não-governamentais (ONGs), órgãos governamentais e assemelhados no Distrito Federal (DF) e no Brasil e que atuam direta ou indiretamente na formulação de políticas públicas voltadas para crianças e adolescentes, família ou violência intrafamiliar. Na seqüência foram feitas entrevistas com os delegados de polícia civil no DF e mais um por Região brasileira. Por fim foram entrevistados familiares com notificações em delegacias de polícia no DF. A 1ª fase da pesquisa ocorreu durante o primeiro semestre de 2005. A 2ª fase foi realizada no segundo semestre de 2005. Por fim, a 3ª e última fase da pesquisa foi realizada no primeiro semestre de 2006. </w:t>
      </w:r>
    </w:p>
    <w:p w:rsidR="00281321" w:rsidRDefault="00281321" w:rsidP="00281321">
      <w:pPr>
        <w:spacing w:before="120" w:after="120"/>
      </w:pPr>
      <w:r>
        <w:t xml:space="preserve">Com relação às famílias, foram entrevistadas 25 pessoas (mães, pais, irmãs, irmãos e tias). Todos residiam ou viviam no Distrito Federal durante o período para pesquisa. Ao longo da pesquisa foram entrevistados 15 gestores. Para efeito desta análise considerou-se “gestores” tanto os funcionários públicos municipais, estaduais e federais quanto os militantes de movimentos sociais. Qual é a razão desta junção? Entende-se que os militantes de movimentos sociais são também formuladores de políticas públicas e fazem isto por meio da discussão, do questionamento e da fiscalização da coisa </w:t>
      </w:r>
      <w:r>
        <w:rPr>
          <w:iCs/>
        </w:rPr>
        <w:t>pública.</w:t>
      </w:r>
      <w:r>
        <w:t xml:space="preserve"> Mais que isto, muitos militantes assim como suas organizações atuam em parcerias com o Estado, possuem contratos de consultoria ou recebem dotação para programas de interesse geral entre outras situações, portanto, de certa forma, cuidam da gestão pública. </w:t>
      </w:r>
    </w:p>
    <w:p w:rsidR="00281321" w:rsidRDefault="00281321" w:rsidP="00281321">
      <w:pPr>
        <w:spacing w:before="120" w:after="120"/>
      </w:pPr>
      <w:r>
        <w:t xml:space="preserve">Quanto aos delegados foram entrevistados 17 no total. Em Brasília se procurou distribuí-los por diferentes regiões, conforme o perfil socioeconômico das cidades do Distrito Federal. Já os delegados entrevistados de </w:t>
      </w:r>
      <w:r>
        <w:lastRenderedPageBreak/>
        <w:t>outros estados, a escolha recaiu essencialmente por um critério regional e mais emblemático (pelo menos um por região). Com isso esperou-se trazer ao menos um relato de cada região brasileira e que pudesse enriquecer o trabalho de pesquisa com experiências de sua região, contribuindo para uma percepção mais diversificada sobre as abordagens policiais.</w:t>
      </w:r>
    </w:p>
    <w:p w:rsidR="00281321" w:rsidRDefault="00281321" w:rsidP="00281321">
      <w:pPr>
        <w:autoSpaceDE w:val="0"/>
        <w:autoSpaceDN w:val="0"/>
        <w:adjustRightInd w:val="0"/>
        <w:spacing w:before="120" w:after="120"/>
        <w:rPr>
          <w:b/>
        </w:rPr>
      </w:pPr>
      <w:r>
        <w:t>Ao longo de 2005 e 2006 foram entrevistadas 57 pessoas. O principal instrumento de coleta de informação foi a entrevista estruturada. Sobre isto cabem alguns comentários. Primeiro por conta da absoluta carência de textos analíticos sobre o tema; segundo, porque boa parte do conhecimento sobre o tema dos desaparecidos civis ainda está sob a forma de experiências de vida; terceiro, por se compreender que as narrativas das pessoas asseguram ao pesquisador encontrar indícios, dados e perspectivas para o aprofundamento do objeto de pesquisa. O roteiro de entrevista contou com questões abertas, subdivididas em cinco blocos e que objetivavam estimular que os entrevistados relatassem suas experiências acerca de temas específicos tais como a família, o estado, a polícia, a mídia e a fuga.</w:t>
      </w:r>
    </w:p>
    <w:p w:rsidR="00281321" w:rsidRDefault="00281321" w:rsidP="00281321">
      <w:pPr>
        <w:spacing w:before="120" w:after="120"/>
        <w:rPr>
          <w:b/>
        </w:rPr>
      </w:pPr>
      <w:r>
        <w:rPr>
          <w:b/>
        </w:rPr>
        <w:t>Resultados da pesquisa</w:t>
      </w:r>
    </w:p>
    <w:p w:rsidR="00281321" w:rsidRDefault="00281321" w:rsidP="00281321">
      <w:pPr>
        <w:pStyle w:val="Corpodetexto21"/>
        <w:widowControl/>
        <w:spacing w:after="120"/>
      </w:pPr>
      <w:r>
        <w:t>A despeito da história dos desaparecimentos possuir uma longa narrativa de casos, apenas muito recentemente tem sido objeto de investigação sistemática no Brasil. Dos poucos trabalhos escritos sobre o tema percebe-se uma diferença sutil de perspectiva. Uma indica que os desaparecimentos são frutos da violência urbana, outra aponta a perspectiva da violência doméstica e familiar. Estas visões interferem claramente sobre o significado do desaparecimento e, consequentemente, qual deva ser o foco das investigações, das políticas e dos programas de intervenção. Pela perspectiva da violência urbana, a família surge como uma vítima, mas pela perspectiva da violência doméstica a família emerge como produtora de desaparecimentos.</w:t>
      </w:r>
    </w:p>
    <w:p w:rsidR="00281321" w:rsidRDefault="00281321" w:rsidP="00281321">
      <w:pPr>
        <w:pStyle w:val="Corpodetexto21"/>
        <w:widowControl/>
        <w:spacing w:after="120"/>
      </w:pPr>
      <w:r>
        <w:t xml:space="preserve">Aqui, defendeu-se que o desaparecimento é um fenômeno multicausal, porém com um maior enfoque sobre a família. Entretanto, não se poderia afirmar categoricamente que a família seja responsável pelos desaparecimentos e que sobre ela devem recair todos os julgamentos. Isto não seria justo, como também não responderia adequadamente sobre as causalidades do fenômeno. A razão mais evidente para se </w:t>
      </w:r>
      <w:r>
        <w:lastRenderedPageBreak/>
        <w:t>evitar esta resposta categórica está no fato de que o fenômeno dos desaparecidos civis possui uma natureza diversa. Assim, observou-se que:</w:t>
      </w:r>
    </w:p>
    <w:p w:rsidR="00281321" w:rsidRDefault="00281321" w:rsidP="00281321">
      <w:pPr>
        <w:spacing w:before="120" w:after="120"/>
      </w:pPr>
      <w:r>
        <w:rPr>
          <w:b/>
        </w:rPr>
        <w:t>1. O fenômeno é multicausal:</w:t>
      </w:r>
      <w:r>
        <w:t xml:space="preserve"> produzido a partir de distintas formas do uso da violência. No campo da fenomenologia da violência, pode se tratar de uma “violência do Estado”, de “violência difusa” ou de outras. No primeiro caso, mais especificamente de uma “violência política” (exercida internamente no âmbito do Estado-nação). Nesta condição ocorre por meio da quebra dos princípios que norteiam os direitos humanos, dos direitos civis e dos direitos sociais ao não assegurar prerrogativas básicas tais como o direito de ir e vir, a oferta de apoio às famílias, de acesso à informação entre outros. </w:t>
      </w:r>
    </w:p>
    <w:p w:rsidR="00281321" w:rsidRDefault="00281321" w:rsidP="00281321">
      <w:pPr>
        <w:pStyle w:val="Corpodetexto21"/>
        <w:widowControl/>
        <w:spacing w:after="120"/>
      </w:pPr>
      <w:r>
        <w:rPr>
          <w:b/>
        </w:rPr>
        <w:t xml:space="preserve">2. Reflete as relações desiguais de gênero: </w:t>
      </w:r>
      <w:r>
        <w:t xml:space="preserve">aqui se destacou a perspectiva de gênero por meio das assimetrias sexistas ainda prevalentes nas relações de gênero, pelos discursos que justificam os desaparecimentos masculinos uma vez que faria parte da natureza o homem se arriscar mais, sair mais, buscar mais liberdade, estarem mais nos espaços públicos. Soma-se a isto a perspectiva naturalizante de que a mulher seria mais caseira, que aceitaria com mais facilidade sua condição. Outro dado que demonstra claramente a perspectiva de gênero está na prevalência de desaparecimentos femininos com idade de 12 a 25 anos (faixa em que são ostensivamente “tomadas” como objetos sexuais). Por fim, observa-se uma sensível distinção entre despreocupação dos pais (os homens) na busca das pessoas desaparecidas em contraposição a preocupação das mães (quase sempre são as mães que estão à frente dos movimentos sociais). </w:t>
      </w:r>
    </w:p>
    <w:p w:rsidR="00281321" w:rsidRDefault="00281321" w:rsidP="00281321">
      <w:pPr>
        <w:pStyle w:val="Recuodecorpodetexto2"/>
        <w:tabs>
          <w:tab w:val="left" w:pos="0"/>
        </w:tabs>
        <w:spacing w:before="120" w:line="360" w:lineRule="auto"/>
        <w:ind w:left="0"/>
        <w:rPr>
          <w:sz w:val="24"/>
          <w:szCs w:val="24"/>
        </w:rPr>
      </w:pPr>
      <w:r>
        <w:rPr>
          <w:b/>
          <w:sz w:val="24"/>
          <w:szCs w:val="24"/>
        </w:rPr>
        <w:t xml:space="preserve">3. Refere-se a um problema geracional: </w:t>
      </w:r>
      <w:r>
        <w:rPr>
          <w:sz w:val="24"/>
          <w:szCs w:val="24"/>
        </w:rPr>
        <w:t>esta característica se evidenciou em pelo menos três perspectivas: a) pelo fato de que as políticas públicas até então adotadas são voltadas apenas para crianças e adolescentes, consequentemente, b) o fato de que os adultos são quase que sistematicamente ignorados nas abordagens sobre o fenômeno dos desaparecimentos e, c) pela clara demonstração de preconceito contra os jovens, sobretudo nas narrativas dos delegados de polícia.</w:t>
      </w:r>
    </w:p>
    <w:p w:rsidR="00281321" w:rsidRDefault="00281321" w:rsidP="00281321">
      <w:pPr>
        <w:pStyle w:val="Recuodecorpodetexto2"/>
        <w:tabs>
          <w:tab w:val="left" w:pos="0"/>
        </w:tabs>
        <w:spacing w:before="120" w:line="360" w:lineRule="auto"/>
        <w:ind w:left="0"/>
        <w:rPr>
          <w:sz w:val="24"/>
          <w:szCs w:val="24"/>
        </w:rPr>
      </w:pPr>
      <w:r>
        <w:rPr>
          <w:b/>
          <w:sz w:val="24"/>
          <w:szCs w:val="24"/>
        </w:rPr>
        <w:t xml:space="preserve">4. Requer um debate sobre o papel da mídia: </w:t>
      </w:r>
      <w:r>
        <w:rPr>
          <w:sz w:val="24"/>
          <w:szCs w:val="24"/>
        </w:rPr>
        <w:t xml:space="preserve">se por um lado a mídia brasileira possui o mérito de ser um dos poucos espaços de exposição do fenômeno dos desaparecidos, por outro ela apresenta um forte viés de tornar o problema superficial. Para a mídia os desaparecimentos são frutos da violência </w:t>
      </w:r>
      <w:r>
        <w:rPr>
          <w:sz w:val="24"/>
          <w:szCs w:val="24"/>
        </w:rPr>
        <w:lastRenderedPageBreak/>
        <w:t xml:space="preserve">urbana e naturaliza mais uma vez a família como </w:t>
      </w:r>
      <w:r>
        <w:rPr>
          <w:i/>
          <w:sz w:val="24"/>
          <w:szCs w:val="24"/>
        </w:rPr>
        <w:t>locus</w:t>
      </w:r>
      <w:r>
        <w:rPr>
          <w:sz w:val="24"/>
          <w:szCs w:val="24"/>
        </w:rPr>
        <w:t xml:space="preserve"> idílico onde prevalece a harmonia das relações. Outro viés perceptível na ação da mídia diz respeito ao que Bourdieu (2003), chamou de “busca incansável pela audiência”. </w:t>
      </w:r>
    </w:p>
    <w:p w:rsidR="00281321" w:rsidRDefault="00281321" w:rsidP="00281321">
      <w:pPr>
        <w:pStyle w:val="Recuodecorpodetexto2"/>
        <w:tabs>
          <w:tab w:val="left" w:pos="0"/>
        </w:tabs>
        <w:spacing w:before="120" w:line="360" w:lineRule="auto"/>
        <w:ind w:left="0"/>
        <w:rPr>
          <w:sz w:val="24"/>
          <w:szCs w:val="24"/>
        </w:rPr>
      </w:pPr>
      <w:r>
        <w:rPr>
          <w:b/>
          <w:sz w:val="24"/>
          <w:szCs w:val="24"/>
        </w:rPr>
        <w:t xml:space="preserve">5. Aponta para uma necessária discussão do papel do Estado: </w:t>
      </w:r>
      <w:r>
        <w:rPr>
          <w:sz w:val="24"/>
          <w:szCs w:val="24"/>
        </w:rPr>
        <w:t xml:space="preserve">do ponto de vista do papel do Estado, ao longo do trabalho de pesquisa observaram-se várias questões que afetam diretamente a relação com o fenômeno dos desaparecidos civis. Entre elas pode-se destacar: a falta de políticas públicas abrangentes dada as dimensões do problema, ou de programas de intercâmbio nacional e internacional; à falta de investimentos em pesquisas; a sistematização incipiente dos dados sobre o fenômeno; a precária publicidade dos dados sobre o fenômeno e a falta de programas de prevenção e apoio aos familiares de desaparecidos civis. </w:t>
      </w:r>
    </w:p>
    <w:p w:rsidR="00281321" w:rsidRDefault="00281321" w:rsidP="00281321">
      <w:pPr>
        <w:pStyle w:val="Recuodecorpodetexto2"/>
        <w:tabs>
          <w:tab w:val="left" w:pos="0"/>
        </w:tabs>
        <w:spacing w:before="120" w:line="360" w:lineRule="auto"/>
        <w:ind w:left="0"/>
        <w:rPr>
          <w:sz w:val="24"/>
          <w:szCs w:val="24"/>
        </w:rPr>
      </w:pPr>
      <w:r>
        <w:rPr>
          <w:b/>
          <w:sz w:val="24"/>
          <w:szCs w:val="24"/>
        </w:rPr>
        <w:t xml:space="preserve">6. Requer uma reflexão sobre o papel da polícia: </w:t>
      </w:r>
      <w:r>
        <w:rPr>
          <w:sz w:val="24"/>
          <w:szCs w:val="24"/>
        </w:rPr>
        <w:t>a instituição e seus atores possuem uma forte resistência em reconhecer o status da figura dos desaparecidos. Ainda que haja (em especial, a partir de 2006) instrumentos legais que obriguem a investigação imediata, para a polícia, o desaparecimento não é crime e, portanto, na visão de muitos delegados, não é um problema policial.</w:t>
      </w:r>
    </w:p>
    <w:p w:rsidR="00281321" w:rsidRDefault="00281321" w:rsidP="00281321">
      <w:pPr>
        <w:pStyle w:val="Recuodecorpodetexto2"/>
        <w:tabs>
          <w:tab w:val="left" w:pos="0"/>
        </w:tabs>
        <w:spacing w:before="120" w:line="360" w:lineRule="auto"/>
        <w:ind w:left="0"/>
        <w:rPr>
          <w:sz w:val="24"/>
          <w:szCs w:val="24"/>
        </w:rPr>
      </w:pPr>
      <w:r>
        <w:rPr>
          <w:b/>
          <w:sz w:val="24"/>
          <w:szCs w:val="24"/>
        </w:rPr>
        <w:t xml:space="preserve">7. Indica uma necessária discussão sobre o sistema jurídico-normativo: </w:t>
      </w:r>
      <w:r>
        <w:rPr>
          <w:sz w:val="24"/>
          <w:szCs w:val="24"/>
        </w:rPr>
        <w:t>o sistema jurídico surge como um decisivo ponto de estrangulamento. Todos os familiares entrevistados demonstravam claramente que se sentiam desamparados. Se batiam na porta da delegacia, logo recebiam como resposta que o “desaparecimento não era crime”, “não era com eles”. A cena se repetia noutros órgãos, afinal não existe um lugar para os desaparecidos nos instrumentos jurídicos atuais. O lugar do desaparecido é o lugar do não-cidadão, ou seja, da pessoa sem direitos.</w:t>
      </w:r>
    </w:p>
    <w:p w:rsidR="00281321" w:rsidRDefault="00281321" w:rsidP="00281321">
      <w:pPr>
        <w:pStyle w:val="Recuodecorpodetexto2"/>
        <w:tabs>
          <w:tab w:val="left" w:pos="0"/>
        </w:tabs>
        <w:spacing w:before="120" w:line="360" w:lineRule="auto"/>
        <w:ind w:left="0"/>
        <w:rPr>
          <w:sz w:val="24"/>
          <w:szCs w:val="24"/>
        </w:rPr>
      </w:pPr>
      <w:r>
        <w:rPr>
          <w:b/>
          <w:sz w:val="24"/>
          <w:szCs w:val="24"/>
        </w:rPr>
        <w:t xml:space="preserve">8. Requer uma reflexão sobre a construção de novos conceitos: </w:t>
      </w:r>
      <w:r>
        <w:rPr>
          <w:sz w:val="24"/>
          <w:szCs w:val="24"/>
        </w:rPr>
        <w:t xml:space="preserve">um dado relevante com o qual o trabalho de pesquisa se deparou foi constatar uma multiplicidade de abordagens conceituais para se referir ao fenômeno dos desaparecidos (pessoas desaparecidas, seqüestrados, raptados, fugitivos entre outras). Paradoxalmente todos são desaparecidos, mas os desaparecidos não representam nada para a polícia quando uma família busca apoio. Isto implica tanto uma necessidade de redefinição </w:t>
      </w:r>
      <w:r>
        <w:rPr>
          <w:sz w:val="24"/>
          <w:szCs w:val="24"/>
        </w:rPr>
        <w:lastRenderedPageBreak/>
        <w:t>conceitual quanto o imperativo de construção de procedimentos mais adequados para o tratamento dos dados. Hoje existe uma relativa diversidade de casos que são considerados desaparecidos ao passo que muitos casos de desaparecimentos entram em outras categorias inteiramente alheias.</w:t>
      </w:r>
    </w:p>
    <w:p w:rsidR="00281321" w:rsidRDefault="00281321" w:rsidP="00281321">
      <w:pPr>
        <w:tabs>
          <w:tab w:val="left" w:pos="0"/>
        </w:tabs>
        <w:spacing w:before="120" w:after="120"/>
      </w:pPr>
      <w:r>
        <w:rPr>
          <w:b/>
        </w:rPr>
        <w:t>9. Há uma forte relação com a família:</w:t>
      </w:r>
      <w:r>
        <w:t xml:space="preserve"> finalmente compreende-se que o desaparecimento é fruto de um cruzamento de fatores sociais, econômicos e psicológicos. Os dados, no entanto, indicam que significativos desaparecimentos denunciados publicamente são provenientes de fugas de crianças e adolescentes de suas casas. Neste sentido as condições sociais, econômicas e culturais das famílias contemporâneas têm se constituído em um forte elemento para a composição das rupturas entre os filhos e filhas e seus pais. </w:t>
      </w:r>
    </w:p>
    <w:p w:rsidR="00281321" w:rsidRDefault="00281321" w:rsidP="00281321">
      <w:pPr>
        <w:pStyle w:val="Recuodecorpodetexto2"/>
        <w:spacing w:before="120" w:line="360" w:lineRule="auto"/>
        <w:ind w:left="0"/>
        <w:rPr>
          <w:sz w:val="24"/>
          <w:szCs w:val="24"/>
        </w:rPr>
      </w:pPr>
      <w:r>
        <w:rPr>
          <w:sz w:val="24"/>
          <w:szCs w:val="24"/>
        </w:rPr>
        <w:t>Entende-se que de fato a família é uma instituição que ao mesmo tempo em que sofre com o problema dos desaparecidos civis, é também uma forte produtora de desaparecimentos. Não se trata aqui nem de glorificar a instituição familiar, nem de apresentá-la como uma estrutura pronta para “devorar” o indivíduo como fazia a Esfinge que abordava os andarilhos que se encaminhavam para a cidade de Tebas (Decifra-me ou te devoro!).</w:t>
      </w:r>
    </w:p>
    <w:p w:rsidR="00281321" w:rsidRDefault="00281321" w:rsidP="00281321">
      <w:pPr>
        <w:autoSpaceDE w:val="0"/>
        <w:autoSpaceDN w:val="0"/>
        <w:adjustRightInd w:val="0"/>
        <w:spacing w:before="120" w:after="120"/>
        <w:rPr>
          <w:b/>
        </w:rPr>
      </w:pPr>
      <w:r>
        <w:t>Portanto, refletir sobre os desaparecidos civis implica não apenas construir mecanismos de apoio aos familiares, mas construir mecanismos que possam minar as estruturas da dominação patriarcal. Assim, indica-se que a família é o local onde se processa grande parte dos desaparecimentos, mas é a estrutura de relações patriarcais e sexistas que produzem a maior parcela dos desaparecimentos civis. Dessas não ficaram ilesas as instituições como a Segurança Pública e o Poder Judiciário.</w:t>
      </w:r>
    </w:p>
    <w:p w:rsidR="00281321" w:rsidRDefault="00281321" w:rsidP="00281321">
      <w:pPr>
        <w:autoSpaceDE w:val="0"/>
        <w:autoSpaceDN w:val="0"/>
        <w:adjustRightInd w:val="0"/>
        <w:spacing w:before="120" w:after="120"/>
        <w:rPr>
          <w:b/>
        </w:rPr>
      </w:pPr>
      <w:r>
        <w:rPr>
          <w:b/>
        </w:rPr>
        <w:t>Discussão</w:t>
      </w:r>
    </w:p>
    <w:p w:rsidR="00281321" w:rsidRDefault="00281321" w:rsidP="00281321">
      <w:pPr>
        <w:spacing w:before="120" w:after="120"/>
      </w:pPr>
      <w:r>
        <w:t xml:space="preserve">O </w:t>
      </w:r>
      <w:r>
        <w:rPr>
          <w:i/>
        </w:rPr>
        <w:t>locus</w:t>
      </w:r>
      <w:r>
        <w:t xml:space="preserve"> causal de desaparecimento tem tomado duas linhas de interpretação a partir de 1999. Segundo Oliveira e Geraldes (1999) o foco deve ser dado à família, sobretudo por conta da violência doméstica ou intrafamiliar. De acordo com Espinheira (1999) o enfoque deve ser dado à violência urbana. Entretanto os dados divulgados pelas secretarias de segurança têm apontado que grande parte dos desaparecidos são crianças e adolescentes que fugiram de casa (causa mais consensual) nos estudos realizados sobre o tema. </w:t>
      </w:r>
    </w:p>
    <w:p w:rsidR="00281321" w:rsidRDefault="00281321" w:rsidP="00281321">
      <w:pPr>
        <w:spacing w:before="120" w:after="120"/>
      </w:pPr>
      <w:r>
        <w:lastRenderedPageBreak/>
        <w:t>Se por um lado os dados têm indicado uma prevalência do foco familiar, isto não implica de forma alguma que se deva descartar o papel da violência urbana. Tomar uma ou outra perspectiva possui diferenças significativas. Se a violência urbana for considerada o foco, então se deve estimular mais as políticas de rondas policiais ostensivas, preparação de equipes de identificação, de investigação etc., mas se for tomada a perspectiva da família, então se devem fazer investimentos de outra natureza.</w:t>
      </w:r>
    </w:p>
    <w:p w:rsidR="00281321" w:rsidRDefault="00281321" w:rsidP="00281321">
      <w:pPr>
        <w:spacing w:before="120" w:after="120"/>
      </w:pPr>
      <w:r>
        <w:t xml:space="preserve">Ao analisar as causas mais freqüentes de desaparecimento se observa que existem tanto as causas internas (no mundo da casa) quanto às causas externas (no mundo da rua). A causa mais comum é a fuga, seguida de “se perder”, e tendo na seqüência os eventos de seqüestro, fuga por maus tratos, abuso sexual e por fim, as vítimas de acidente (Oliveira e Geraldes, 1999; Espinheira, 1999; Reis, 2005; Dalley, 2004; Sedlak, Finkelhor e Hammer, 2005). </w:t>
      </w:r>
    </w:p>
    <w:p w:rsidR="00281321" w:rsidRDefault="00281321" w:rsidP="00281321">
      <w:pPr>
        <w:spacing w:before="120" w:after="120"/>
      </w:pPr>
      <w:r>
        <w:t xml:space="preserve">Os casos de fuga, maus tratos e abuso sexual ocorrem com mais freqüência na casa. Aliada à violência doméstica pode se observar outras circunstâncias tais como a questão da homossexualidade não declarada a família (medo), a questão de ser garota de programa ou ser prostituta e não querer que a família saiba, também está o fato de ser usuário ou viciado em drogas além de outras situações. Já os casos que indicam “se perder” e vítimas de acidente implicam uma relativa ausência de culpa da família ou de estranhos (salvo os casos em que se possa argumentar pela tese da negligência). Finalmente, o caso de seqüestro mostra claramente a presença de um evento externo (embora não necessariamente exercido por pessoas estranhas). Mas o que querem dizer estes pressupostos? </w:t>
      </w:r>
    </w:p>
    <w:p w:rsidR="00281321" w:rsidRDefault="00281321" w:rsidP="00281321">
      <w:pPr>
        <w:spacing w:before="120" w:after="120"/>
      </w:pPr>
      <w:r>
        <w:t xml:space="preserve">A primeira evidência é de que a família é a maior produtora de desaparecimentos; a segunda é de que, grande parte dos desaparecimentos possui (ou tende a possuir) relações marcadas pelos conflitos interpessoais; a terceira evidência indica que ainda se está diante de uma estrutura familiar marcada pelas relações de dominação patriarcal em que o homem (pai) submete os filhos e filhas e a esposa. Enfim, uma quarta evidência é de que o desaparecimento é um fenômeno multicausal. Sendo assim, pode-se julgar que, do ponto de vista da família, as relações de violência e de dominação são produtoras do fenômeno dos desaparecidos civis. Do ponto de vista do Estado, de que há uma necessidade de produção de instrumentos legais para que se assegurem os direitos elementares de segurança. Do ponto de vista do desaparecido, pode-se especular que a fuga é uma resposta contra as difíceis condições de vida no ambiente doméstico. </w:t>
      </w:r>
    </w:p>
    <w:p w:rsidR="00281321" w:rsidRDefault="00281321" w:rsidP="00281321">
      <w:pPr>
        <w:spacing w:before="120" w:after="120"/>
      </w:pPr>
      <w:r>
        <w:lastRenderedPageBreak/>
        <w:t>A tese da violência urbana perde em dimensão quando, ao se deparar com os dados, se observa que a maior parcela dos desaparecidos civis são crianças e adolescentes e, sobretudo, desaparecem por sua “própria vontade”. Nestes termos, após as primeiras análises, verifica-se a ocorrência de fuga.</w:t>
      </w:r>
    </w:p>
    <w:p w:rsidR="00281321" w:rsidRDefault="00281321" w:rsidP="00281321">
      <w:pPr>
        <w:spacing w:before="120" w:after="120"/>
      </w:pPr>
      <w:r>
        <w:t>O ato de fuga obriga, de imediato, a buscar novas respostas para o fenômeno. A partir de relatos, em especial, de meninos e meninas em situação de rua, corroborado pelos dados sobre violência doméstica, trabalhou-se com a hipótese de que a família e suas relações internas vêm alimentando cotidianamente o fenômeno dos desaparecimentos. Assim, a linha interpretativa da pesquisa se sustentou nas teorias analíticas sobre a violência produzida no ambiente familiar. A base de reflexão tomou como suporte a proposição de que a família é uma instituição produtora de violência contra os filhos e filhas e contra as mulheres.</w:t>
      </w:r>
    </w:p>
    <w:p w:rsidR="00281321" w:rsidRDefault="00281321" w:rsidP="00281321">
      <w:pPr>
        <w:autoSpaceDE w:val="0"/>
        <w:autoSpaceDN w:val="0"/>
        <w:adjustRightInd w:val="0"/>
        <w:spacing w:before="120" w:after="120"/>
      </w:pPr>
      <w:r>
        <w:t xml:space="preserve">Noutra linha teórica, este trabalho recuperou o conceito de “desaparecidos civis” utilizado no livro “Cadê você” de Oliveira e Geraldes (1999). Entende-se que este conceito possui a qualidade necessária que permite distinguir os desaparecimentos cotidianos de pessoas de outros eventos, em especial, daqueles ligados a história política de muitas nações sobre os desaparecimentos políticos ou forcados conforme as narrativas de Catela (2001) e Jardim (1999). Para discutir sobre os procedimentos necessários para a intervenção sobre o fenômeno se tomou como ponto de partida diversos autores que se debruçaram sobre os casos de desaparecimentos nos Estados Unidos. Neste caso se discutiu algumas observações indicadas por Flores (2004) quanto às práticas de busca. </w:t>
      </w:r>
    </w:p>
    <w:p w:rsidR="00281321" w:rsidRDefault="00281321" w:rsidP="00281321">
      <w:pPr>
        <w:autoSpaceDE w:val="0"/>
        <w:autoSpaceDN w:val="0"/>
        <w:adjustRightInd w:val="0"/>
        <w:spacing w:before="120" w:after="120"/>
      </w:pPr>
      <w:r>
        <w:t xml:space="preserve">Sobre a família e suas configurações sociais, tomou-se como ponto de partida a contribuição de diversos autores que procuraram uma compreensão sobre esta instituição. Mais especificamente trabalhou-se com as perspectivas de Goode (1970) e Therborn (2006). Ambos destacam o papel histórico da família na socialização dos indivíduos. Enquanto Goode aponta para a importância da família e sua “função mediadora” entre o indivíduo e a sociedade, Therborn enfatiza o universo dos valores presentes na família, entre eles, está o significado do patriarcado e dos seus valores. </w:t>
      </w:r>
    </w:p>
    <w:p w:rsidR="00281321" w:rsidRDefault="00281321" w:rsidP="00281321">
      <w:pPr>
        <w:autoSpaceDE w:val="0"/>
        <w:autoSpaceDN w:val="0"/>
        <w:adjustRightInd w:val="0"/>
        <w:spacing w:before="120" w:after="120"/>
      </w:pPr>
      <w:r>
        <w:t xml:space="preserve">Outros autores também foram importantes para a reflexão não apenas do papel da família, mas também por traçarem importantes leituras sobre a “crise da família” (Horkheimer e Adorno, 1978; Segato, 2003; Bauman, 2004; Therborn, 2006). A dupla da Escola de Frankfurt discorreram sobre a estrutura de opressão construída no ambiente familiar. Esta posição é corroborada por outros autores mais recentes tais como Passetti (1995). Estas discussões foram importantes para a formulação do pressuposto de que a família e um espaço violento e </w:t>
      </w:r>
      <w:r>
        <w:lastRenderedPageBreak/>
        <w:t>produtor de desaparecimentos. No campo da compreensão dos valores que estrutura as relações de dominação se destaca a leitura de Segato ao apontar para a necessária apreensão do sistema patriarcal presente nas relações familiares para que se compreendam as relações que envolvem a violência, Bauman aponta para a quebra dos laços sociais na sociedade contemporânea, enquanto que por sua vez Therborn tende a demonstrar que, a apesar das transformações, a família ainda e um espaço social fundamental para a vida dos indivíduos.</w:t>
      </w:r>
    </w:p>
    <w:p w:rsidR="00281321" w:rsidRDefault="00281321" w:rsidP="00281321">
      <w:pPr>
        <w:spacing w:before="120" w:after="120"/>
      </w:pPr>
      <w:r>
        <w:t xml:space="preserve">Em uma terceira linha de reflexão, trouxe-se a discussão sobre o papel dos meios de comunicação. Para esta reflexão se tomou como referência as contribuições de Bourdieu (1997) sobre o papel da televisão. Nela o autor destaca que os meios de comunicação tendem a “uniformizar” e “retrabalhar” as informações de forma a não aprofundar a análise sobre os dados noticiados. Por meio dos trabalhos de Bourdieu (1997), mais especificamente, discutiu-se o papel da mídia e sua intervenção para a discussão sobre o fenômeno dos desaparecidos civis. No livro “Televisão” Bourdieu oferece alguns conceitos importantes para realizar este debate. Neste livro, por exemplo, o autor apresenta o conceito de </w:t>
      </w:r>
      <w:r>
        <w:rPr>
          <w:i/>
        </w:rPr>
        <w:t>omnibus</w:t>
      </w:r>
      <w:r>
        <w:t>, ou seja, os fatos-ônibus. Isto significa intervenções midiáticas produzidas para não chocar. Os fatos-ônibus se caracterizam por serem homogeneizados, de não levantarem problemas e de não incomodarem os cidadãos com imagens, temas que possam produzir situações incômodas ou preocupantes (cf. Bourdieu, 1997).</w:t>
      </w:r>
    </w:p>
    <w:p w:rsidR="00281321" w:rsidRDefault="00281321" w:rsidP="00281321">
      <w:pPr>
        <w:spacing w:before="120" w:after="120"/>
      </w:pPr>
      <w:r>
        <w:t>Para o autor, por meio dos fatos-ônibus a mídia, e mais especificamente, a televisão, paradoxalmente, “oculta mostrando”, tornando insignificante os fatos e fazendo que os mesmos não corresponda à realidade (cf. Bourdieu, 1997). Esta postura, segundo o autor, decorre do fato de que o campo midiático trabalha com a mentalidade do “índice de audiência”. Por esta mentalidade, se busca cada vez mais uma melhor participação nas fatias de mercado, anunciantes e prestígio, porém em detrimento da qualidade e profundidade dos conteúdos transmitidos. Também na crítica à postura midiática pode se destacar as leituras de Chauí (2006), Canela (2005). Neste caso buscou-se suporte nas leituras de Chauí (2006) ao abordar a destruição da opinião pública com informações inexatas ofertadas para a sociedade. Em Canela (2005) trouxe-se a leitura sobre a abordagem da mídia sobre o fenômeno dos desaparecimentos. O autor destaca que a mídia brasileira e mesmo de grande parte da América Latina destacam o fenômeno dos desaparecimentos como uma questão secundária.</w:t>
      </w:r>
    </w:p>
    <w:p w:rsidR="00281321" w:rsidRDefault="00281321" w:rsidP="00281321">
      <w:pPr>
        <w:spacing w:before="120" w:after="120"/>
      </w:pPr>
      <w:r>
        <w:t xml:space="preserve">Noutra perspectiva teórica se buscou contribuições que norteassem a reflexão sobre o contexto social dos jovens. Sendo assim, no que diz repeito ao debate sobre a relação entre jovens, família e sociedade, Abramo e </w:t>
      </w:r>
      <w:r>
        <w:lastRenderedPageBreak/>
        <w:t xml:space="preserve">Leon (2005) discorrem sobre as várias características da juventude quanto a sua condição, sua identidade e sua cidadania. Um dos debates postos pelos autores está a dificuldades em se definir as fronteiras entre juventude, adolescência e adultos. Este certamente é um problema para a formulação de políticas públicas para os desaparecidos. Afinal quem é o jovem? Até 24 anos? O ECA define responsabilidade até 17 anos, mas e depois, como ficam os “jovens pós-adolescência”? Já são adultos e, portanto, sem direito a quaisquer amparos estatais? Para problematizar a questão dos limites etários e geracionais e sobre o contexto atual das condições sociais dos jovens trabalhou-se com as leituras de Waiselfisz </w:t>
      </w:r>
      <w:r>
        <w:rPr>
          <w:i/>
        </w:rPr>
        <w:t>et al.</w:t>
      </w:r>
      <w:r>
        <w:t xml:space="preserve"> (2004), Pochman e Amorin (2003). Estes autores vão se debruçar sobre as precárias condições de inserção social dos jovens. Enfim, socialmente o universo dos jovens tem se prolongado por contínuos adiamentos de entrada no mundo dos adultos, na constituição de uma vida autônoma. No campo familiar, as narrativas sobre os processos de interação dos jovens, em especial, sobre seu estado psíquico tomaram como referência a leitura de Izquierdo (2003), Kafka (2003) e Weller (2004). Para estes autores, para além das definições sobre faixas etárias, também se faz necessário a compreensão dos inúmeros valores sociais que compõem a estrutura social. Kafka destaca, por exemplo, a angústia por que passou, na construção de caminhos para a construção de sua autonomia. Os outros autores apontam que as cobranças feitas sobre os jovens, baseadas nos valores tradicionais, deslocadas do tempo presente, acabam por se torna uma fonte de angústia para os jovens na atualidade.</w:t>
      </w:r>
    </w:p>
    <w:p w:rsidR="00281321" w:rsidRDefault="00281321" w:rsidP="00281321">
      <w:pPr>
        <w:spacing w:before="120" w:after="120"/>
      </w:pPr>
      <w:r>
        <w:t>Somam-se aos problemas anteriores o quadro de desigualdade social e de remodelamento das famílias brasileiras calcadas, sobretudo, pela violência. Sobre as práticas de violência doméstica Massad (2005), afirma que muitas crianças e adolescentes desaparecidas são originárias de família que passaram ou viviam processos de rupturas na estrutura familiar. Fogem da cobrança excessiva de pais separados, que dedicam pouco tempo à família que, angustiados por conta de seus problemas, ampliam as cobranças sobre seus filhos e filhas. Mas para onde vão as crianças e adolescentes desaparecidas? Harris (1999), destaca que se deve dar uma atenção especial sobre o papel dos amigos dos filhos e filhas. Mais que os pais e que a escola, os amigos interferem de forma muito mais categórica sobre a tomada de decisões dos jovens, assim como também na formação de sua personalidade.</w:t>
      </w:r>
    </w:p>
    <w:p w:rsidR="00281321" w:rsidRDefault="00281321" w:rsidP="00281321">
      <w:pPr>
        <w:spacing w:before="120" w:after="120"/>
      </w:pPr>
      <w:r>
        <w:t xml:space="preserve">Em uma quinta linha de discussão teórica buscou-se aportes para a reflexão sobre gênero. Na abordagem da perspectiva de gênero, em especial sobre a incidência do desaparecimento tomou-se como referência as </w:t>
      </w:r>
      <w:r>
        <w:lastRenderedPageBreak/>
        <w:t>contribuições de Prá (2004), Fernandes (2005), Oliveira e Bandeira (2006). Para estes autores e autoras existem fortes evidências da convivência com a violência doméstica e da exploração sexual nos casos de desaparecimento de mulheres. Como referência conceitual tomou-se como ponto de partida a discussão proposta por Louis (2006) que afirma que a perspectiva de gênero é multifacetada, mas, sobretudo que:</w:t>
      </w:r>
    </w:p>
    <w:p w:rsidR="00281321" w:rsidRDefault="00281321" w:rsidP="00281321">
      <w:pPr>
        <w:spacing w:before="120" w:after="120"/>
        <w:ind w:left="1418"/>
        <w:rPr>
          <w:i/>
        </w:rPr>
      </w:pPr>
      <w:r>
        <w:rPr>
          <w:i/>
        </w:rPr>
        <w:t>(...) ao utilizar este termo, eles/elas não devem deixar de levar em conta, em suas análises, o que é incontestável: o patriarcado, a dominação masculina, as relações de dominação entre os sexos, a [crítica da] igualdade entre homens e mulheres... Parece-me que a questão não deveria ser colocada nesses termos.</w:t>
      </w:r>
    </w:p>
    <w:p w:rsidR="00281321" w:rsidRDefault="00281321" w:rsidP="00281321">
      <w:pPr>
        <w:spacing w:before="120" w:after="120"/>
        <w:ind w:left="1418"/>
        <w:rPr>
          <w:i/>
        </w:rPr>
      </w:pPr>
      <w:r>
        <w:rPr>
          <w:i/>
        </w:rPr>
        <w:t xml:space="preserve">A questão teórica e política central e o fato de o emprego desse termo permitir a produção de análises que abstraem as relações patriarcais de dominação. Mais ainda. Desde que se reconheça terem sido todas as relações de dominação construídas sobre a evidência da dominação patriarcal – algo dificilmente negável –, então o emprego da palavra </w:t>
      </w:r>
      <w:r>
        <w:t xml:space="preserve">gênero </w:t>
      </w:r>
      <w:r>
        <w:rPr>
          <w:i/>
        </w:rPr>
        <w:t xml:space="preserve">permite não só abstrair essas relações, mas também todas as outras. (Grifos da autora) (Louis, 2006:721-722). </w:t>
      </w:r>
    </w:p>
    <w:p w:rsidR="00281321" w:rsidRDefault="00281321" w:rsidP="00281321">
      <w:pPr>
        <w:spacing w:before="120" w:after="120"/>
      </w:pPr>
      <w:r>
        <w:t xml:space="preserve">Passando para o campo da relação entre a vítima e o sistema de segurança deve-se destacar a observação feita por Corbeil (2000) sobre a figura do pré-julgamento. Segundo ela, uma prática corriqueira no Canadá era o fato de que após uma denúncia, a polícia canadense revirava o passado da vítima para se decidir qual o rumo das investigações. Esta prática, conforme os relatos de vários familiares, também ocorre no Brasil. O fato de já existir uma ocorrência de fuga era determinante para se contar ou não com o apoio policial. </w:t>
      </w:r>
    </w:p>
    <w:p w:rsidR="00281321" w:rsidRDefault="00281321" w:rsidP="00281321">
      <w:pPr>
        <w:spacing w:before="120" w:after="120"/>
      </w:pPr>
      <w:r>
        <w:t>No campo do combate à violência doméstica este trabalho de pesquisa dialogou com Bandeira e Almeida (2004) que analisaram a importância das DEAMs ao representarem uma experiência institucional importante no Brasil. Ao longo da pesquisa, percebeu-se que a perspectiva de gênero ia aos poucos se colocando como um forte elemento analítico. Sendo assim, buscou-se analisar também os problemas familiares, o fato da forte incidência de desaparecimentos entre jovens e a forte tendência ao desaparecimento de mulheres pela perspectiva das relações de gênero, sobretudo, considerando que a hipótese norteadora deste trabalho assentou-se na violência familiar cujas relações interpessoais são reguladas por padrões violentos, sexuados, assimétricos e hierárquicos.</w:t>
      </w:r>
    </w:p>
    <w:p w:rsidR="00281321" w:rsidRDefault="00281321" w:rsidP="00281321">
      <w:pPr>
        <w:pStyle w:val="Textodenotaderodap"/>
        <w:spacing w:before="120" w:after="120" w:line="360" w:lineRule="auto"/>
        <w:jc w:val="both"/>
        <w:rPr>
          <w:sz w:val="24"/>
          <w:szCs w:val="24"/>
        </w:rPr>
      </w:pPr>
      <w:r>
        <w:rPr>
          <w:sz w:val="24"/>
          <w:szCs w:val="24"/>
        </w:rPr>
        <w:lastRenderedPageBreak/>
        <w:t xml:space="preserve">Por fim, ao longo destas reflexões, deve-se destacar que o problema dos desaparecimentos tem que ser lido à luz da construção da cidadania brasileira. Neste campo se destacam as contribuições de Carvalho (2006). Ele indica que o processo de construção da cidadania tem sido lento. Carvalho (2006) demonstra os difíceis caminhos na constituição do Estado de direito no Brasil se dá, sobretudo porque as intervenções da sociedade civil ainda são precárias. </w:t>
      </w:r>
      <w:r>
        <w:rPr>
          <w:sz w:val="24"/>
          <w:szCs w:val="17"/>
        </w:rPr>
        <w:t>Ele afirma, por exemplo, que grande parte dos direitos existentes não vieram de um movimento de baixo para cima (da sociedade para o Estado), mas do Estado para a sociedade. Este se torna um problema sério, pois até agora o Estado tem feito muito pouco para reconhecer a cidadania das pessoas desaparecidas e apesar de já existirem diversos movimentos sociais atuando nesta temática, eles ainda não são capazes de realizar grandes mobilizações de recursos para a defesa de suas bandeiras. Isto deixa em pé uma dúvida, se o fenômeno dos desaparecimentos já é um problema social, quanto tempo ainda será necessário para que se tornem um problema para as políticas públicas?</w:t>
      </w:r>
      <w:r>
        <w:rPr>
          <w:sz w:val="24"/>
          <w:szCs w:val="24"/>
        </w:rPr>
        <w:t xml:space="preserve"> </w:t>
      </w:r>
    </w:p>
    <w:p w:rsidR="00281321" w:rsidRDefault="00281321" w:rsidP="00281321">
      <w:pPr>
        <w:spacing w:before="120" w:after="120"/>
        <w:rPr>
          <w:b/>
          <w:bCs/>
        </w:rPr>
      </w:pPr>
      <w:r>
        <w:rPr>
          <w:b/>
          <w:bCs/>
        </w:rPr>
        <w:t>Conclusões</w:t>
      </w:r>
    </w:p>
    <w:p w:rsidR="00281321" w:rsidRDefault="00281321" w:rsidP="00281321">
      <w:pPr>
        <w:pStyle w:val="texto"/>
        <w:spacing w:before="120" w:beforeAutospacing="0" w:after="120" w:afterAutospacing="0" w:line="360" w:lineRule="auto"/>
        <w:jc w:val="both"/>
        <w:rPr>
          <w:rFonts w:ascii="Times New Roman" w:hAnsi="Times New Roman"/>
          <w:color w:val="auto"/>
          <w:sz w:val="24"/>
          <w:szCs w:val="24"/>
        </w:rPr>
      </w:pPr>
      <w:r>
        <w:rPr>
          <w:rFonts w:ascii="Times New Roman" w:hAnsi="Times New Roman"/>
          <w:color w:val="auto"/>
          <w:sz w:val="24"/>
          <w:szCs w:val="24"/>
        </w:rPr>
        <w:t>A história dos desaparecimentos possui vários relatos de reencontros, mas também guarda silêncios abissais que nunca foram rompidos. Assim, a história dos desaparecimentos também está repleta de esquecimentos.</w:t>
      </w:r>
    </w:p>
    <w:p w:rsidR="00281321" w:rsidRDefault="00281321" w:rsidP="00281321">
      <w:pPr>
        <w:pStyle w:val="texto"/>
        <w:spacing w:before="120" w:beforeAutospacing="0" w:after="120" w:afterAutospacing="0" w:line="360" w:lineRule="auto"/>
        <w:jc w:val="both"/>
        <w:rPr>
          <w:rFonts w:ascii="Times New Roman" w:hAnsi="Times New Roman"/>
          <w:color w:val="auto"/>
          <w:sz w:val="24"/>
          <w:szCs w:val="24"/>
        </w:rPr>
      </w:pPr>
      <w:r>
        <w:rPr>
          <w:rFonts w:ascii="Times New Roman" w:hAnsi="Times New Roman"/>
          <w:color w:val="auto"/>
          <w:sz w:val="24"/>
          <w:szCs w:val="24"/>
        </w:rPr>
        <w:t>Quais são os problemas enfrentados pelos familiares de pessoas desaparecidas? Muitos. Faltam orientações claras sobre como agir nas primeiras 24 horas, como colaborar adequadamente com a polícia e como proceder durante todo o período subseqüente. Não se sabe como confeccionar material, como formar grupos de apoio e tantas outras informações simples, mas cruciais para quem precisa de muito amparo em um momento tão delicado.</w:t>
      </w:r>
    </w:p>
    <w:p w:rsidR="00281321" w:rsidRDefault="00281321" w:rsidP="00281321">
      <w:pPr>
        <w:pStyle w:val="texto"/>
        <w:spacing w:before="120" w:beforeAutospacing="0" w:after="120" w:afterAutospacing="0" w:line="360" w:lineRule="auto"/>
        <w:jc w:val="both"/>
        <w:rPr>
          <w:rFonts w:ascii="Times New Roman" w:hAnsi="Times New Roman"/>
          <w:color w:val="auto"/>
          <w:sz w:val="24"/>
          <w:szCs w:val="24"/>
        </w:rPr>
      </w:pPr>
      <w:r>
        <w:rPr>
          <w:rFonts w:ascii="Times New Roman" w:hAnsi="Times New Roman"/>
          <w:color w:val="auto"/>
          <w:sz w:val="24"/>
          <w:szCs w:val="24"/>
        </w:rPr>
        <w:t xml:space="preserve">Um dos problemas mais graves diz respeito à falta de informações sobre o cenário dos desaparecimentos. É fundamental que tais dados estejam acessíveis ao público. Conforme dados da </w:t>
      </w:r>
      <w:r>
        <w:rPr>
          <w:rFonts w:ascii="Times New Roman" w:hAnsi="Times New Roman"/>
          <w:i/>
          <w:iCs/>
          <w:color w:val="auto"/>
          <w:sz w:val="24"/>
          <w:szCs w:val="24"/>
        </w:rPr>
        <w:t xml:space="preserve">Divisão de Estatística e Planejamento Operacional </w:t>
      </w:r>
      <w:r>
        <w:rPr>
          <w:rFonts w:ascii="Times New Roman" w:hAnsi="Times New Roman"/>
          <w:color w:val="auto"/>
          <w:sz w:val="24"/>
          <w:szCs w:val="24"/>
        </w:rPr>
        <w:t xml:space="preserve">da Polícia Civil do Distrito Federal, no ano de 2002 desapareceram 433 mulheres e 555 homens. Isto representa 19,25 casos por semana. Já no ano de 2004, os registros de desaparecimentos apontavam 171 casos de mulheres contra 265 masculinos, o </w:t>
      </w:r>
      <w:r>
        <w:rPr>
          <w:rFonts w:ascii="Times New Roman" w:hAnsi="Times New Roman"/>
          <w:color w:val="auto"/>
          <w:sz w:val="24"/>
          <w:szCs w:val="24"/>
        </w:rPr>
        <w:lastRenderedPageBreak/>
        <w:t>que corresponde a 8,38 desaparecimentos por semana. Mesmo com a queda expressiva, a média de oito casos semanais ainda é motivo de preocupação.</w:t>
      </w:r>
    </w:p>
    <w:p w:rsidR="00281321" w:rsidRDefault="00281321" w:rsidP="00281321">
      <w:pPr>
        <w:pStyle w:val="texto"/>
        <w:spacing w:before="120" w:beforeAutospacing="0" w:after="120" w:afterAutospacing="0" w:line="360" w:lineRule="auto"/>
        <w:jc w:val="both"/>
        <w:rPr>
          <w:rFonts w:ascii="Times New Roman" w:hAnsi="Times New Roman"/>
          <w:color w:val="auto"/>
          <w:sz w:val="24"/>
          <w:szCs w:val="24"/>
        </w:rPr>
      </w:pPr>
      <w:r>
        <w:rPr>
          <w:rFonts w:ascii="Times New Roman" w:hAnsi="Times New Roman"/>
          <w:color w:val="auto"/>
          <w:sz w:val="24"/>
          <w:szCs w:val="24"/>
        </w:rPr>
        <w:t>Diversos dados destacam-se quando observamos os números dos desaparecidos civis no Distrito Federal. Entre eles, podemos apontar a existência de uma faixa etária preferencial que sobressai nos desaparecimentos femininos. Referimos-nos às mulheres entre 12 e 15 anos.</w:t>
      </w:r>
    </w:p>
    <w:p w:rsidR="00281321" w:rsidRDefault="00281321" w:rsidP="00281321">
      <w:pPr>
        <w:pStyle w:val="texto"/>
        <w:spacing w:before="120" w:beforeAutospacing="0" w:after="120" w:afterAutospacing="0" w:line="360" w:lineRule="auto"/>
        <w:jc w:val="both"/>
        <w:rPr>
          <w:rFonts w:ascii="Times New Roman" w:hAnsi="Times New Roman"/>
          <w:color w:val="auto"/>
          <w:sz w:val="24"/>
          <w:szCs w:val="24"/>
        </w:rPr>
      </w:pPr>
      <w:r>
        <w:rPr>
          <w:rFonts w:ascii="Times New Roman" w:hAnsi="Times New Roman"/>
          <w:color w:val="auto"/>
          <w:sz w:val="24"/>
          <w:szCs w:val="24"/>
        </w:rPr>
        <w:t xml:space="preserve">No ano de 2002, os desaparecimentos de mulheres nesta faixa etária corresponderam a 32,1% do total. No ano de 2003, o percentual foi de 34,7% das mulheres desaparecidas, e em 2004 foi de 30,4%. Por meio destes números, pode-se afirmar que a faixa de 12 a 15 anos corresponde a praticamente um terço dos desaparecimentos femininos a cada ano. Alguns estudos têm apontado que os desaparecimentos femininos estão crescendo no Brasil. Elas desaparecem mais que os homens no Rio Grande do Sul, no Pará e em Pernambuco, por exemplo. A faixa de maior incidência são as mulheres jovens. </w:t>
      </w:r>
    </w:p>
    <w:p w:rsidR="00281321" w:rsidRDefault="00281321" w:rsidP="00281321">
      <w:pPr>
        <w:pStyle w:val="texto"/>
        <w:spacing w:before="120" w:beforeAutospacing="0" w:after="120" w:afterAutospacing="0" w:line="360" w:lineRule="auto"/>
        <w:jc w:val="both"/>
        <w:rPr>
          <w:rFonts w:ascii="Times New Roman" w:hAnsi="Times New Roman"/>
          <w:color w:val="auto"/>
          <w:sz w:val="24"/>
          <w:szCs w:val="24"/>
        </w:rPr>
      </w:pPr>
      <w:r>
        <w:rPr>
          <w:rFonts w:ascii="Times New Roman" w:hAnsi="Times New Roman"/>
          <w:color w:val="auto"/>
          <w:sz w:val="24"/>
          <w:szCs w:val="24"/>
        </w:rPr>
        <w:t>Além da violência urbana, pesquisas recentes indicam que os desaparecimentos são constituídos a partir de duas matrizes: os conflitos geracionais e a desigualdade de gênero. Por meio da perspectiva geracional, percebe-se os conflitos de valores e de práticas envolvendo pais e filhos. Por meio da matriz de gênero, observa-se ainda a herança do patriarcalismo vitimizando as mulheres e os filhos.</w:t>
      </w:r>
    </w:p>
    <w:p w:rsidR="00281321" w:rsidRDefault="00281321" w:rsidP="00281321">
      <w:pPr>
        <w:pStyle w:val="Recuodecorpodetexto2"/>
        <w:spacing w:before="120" w:line="360" w:lineRule="auto"/>
        <w:ind w:left="0"/>
        <w:rPr>
          <w:sz w:val="24"/>
          <w:szCs w:val="24"/>
        </w:rPr>
      </w:pPr>
      <w:r>
        <w:rPr>
          <w:sz w:val="24"/>
        </w:rPr>
        <w:t>Vários estudiosos também mostram uma expressiva correlação entre fuga de crianças e adolescentes com a violência intrafamiliar. Como se sabe, a fuga representa o maior percentual das causas de desaparecimentos. Pode-se inferir, portanto, que as mulheres desaparecidas estejam sendo vítimas dentro e fora de casa.</w:t>
      </w:r>
    </w:p>
    <w:p w:rsidR="00281321" w:rsidRDefault="00281321" w:rsidP="00281321">
      <w:pPr>
        <w:pStyle w:val="Recuodecorpodetexto2"/>
        <w:spacing w:before="120" w:line="360" w:lineRule="auto"/>
        <w:ind w:left="0"/>
        <w:rPr>
          <w:b/>
          <w:sz w:val="24"/>
          <w:szCs w:val="24"/>
        </w:rPr>
      </w:pPr>
      <w:r>
        <w:rPr>
          <w:b/>
          <w:sz w:val="24"/>
          <w:szCs w:val="24"/>
        </w:rPr>
        <w:t>7. Referências bibliográficas</w:t>
      </w:r>
    </w:p>
    <w:p w:rsidR="00281321" w:rsidRDefault="00281321" w:rsidP="00281321">
      <w:pPr>
        <w:tabs>
          <w:tab w:val="left" w:pos="180"/>
        </w:tabs>
        <w:spacing w:before="120" w:after="120"/>
        <w:ind w:left="540" w:hanging="540"/>
      </w:pPr>
      <w:r>
        <w:t xml:space="preserve">ABRAMO, H. W.; LEON, O. D. Introdução. In: FREITAS, M. V. de. (Org.) </w:t>
      </w:r>
      <w:r>
        <w:rPr>
          <w:b/>
        </w:rPr>
        <w:t xml:space="preserve">Juventude e adolescência no Brasil: </w:t>
      </w:r>
      <w:r>
        <w:t>referências conceituais. São Paulo: Ação Educativa, 2005. p. 19-35.</w:t>
      </w:r>
    </w:p>
    <w:p w:rsidR="00281321" w:rsidRDefault="00281321" w:rsidP="00281321">
      <w:pPr>
        <w:tabs>
          <w:tab w:val="left" w:pos="180"/>
        </w:tabs>
        <w:spacing w:before="120" w:after="120"/>
        <w:ind w:left="540" w:hanging="540"/>
      </w:pPr>
      <w:r>
        <w:t xml:space="preserve">BANDEIRA, L.; ALMEIDA, T. M. C. de. Políticas públicas e violência de gênero: uma discussão com base na rotina das Delegacias Especializadas de Atendimento a Mulher (DEAMs) da região Centro-Oeste In: BANDEIRA, L. </w:t>
      </w:r>
      <w:r>
        <w:lastRenderedPageBreak/>
        <w:t xml:space="preserve">M.; ALMEIDA, T. M. C. de; MENEZES, A. M. de. (org.s). </w:t>
      </w:r>
      <w:r>
        <w:rPr>
          <w:b/>
        </w:rPr>
        <w:t xml:space="preserve">Violência contra as mulheres: </w:t>
      </w:r>
      <w:r>
        <w:t>a experiência de capacitação das DEAMs da região Centro-Oeste.</w:t>
      </w:r>
      <w:r>
        <w:rPr>
          <w:b/>
        </w:rPr>
        <w:t xml:space="preserve"> </w:t>
      </w:r>
      <w:r>
        <w:t>Cadernos Agende, Nº. 5. Brasília: Agende, 2004. p. 35-52.</w:t>
      </w:r>
    </w:p>
    <w:p w:rsidR="00281321" w:rsidRDefault="00281321" w:rsidP="00281321">
      <w:pPr>
        <w:tabs>
          <w:tab w:val="left" w:pos="180"/>
        </w:tabs>
        <w:spacing w:before="120" w:after="120"/>
        <w:ind w:left="540" w:hanging="540"/>
      </w:pPr>
      <w:r>
        <w:t xml:space="preserve">BAUMAN, Z. </w:t>
      </w:r>
      <w:r>
        <w:rPr>
          <w:b/>
        </w:rPr>
        <w:t xml:space="preserve">Amor líquido: </w:t>
      </w:r>
      <w:r>
        <w:t>sobre a fragilidade dos laços humanos. Rio de Janeiro: Jorge Zahar Editor, 2004.</w:t>
      </w:r>
    </w:p>
    <w:p w:rsidR="00281321" w:rsidRDefault="00281321" w:rsidP="00281321">
      <w:pPr>
        <w:tabs>
          <w:tab w:val="left" w:pos="180"/>
        </w:tabs>
        <w:spacing w:before="120" w:after="120"/>
        <w:ind w:left="540" w:hanging="540"/>
      </w:pPr>
      <w:r>
        <w:t xml:space="preserve">BOURDIEU, P. </w:t>
      </w:r>
      <w:r>
        <w:rPr>
          <w:b/>
        </w:rPr>
        <w:t>Sobre a televisão</w:t>
      </w:r>
      <w:r>
        <w:t>. Tradução de Maria Lúcia Machado. Rio de Janeiro: Jorge Zahar Editor, 1997.</w:t>
      </w:r>
    </w:p>
    <w:p w:rsidR="00281321" w:rsidRDefault="00281321" w:rsidP="00281321">
      <w:pPr>
        <w:tabs>
          <w:tab w:val="left" w:pos="180"/>
        </w:tabs>
        <w:spacing w:before="120" w:after="120"/>
        <w:ind w:left="540" w:hanging="540"/>
      </w:pPr>
      <w:r>
        <w:t xml:space="preserve">BRASIL. </w:t>
      </w:r>
      <w:r>
        <w:rPr>
          <w:b/>
        </w:rPr>
        <w:t>Estatuto da Criança e do Adolescente (ECA)</w:t>
      </w:r>
      <w:r>
        <w:t>. Brasília: Secretaria Especial dos Direitos Humanos da Presidência da Republica, Subsecretaria de Promoção dos Direitos da Criança e do Adolescente, 2003.</w:t>
      </w:r>
    </w:p>
    <w:p w:rsidR="00281321" w:rsidRDefault="00281321" w:rsidP="00281321">
      <w:pPr>
        <w:tabs>
          <w:tab w:val="left" w:pos="180"/>
        </w:tabs>
        <w:spacing w:before="120" w:after="120"/>
        <w:ind w:left="540" w:hanging="540"/>
      </w:pPr>
      <w:r>
        <w:t>CANELA, G. Desaparecimento e mídia</w:t>
      </w:r>
      <w:r>
        <w:rPr>
          <w:b/>
        </w:rPr>
        <w:t>. I Encontro da Rede Nacional de Identificação e Localização de Crianças e Adolescentes Desaparecidos.</w:t>
      </w:r>
      <w:r>
        <w:t xml:space="preserve"> Brasília-DF, 23 a 26 de novembro de 2006.</w:t>
      </w:r>
    </w:p>
    <w:p w:rsidR="00281321" w:rsidRDefault="00281321" w:rsidP="00281321">
      <w:pPr>
        <w:tabs>
          <w:tab w:val="left" w:pos="180"/>
        </w:tabs>
        <w:spacing w:before="120" w:after="120"/>
        <w:ind w:left="540" w:hanging="540"/>
      </w:pPr>
      <w:r>
        <w:t xml:space="preserve">CARVALHO, J. M. de. </w:t>
      </w:r>
      <w:r>
        <w:rPr>
          <w:b/>
        </w:rPr>
        <w:t xml:space="preserve">Cidadania no Brasil: </w:t>
      </w:r>
      <w:r>
        <w:t>o longo caminho. 8ª. Edição. Rio de Janeiro: Civilização Brasileira, 2006.</w:t>
      </w:r>
    </w:p>
    <w:p w:rsidR="00281321" w:rsidRDefault="00281321" w:rsidP="00281321">
      <w:pPr>
        <w:tabs>
          <w:tab w:val="left" w:pos="180"/>
        </w:tabs>
        <w:spacing w:before="120" w:after="120"/>
        <w:ind w:left="540" w:hanging="540"/>
      </w:pPr>
      <w:r>
        <w:t xml:space="preserve">CATELA, L. da S. </w:t>
      </w:r>
      <w:r>
        <w:rPr>
          <w:b/>
        </w:rPr>
        <w:t xml:space="preserve">Situação-limite e memória: </w:t>
      </w:r>
      <w:r>
        <w:t xml:space="preserve">a reconstrução do mundo dos familiares de desaparecidos da Argentina. São Paulo: Hucitec/Anpocs, 2001.  </w:t>
      </w:r>
    </w:p>
    <w:p w:rsidR="00281321" w:rsidRDefault="00281321" w:rsidP="00281321">
      <w:pPr>
        <w:tabs>
          <w:tab w:val="left" w:pos="180"/>
        </w:tabs>
        <w:spacing w:before="120" w:after="120"/>
        <w:ind w:left="540" w:hanging="540"/>
      </w:pPr>
      <w:r>
        <w:t xml:space="preserve">CHAUÍ, M. </w:t>
      </w:r>
      <w:r>
        <w:rPr>
          <w:b/>
        </w:rPr>
        <w:t xml:space="preserve">Simulacro e poder: </w:t>
      </w:r>
      <w:r>
        <w:t>uma análise da mídia. São Paulo: Editora Perseu Abramo, 2006.</w:t>
      </w:r>
    </w:p>
    <w:p w:rsidR="00281321" w:rsidRDefault="00281321" w:rsidP="00281321">
      <w:pPr>
        <w:tabs>
          <w:tab w:val="left" w:pos="180"/>
        </w:tabs>
        <w:spacing w:before="120" w:after="120"/>
        <w:ind w:left="540" w:hanging="540"/>
      </w:pPr>
      <w:r>
        <w:t xml:space="preserve">CORBEIL, C. </w:t>
      </w:r>
      <w:r>
        <w:rPr>
          <w:b/>
        </w:rPr>
        <w:t>A situação da violência perpetrada contra as mulheres no Canadá</w:t>
      </w:r>
      <w:r>
        <w:t>. Brasília: Núcleo de Estudos e Pesquisas sobre a Mulher – NEPeM/Ações em Gênero Cidadania e Desenvolvimento – AGENDE, 2000.</w:t>
      </w:r>
    </w:p>
    <w:p w:rsidR="00281321" w:rsidRDefault="00281321" w:rsidP="00281321">
      <w:pPr>
        <w:tabs>
          <w:tab w:val="left" w:pos="180"/>
        </w:tabs>
        <w:spacing w:before="120" w:after="120"/>
        <w:ind w:left="540" w:hanging="540"/>
      </w:pPr>
      <w:r>
        <w:rPr>
          <w:lang w:val="fr-FR"/>
        </w:rPr>
        <w:t xml:space="preserve">DALLEY, M. L. </w:t>
      </w:r>
      <w:r>
        <w:rPr>
          <w:b/>
          <w:lang w:val="fr-FR"/>
        </w:rPr>
        <w:t>Services nationaux des enfants disparus Compte rendu 2003</w:t>
      </w:r>
      <w:r>
        <w:rPr>
          <w:lang w:val="fr-FR"/>
        </w:rPr>
        <w:t xml:space="preserve">. </w:t>
      </w:r>
      <w:r>
        <w:t xml:space="preserve">Gendamerie royale du Canada, Ottawa, 2004. </w:t>
      </w:r>
      <w:hyperlink r:id="rId38" w:history="1">
        <w:r>
          <w:rPr>
            <w:rStyle w:val="Hyperlink"/>
          </w:rPr>
          <w:t>http://www.nosenfantsdisparus.ca</w:t>
        </w:r>
      </w:hyperlink>
      <w:r>
        <w:t>. Acesso em: 10 de junho de 2004.</w:t>
      </w:r>
    </w:p>
    <w:p w:rsidR="00281321" w:rsidRDefault="00281321" w:rsidP="00281321">
      <w:pPr>
        <w:tabs>
          <w:tab w:val="left" w:pos="180"/>
        </w:tabs>
        <w:spacing w:before="120" w:after="120"/>
        <w:ind w:left="540" w:hanging="540"/>
      </w:pPr>
      <w:r>
        <w:t>I ENCONTRO DA REDE NACIONAL DE IDENTIFICAÇÃO E LOCALIZAÇÃO DE CRIANÇAS E ADOLESCENTES DESAPARECIDOS, 2005. Subsecretaria de Promoção dos Direitos da Criança e do Adolescente, Ministério da Justiça, Brasília, 23 a 26 de novembro de 2005.</w:t>
      </w:r>
    </w:p>
    <w:p w:rsidR="00281321" w:rsidRDefault="00281321" w:rsidP="00281321">
      <w:pPr>
        <w:tabs>
          <w:tab w:val="left" w:pos="180"/>
        </w:tabs>
        <w:spacing w:before="120" w:after="120"/>
        <w:ind w:left="540" w:hanging="540"/>
      </w:pPr>
      <w:r>
        <w:t xml:space="preserve">ESPINHEIRA, G. </w:t>
      </w:r>
      <w:r>
        <w:rPr>
          <w:b/>
        </w:rPr>
        <w:t>Desaparecimento e desaparecidos:</w:t>
      </w:r>
      <w:r>
        <w:t xml:space="preserve"> um estudo da violência urbana. Salvador-BA: CEFIJ, 1999.</w:t>
      </w:r>
    </w:p>
    <w:p w:rsidR="00281321" w:rsidRDefault="00281321" w:rsidP="00281321">
      <w:pPr>
        <w:tabs>
          <w:tab w:val="left" w:pos="180"/>
        </w:tabs>
        <w:spacing w:before="120" w:after="120"/>
        <w:ind w:left="540" w:hanging="540"/>
      </w:pPr>
      <w:r>
        <w:t xml:space="preserve">FERNANDES, A. L. Desaparecimento e gênero. </w:t>
      </w:r>
      <w:r>
        <w:rPr>
          <w:b/>
        </w:rPr>
        <w:t xml:space="preserve">I Encontro da Rede Nacional de Identificação e Localização de Crianças e Adolescentes Desaparecidos. </w:t>
      </w:r>
      <w:r>
        <w:t>Subsecretaria de Promoção dos Direitos da Criança e do Adolescente, Ministério da Justiça, Brasília, 23 a 26 de novembro de 2005.</w:t>
      </w:r>
    </w:p>
    <w:p w:rsidR="00281321" w:rsidRDefault="00281321" w:rsidP="00281321">
      <w:pPr>
        <w:tabs>
          <w:tab w:val="left" w:pos="180"/>
        </w:tabs>
        <w:autoSpaceDE w:val="0"/>
        <w:autoSpaceDN w:val="0"/>
        <w:adjustRightInd w:val="0"/>
        <w:spacing w:before="120" w:after="120"/>
        <w:ind w:left="540" w:hanging="540"/>
        <w:rPr>
          <w:lang w:val="es-ES_tradnl"/>
        </w:rPr>
      </w:pPr>
      <w:r>
        <w:rPr>
          <w:lang w:val="es-ES"/>
        </w:rPr>
        <w:lastRenderedPageBreak/>
        <w:t>FLORES, J. R</w:t>
      </w:r>
      <w:r>
        <w:rPr>
          <w:i/>
          <w:lang w:val="es-ES"/>
        </w:rPr>
        <w:t>.</w:t>
      </w:r>
      <w:r>
        <w:rPr>
          <w:lang w:val="es-ES"/>
        </w:rPr>
        <w:t xml:space="preserve"> </w:t>
      </w:r>
      <w:r>
        <w:rPr>
          <w:b/>
          <w:lang w:val="es-ES_tradnl"/>
        </w:rPr>
        <w:t xml:space="preserve">OJJDP Report: </w:t>
      </w:r>
      <w:r>
        <w:rPr>
          <w:lang w:val="es-ES_tradnl"/>
        </w:rPr>
        <w:t>Cuando su Niño desaparece: Una guía para la supervivencia de la familia.</w:t>
      </w:r>
      <w:r>
        <w:rPr>
          <w:b/>
          <w:lang w:val="es-ES_tradnl"/>
        </w:rPr>
        <w:t xml:space="preserve"> </w:t>
      </w:r>
      <w:r>
        <w:rPr>
          <w:lang w:val="es-ES_tradnl"/>
        </w:rPr>
        <w:t>3ª. Edición.</w:t>
      </w:r>
      <w:r>
        <w:rPr>
          <w:b/>
          <w:lang w:val="es-ES_tradnl"/>
        </w:rPr>
        <w:t xml:space="preserve"> </w:t>
      </w:r>
      <w:r>
        <w:rPr>
          <w:lang w:val="es-ES_tradnl"/>
        </w:rPr>
        <w:t>Oficina de Justicia Juvenil y Prevención de la Delincuencia (OJJDP), Departamento de Justicia de Estados Unidos,</w:t>
      </w:r>
      <w:r>
        <w:rPr>
          <w:i/>
          <w:lang w:val="es-ES_tradnl"/>
        </w:rPr>
        <w:t xml:space="preserve"> </w:t>
      </w:r>
      <w:r>
        <w:rPr>
          <w:lang w:val="es-ES"/>
        </w:rPr>
        <w:t xml:space="preserve">Fox Valley Technical collage, </w:t>
      </w:r>
      <w:r>
        <w:rPr>
          <w:lang w:val="es-ES_tradnl"/>
        </w:rPr>
        <w:t xml:space="preserve">Mayo 2004. </w:t>
      </w:r>
    </w:p>
    <w:p w:rsidR="00281321" w:rsidRDefault="00281321" w:rsidP="00281321">
      <w:pPr>
        <w:tabs>
          <w:tab w:val="left" w:pos="180"/>
        </w:tabs>
        <w:spacing w:before="120" w:after="120"/>
        <w:ind w:left="540" w:hanging="540"/>
      </w:pPr>
      <w:r>
        <w:t xml:space="preserve">GOODE, W. J. </w:t>
      </w:r>
      <w:r>
        <w:rPr>
          <w:b/>
        </w:rPr>
        <w:t>A família</w:t>
      </w:r>
      <w:r>
        <w:t>. Tradução de Antonio Augusto Arantes Neto. São Paulo: Livraria Pioneira Editora, 1970.</w:t>
      </w:r>
    </w:p>
    <w:p w:rsidR="00281321" w:rsidRDefault="00281321" w:rsidP="00281321">
      <w:pPr>
        <w:tabs>
          <w:tab w:val="left" w:pos="180"/>
        </w:tabs>
        <w:spacing w:before="120" w:after="120"/>
        <w:ind w:left="540" w:hanging="540"/>
      </w:pPr>
      <w:r>
        <w:t xml:space="preserve">HARRIS, J. R. </w:t>
      </w:r>
      <w:r>
        <w:rPr>
          <w:b/>
        </w:rPr>
        <w:t>Diga-me com quem anda...</w:t>
      </w:r>
      <w:r>
        <w:t>:</w:t>
      </w:r>
      <w:r>
        <w:rPr>
          <w:b/>
        </w:rPr>
        <w:t xml:space="preserve"> </w:t>
      </w:r>
      <w:r>
        <w:t>Quem realmente conta na formação – os pais ou os amigos? Quais os caminhos para o desenvolvimento de uma criança? Tradução: Anna Olga de Barros Barreto. São Paulo: Editora Objetiva, 1999.</w:t>
      </w:r>
    </w:p>
    <w:p w:rsidR="00281321" w:rsidRDefault="00281321" w:rsidP="00281321">
      <w:pPr>
        <w:tabs>
          <w:tab w:val="left" w:pos="180"/>
        </w:tabs>
        <w:spacing w:before="120" w:after="120"/>
        <w:ind w:left="540" w:hanging="540"/>
      </w:pPr>
      <w:r>
        <w:t xml:space="preserve">HORKHEIMER, M.; ADORNO, T. W. família In: </w:t>
      </w:r>
      <w:r>
        <w:rPr>
          <w:b/>
        </w:rPr>
        <w:t>Temas básicos da sociologia</w:t>
      </w:r>
      <w:r>
        <w:t>.  Tradução: Álvaro Cabral. São Paulo: Editora Cultrix, 1978. p. 132-150.</w:t>
      </w:r>
    </w:p>
    <w:p w:rsidR="00281321" w:rsidRDefault="00281321" w:rsidP="00281321">
      <w:pPr>
        <w:tabs>
          <w:tab w:val="left" w:pos="180"/>
        </w:tabs>
        <w:spacing w:before="120" w:after="120"/>
        <w:ind w:left="540" w:hanging="540"/>
      </w:pPr>
      <w:r>
        <w:t xml:space="preserve">IZQUIERDO, I. </w:t>
      </w:r>
      <w:r>
        <w:rPr>
          <w:b/>
        </w:rPr>
        <w:t>Tempo de viver</w:t>
      </w:r>
      <w:r>
        <w:t>. Coleção Aldus 2. São Leopoldo-RS: Editora Unisinos, 2003.</w:t>
      </w:r>
    </w:p>
    <w:p w:rsidR="00281321" w:rsidRDefault="00281321" w:rsidP="00281321">
      <w:pPr>
        <w:tabs>
          <w:tab w:val="left" w:pos="180"/>
        </w:tabs>
        <w:spacing w:before="120" w:after="120"/>
        <w:ind w:left="540" w:hanging="540"/>
      </w:pPr>
      <w:r>
        <w:t xml:space="preserve">JARDIM, T. M. </w:t>
      </w:r>
      <w:r>
        <w:rPr>
          <w:b/>
        </w:rPr>
        <w:t xml:space="preserve">Crime do desaparecimento forçado de pessoas: </w:t>
      </w:r>
      <w:r>
        <w:t>aproximação e dissonâncias entre o Sistema Interamericano de Proteção dos Direitos Humanos e a prática brasileira. 1ª edição. Brasília: Brasília Jurídica, 1999.</w:t>
      </w:r>
    </w:p>
    <w:p w:rsidR="00281321" w:rsidRDefault="00281321" w:rsidP="00281321">
      <w:pPr>
        <w:tabs>
          <w:tab w:val="left" w:pos="180"/>
        </w:tabs>
        <w:spacing w:before="120" w:after="120"/>
        <w:ind w:left="540" w:hanging="540"/>
      </w:pPr>
      <w:r>
        <w:t xml:space="preserve">KAFKA, F. </w:t>
      </w:r>
      <w:r>
        <w:rPr>
          <w:b/>
        </w:rPr>
        <w:t>Carta ao pai</w:t>
      </w:r>
      <w:r>
        <w:t>. Tradução de Modesto Carone. São Paulo: Companhia da Letras, 2003.</w:t>
      </w:r>
    </w:p>
    <w:p w:rsidR="00281321" w:rsidRDefault="00281321" w:rsidP="00281321">
      <w:pPr>
        <w:tabs>
          <w:tab w:val="left" w:pos="180"/>
        </w:tabs>
        <w:spacing w:before="120" w:after="120"/>
        <w:ind w:left="540" w:hanging="540"/>
      </w:pPr>
      <w:r>
        <w:t xml:space="preserve">LOUIS, M-V. Diga-me: o que significa </w:t>
      </w:r>
      <w:r>
        <w:rPr>
          <w:i/>
        </w:rPr>
        <w:t>gênero</w:t>
      </w:r>
      <w:r>
        <w:t xml:space="preserve">? </w:t>
      </w:r>
      <w:r>
        <w:rPr>
          <w:b/>
        </w:rPr>
        <w:t>Sociedade e Estado</w:t>
      </w:r>
      <w:r>
        <w:t xml:space="preserve">, Brasília, v.21, No. 03, p. 711-724, set./dez. de 2006. </w:t>
      </w:r>
    </w:p>
    <w:p w:rsidR="00281321" w:rsidRDefault="00281321" w:rsidP="00281321">
      <w:pPr>
        <w:tabs>
          <w:tab w:val="left" w:pos="180"/>
        </w:tabs>
        <w:spacing w:before="120" w:after="120"/>
        <w:ind w:left="540" w:hanging="540"/>
      </w:pPr>
      <w:r>
        <w:t xml:space="preserve">MASSAD, E. A busca sistemática de evidências: objetivo último da ciência. </w:t>
      </w:r>
      <w:r>
        <w:rPr>
          <w:b/>
        </w:rPr>
        <w:t xml:space="preserve">I Encontro da Rede Nacional de Identificação e Localização de Crianças e Adolescentes Desaparecidos. </w:t>
      </w:r>
      <w:r>
        <w:t>Brasília: Subsecretaria de Promoção dos Direitos da Criança e do Adolescente, Ministério da Justiça, 2005.</w:t>
      </w:r>
    </w:p>
    <w:p w:rsidR="00281321" w:rsidRDefault="00281321" w:rsidP="00281321">
      <w:pPr>
        <w:tabs>
          <w:tab w:val="left" w:pos="180"/>
        </w:tabs>
        <w:spacing w:before="120" w:after="120"/>
        <w:ind w:left="540" w:hanging="540"/>
      </w:pPr>
      <w:r>
        <w:rPr>
          <w:lang w:val="es-ES"/>
        </w:rPr>
        <w:t xml:space="preserve">MINAYO, M. C. de S. (Org.). </w:t>
      </w:r>
      <w:r>
        <w:rPr>
          <w:b/>
        </w:rPr>
        <w:t xml:space="preserve">Pesquisa social: </w:t>
      </w:r>
      <w:r>
        <w:t>teoria, método e criatividade. Petrópolis-RJ: Editora Vozes, 1994.</w:t>
      </w:r>
    </w:p>
    <w:p w:rsidR="00281321" w:rsidRDefault="00281321" w:rsidP="00281321">
      <w:pPr>
        <w:tabs>
          <w:tab w:val="left" w:pos="180"/>
        </w:tabs>
        <w:spacing w:before="120" w:after="120"/>
        <w:ind w:left="540" w:hanging="540"/>
      </w:pPr>
      <w:r>
        <w:t>OLIVEIRA, D. D.; GERALDES, E. C</w:t>
      </w:r>
      <w:r>
        <w:rPr>
          <w:b/>
        </w:rPr>
        <w:t>. Cadê Você</w:t>
      </w:r>
      <w:r>
        <w:t>. Brasília: Movimento Nacional de Direitos Humanos, 1999.</w:t>
      </w:r>
    </w:p>
    <w:p w:rsidR="00281321" w:rsidRDefault="00281321" w:rsidP="00281321">
      <w:pPr>
        <w:tabs>
          <w:tab w:val="left" w:pos="180"/>
        </w:tabs>
        <w:spacing w:before="120" w:after="120"/>
        <w:ind w:left="540" w:hanging="540"/>
      </w:pPr>
      <w:r>
        <w:t xml:space="preserve">OLIVEIRA, D. D.; BANDEIRA, L. M. </w:t>
      </w:r>
      <w:r>
        <w:rPr>
          <w:rStyle w:val="titulo18px1"/>
          <w:b w:val="0"/>
          <w:sz w:val="24"/>
        </w:rPr>
        <w:t>Mulheres desaparecidas: uma resposta à violência doméstica?</w:t>
      </w:r>
      <w:r>
        <w:rPr>
          <w:rStyle w:val="titulo18px1"/>
          <w:i/>
          <w:sz w:val="24"/>
        </w:rPr>
        <w:t xml:space="preserve"> </w:t>
      </w:r>
      <w:r>
        <w:t xml:space="preserve">Campanha Agende 16 dias. Disponível em: </w:t>
      </w:r>
      <w:hyperlink r:id="rId39" w:history="1">
        <w:r>
          <w:rPr>
            <w:rStyle w:val="Hyperlink"/>
          </w:rPr>
          <w:t xml:space="preserve">www.agende.org.br/16dias. Acesso em: 08 de nov. 2006. </w:t>
        </w:r>
      </w:hyperlink>
      <w:r>
        <w:t xml:space="preserve"> </w:t>
      </w:r>
    </w:p>
    <w:p w:rsidR="00281321" w:rsidRDefault="00281321" w:rsidP="00281321">
      <w:pPr>
        <w:tabs>
          <w:tab w:val="left" w:pos="180"/>
        </w:tabs>
        <w:spacing w:before="120" w:after="120"/>
        <w:ind w:left="540" w:hanging="540"/>
      </w:pPr>
      <w:r>
        <w:rPr>
          <w:lang w:val="en-US"/>
        </w:rPr>
        <w:t xml:space="preserve">PASSETTI, E. </w:t>
      </w:r>
      <w:r>
        <w:rPr>
          <w:i/>
          <w:lang w:val="en-US"/>
        </w:rPr>
        <w:t>et. al.</w:t>
      </w:r>
      <w:r>
        <w:rPr>
          <w:lang w:val="en-US"/>
        </w:rPr>
        <w:t xml:space="preserve"> </w:t>
      </w:r>
      <w:r>
        <w:rPr>
          <w:b/>
        </w:rPr>
        <w:t xml:space="preserve">Violentados: </w:t>
      </w:r>
      <w:r>
        <w:t>crianças, adolescentes e justiça. São Paulo: Editora Imaginário, 1995.</w:t>
      </w:r>
    </w:p>
    <w:p w:rsidR="00281321" w:rsidRDefault="00281321" w:rsidP="00281321">
      <w:pPr>
        <w:tabs>
          <w:tab w:val="left" w:pos="180"/>
        </w:tabs>
        <w:spacing w:before="120" w:after="120"/>
        <w:ind w:left="540" w:hanging="540"/>
      </w:pPr>
      <w:r>
        <w:rPr>
          <w:lang w:val="en-US"/>
        </w:rPr>
        <w:lastRenderedPageBreak/>
        <w:t xml:space="preserve">POCHMANN, M.; AMORIM, R. (orgs.). </w:t>
      </w:r>
      <w:r>
        <w:rPr>
          <w:b/>
        </w:rPr>
        <w:t>Atlas da exclusão social no Brasil</w:t>
      </w:r>
      <w:r>
        <w:t xml:space="preserve">. São Paulo: Editora Cortez, 2003. </w:t>
      </w:r>
    </w:p>
    <w:p w:rsidR="00281321" w:rsidRDefault="00281321" w:rsidP="00281321">
      <w:pPr>
        <w:tabs>
          <w:tab w:val="left" w:pos="180"/>
        </w:tabs>
        <w:spacing w:before="120" w:after="120"/>
        <w:ind w:left="540" w:hanging="540"/>
      </w:pPr>
      <w:r>
        <w:t xml:space="preserve">PRÁ, J. R. Gêneros, gerações e políticas públicas. In: </w:t>
      </w:r>
      <w:r>
        <w:rPr>
          <w:b/>
        </w:rPr>
        <w:t>Coletivo Feminino Plural</w:t>
      </w:r>
      <w:r>
        <w:t xml:space="preserve">. Núcleo de Estudos e Pesquisas. s.n. Porto Alegre-RS: Coletivo Feminino Plural, 2004. pp. 10-11. </w:t>
      </w:r>
    </w:p>
    <w:p w:rsidR="00281321" w:rsidRDefault="00281321" w:rsidP="00281321">
      <w:pPr>
        <w:tabs>
          <w:tab w:val="left" w:pos="180"/>
        </w:tabs>
        <w:spacing w:before="120" w:after="120"/>
        <w:ind w:left="540" w:hanging="540"/>
      </w:pPr>
      <w:r>
        <w:t xml:space="preserve">REIS, A. Construindo a Rede Nacional de Identificação e Localização de Crianças e Adolescentes Desaparecidos In: </w:t>
      </w:r>
      <w:r>
        <w:rPr>
          <w:b/>
        </w:rPr>
        <w:t>I Encontro da</w:t>
      </w:r>
      <w:r>
        <w:rPr>
          <w:b/>
          <w:i/>
        </w:rPr>
        <w:t xml:space="preserve"> </w:t>
      </w:r>
      <w:r>
        <w:rPr>
          <w:b/>
        </w:rPr>
        <w:t>Rede Nacional de Identificação e Localização de Crianças e Adolescentes Desaparecidos</w:t>
      </w:r>
      <w:r>
        <w:t>, Brasília-DF, 23 a 26 de novembro de 2005.</w:t>
      </w:r>
    </w:p>
    <w:p w:rsidR="00281321" w:rsidRDefault="00281321" w:rsidP="00281321">
      <w:pPr>
        <w:tabs>
          <w:tab w:val="left" w:pos="180"/>
        </w:tabs>
        <w:spacing w:before="120" w:after="120"/>
        <w:ind w:left="540" w:hanging="540"/>
      </w:pPr>
      <w:r>
        <w:t xml:space="preserve">SANTOS, B. de S. </w:t>
      </w:r>
      <w:r>
        <w:rPr>
          <w:b/>
        </w:rPr>
        <w:t>Introdução a uma Ciência Pós-Moderna</w:t>
      </w:r>
      <w:r>
        <w:t xml:space="preserve">. Rio de Janeiro: Graal, 1989. </w:t>
      </w:r>
    </w:p>
    <w:p w:rsidR="00281321" w:rsidRDefault="00281321" w:rsidP="00281321">
      <w:pPr>
        <w:tabs>
          <w:tab w:val="left" w:pos="180"/>
        </w:tabs>
        <w:spacing w:before="120" w:after="120"/>
        <w:ind w:left="540" w:hanging="540"/>
        <w:rPr>
          <w:lang w:val="en-US"/>
        </w:rPr>
      </w:pPr>
      <w:r>
        <w:rPr>
          <w:lang w:val="en-US"/>
        </w:rPr>
        <w:t>SEDLACK, A. J.; FINKELHOR, D.; HAMMER, H. National Estimates of Missing Children Involuntarily or for Benign Reasons. U.S. Department of Justice. National Incidence Studies of Missing, Abducted, Runaway, and Thrownway Children – Nismart, July 2005.</w:t>
      </w:r>
    </w:p>
    <w:p w:rsidR="00281321" w:rsidRDefault="00281321" w:rsidP="00281321">
      <w:pPr>
        <w:tabs>
          <w:tab w:val="left" w:pos="180"/>
        </w:tabs>
        <w:spacing w:before="120" w:after="120"/>
        <w:ind w:left="540" w:hanging="540"/>
      </w:pPr>
      <w:r>
        <w:rPr>
          <w:lang w:val="es-ES_tradnl"/>
        </w:rPr>
        <w:t xml:space="preserve">SEGATO, R. L. Las estructuras elementares de la violencia: contrato y status em la etiologia de la violencia. </w:t>
      </w:r>
      <w:r>
        <w:rPr>
          <w:b/>
        </w:rPr>
        <w:t xml:space="preserve">Série Antropológica, </w:t>
      </w:r>
      <w:r>
        <w:t>No. 334. Brasília: Departamento de Antropologia, 2003.</w:t>
      </w:r>
    </w:p>
    <w:p w:rsidR="00281321" w:rsidRDefault="00281321" w:rsidP="00281321">
      <w:pPr>
        <w:tabs>
          <w:tab w:val="left" w:pos="180"/>
        </w:tabs>
        <w:spacing w:before="120" w:after="120"/>
        <w:ind w:left="540" w:hanging="540"/>
      </w:pPr>
      <w:r>
        <w:t xml:space="preserve">THERBORN, G. </w:t>
      </w:r>
      <w:r>
        <w:rPr>
          <w:b/>
        </w:rPr>
        <w:t xml:space="preserve">Sexo e poder: </w:t>
      </w:r>
      <w:r>
        <w:t>a família no mundo – 1900-2000. Tradução de Elisabete Dória Bilac. São Paulo: Editora Contexto, 2006.</w:t>
      </w:r>
    </w:p>
    <w:p w:rsidR="00281321" w:rsidRDefault="00281321" w:rsidP="00281321">
      <w:pPr>
        <w:tabs>
          <w:tab w:val="left" w:pos="180"/>
        </w:tabs>
        <w:spacing w:before="120" w:after="120"/>
        <w:ind w:left="540" w:hanging="540"/>
      </w:pPr>
      <w:r>
        <w:rPr>
          <w:lang w:val="fr-FR"/>
        </w:rPr>
        <w:t xml:space="preserve">WAISELFISZ, J. J. </w:t>
      </w:r>
      <w:r>
        <w:rPr>
          <w:i/>
          <w:lang w:val="fr-FR"/>
        </w:rPr>
        <w:t>et al.</w:t>
      </w:r>
      <w:r>
        <w:rPr>
          <w:lang w:val="fr-FR"/>
        </w:rPr>
        <w:t xml:space="preserve"> </w:t>
      </w:r>
      <w:r>
        <w:rPr>
          <w:b/>
        </w:rPr>
        <w:t>Relatório de desenvolvimento juvenil 2003</w:t>
      </w:r>
      <w:r>
        <w:t>. Brasília: UNESCO, 2004.</w:t>
      </w:r>
    </w:p>
    <w:p w:rsidR="00281321" w:rsidRDefault="00281321" w:rsidP="00281321">
      <w:pPr>
        <w:tabs>
          <w:tab w:val="left" w:pos="180"/>
        </w:tabs>
        <w:spacing w:before="120" w:after="120"/>
        <w:ind w:left="540" w:hanging="540"/>
      </w:pPr>
      <w:r>
        <w:t xml:space="preserve">WELLER, W. J. O hip hop como possibilidade de inclusão e de enfrentamento da discriminação e da segregação na periferia de São Paulo. </w:t>
      </w:r>
      <w:r>
        <w:rPr>
          <w:b/>
        </w:rPr>
        <w:t>Caderno CRH</w:t>
      </w:r>
      <w:r>
        <w:t>, Salvador, Vol. 17, No. 40, Jan./Abr. de 2004. pp.: 103-115.</w:t>
      </w: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p w:rsidR="00CC7D10" w:rsidRDefault="00CC7D10" w:rsidP="00281321">
      <w:pPr>
        <w:tabs>
          <w:tab w:val="left" w:pos="180"/>
        </w:tabs>
        <w:spacing w:before="120" w:after="120"/>
        <w:ind w:left="540" w:hanging="54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1"/>
        <w:gridCol w:w="1873"/>
      </w:tblGrid>
      <w:tr w:rsidR="00F153D4" w:rsidRPr="001E2C63" w:rsidTr="00505E82">
        <w:tc>
          <w:tcPr>
            <w:tcW w:w="6771" w:type="dxa"/>
            <w:shd w:val="clear" w:color="auto" w:fill="auto"/>
          </w:tcPr>
          <w:p w:rsidR="00F153D4" w:rsidRPr="00CC7D10" w:rsidRDefault="00F153D4" w:rsidP="00CC7D10">
            <w:pPr>
              <w:rPr>
                <w:rFonts w:ascii="Times New Roman" w:hAnsi="Times New Roman"/>
                <w:sz w:val="24"/>
                <w:szCs w:val="24"/>
              </w:rPr>
            </w:pPr>
            <w:r w:rsidRPr="00CC7D10">
              <w:rPr>
                <w:rFonts w:ascii="Times New Roman" w:hAnsi="Times New Roman"/>
                <w:sz w:val="24"/>
                <w:szCs w:val="24"/>
              </w:rPr>
              <w:t xml:space="preserve">Nome </w:t>
            </w:r>
            <w:r w:rsidR="00CC7D10" w:rsidRPr="00CC7D10">
              <w:rPr>
                <w:rFonts w:ascii="Times New Roman" w:hAnsi="Times New Roman"/>
                <w:sz w:val="24"/>
                <w:szCs w:val="24"/>
              </w:rPr>
              <w:t>Presença da imprensa feminista no  Brasil</w:t>
            </w:r>
          </w:p>
        </w:tc>
        <w:tc>
          <w:tcPr>
            <w:tcW w:w="1873" w:type="dxa"/>
            <w:vMerge w:val="restart"/>
            <w:shd w:val="clear" w:color="auto" w:fill="auto"/>
          </w:tcPr>
          <w:p w:rsidR="00F153D4" w:rsidRPr="001E2C63" w:rsidRDefault="00281321" w:rsidP="00505E82">
            <w:pPr>
              <w:spacing w:line="240" w:lineRule="auto"/>
              <w:rPr>
                <w:rFonts w:ascii="Times New Roman" w:hAnsi="Times New Roman"/>
                <w:b/>
                <w:sz w:val="36"/>
                <w:szCs w:val="36"/>
              </w:rPr>
            </w:pPr>
            <w:r>
              <w:rPr>
                <w:rFonts w:ascii="Times New Roman" w:hAnsi="Times New Roman"/>
                <w:b/>
                <w:sz w:val="36"/>
                <w:szCs w:val="36"/>
              </w:rPr>
              <w:t>A 010</w:t>
            </w:r>
          </w:p>
          <w:p w:rsidR="00F153D4" w:rsidRPr="001E2C63" w:rsidRDefault="00281321" w:rsidP="00505E82">
            <w:pPr>
              <w:spacing w:line="240" w:lineRule="auto"/>
              <w:rPr>
                <w:rFonts w:ascii="Times New Roman" w:hAnsi="Times New Roman"/>
                <w:sz w:val="24"/>
                <w:szCs w:val="24"/>
              </w:rPr>
            </w:pPr>
            <w:r>
              <w:rPr>
                <w:rFonts w:ascii="Times New Roman" w:hAnsi="Times New Roman"/>
                <w:b/>
                <w:sz w:val="36"/>
                <w:szCs w:val="36"/>
              </w:rPr>
              <w:t>Menção Honrosa</w:t>
            </w:r>
          </w:p>
        </w:tc>
      </w:tr>
      <w:tr w:rsidR="00F153D4" w:rsidRPr="001E2C63" w:rsidTr="00505E82">
        <w:tc>
          <w:tcPr>
            <w:tcW w:w="6771" w:type="dxa"/>
            <w:shd w:val="clear" w:color="auto" w:fill="auto"/>
          </w:tcPr>
          <w:p w:rsidR="00F153D4" w:rsidRPr="00CC7D10" w:rsidRDefault="00F153D4" w:rsidP="00505E82">
            <w:pPr>
              <w:spacing w:line="240" w:lineRule="auto"/>
              <w:rPr>
                <w:rFonts w:ascii="Times New Roman" w:hAnsi="Times New Roman"/>
                <w:sz w:val="24"/>
                <w:szCs w:val="24"/>
              </w:rPr>
            </w:pPr>
            <w:r w:rsidRPr="00CC7D10">
              <w:rPr>
                <w:rFonts w:ascii="Times New Roman" w:hAnsi="Times New Roman"/>
                <w:sz w:val="24"/>
                <w:szCs w:val="24"/>
              </w:rPr>
              <w:t xml:space="preserve">Autora/o </w:t>
            </w:r>
            <w:r w:rsidR="00CC7D10" w:rsidRPr="00CC7D10">
              <w:rPr>
                <w:rFonts w:ascii="Times New Roman" w:eastAsia="Times New Roman" w:hAnsi="Times New Roman"/>
                <w:bCs/>
                <w:sz w:val="24"/>
                <w:szCs w:val="24"/>
              </w:rPr>
              <w:t>Elizabeth da Penha Cardoso</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CC7D10" w:rsidRDefault="00F153D4" w:rsidP="00505E82">
            <w:pPr>
              <w:spacing w:line="240" w:lineRule="auto"/>
              <w:rPr>
                <w:rFonts w:ascii="Times New Roman" w:hAnsi="Times New Roman"/>
                <w:sz w:val="24"/>
                <w:szCs w:val="24"/>
              </w:rPr>
            </w:pPr>
            <w:r w:rsidRPr="00CC7D10">
              <w:rPr>
                <w:rFonts w:ascii="Times New Roman" w:hAnsi="Times New Roman"/>
                <w:sz w:val="24"/>
                <w:szCs w:val="24"/>
              </w:rPr>
              <w:t>Orientadora/o</w:t>
            </w:r>
            <w:r w:rsidRPr="00CC7D10">
              <w:rPr>
                <w:rFonts w:ascii="Times New Roman" w:hAnsi="Times New Roman"/>
                <w:bCs/>
                <w:sz w:val="24"/>
                <w:szCs w:val="24"/>
              </w:rPr>
              <w:t xml:space="preserve"> </w:t>
            </w:r>
            <w:r w:rsidR="00CC7D10" w:rsidRPr="00CC7D10">
              <w:rPr>
                <w:rFonts w:ascii="Times New Roman" w:hAnsi="Times New Roman"/>
                <w:sz w:val="24"/>
                <w:szCs w:val="24"/>
              </w:rPr>
              <w:t>Bernardo</w:t>
            </w:r>
            <w:r w:rsidR="00CC7D10" w:rsidRPr="00CC7D10">
              <w:rPr>
                <w:rFonts w:ascii="Times New Roman" w:hAnsi="Times New Roman"/>
                <w:spacing w:val="42"/>
                <w:sz w:val="24"/>
                <w:szCs w:val="24"/>
              </w:rPr>
              <w:t xml:space="preserve"> </w:t>
            </w:r>
            <w:r w:rsidR="00CC7D10" w:rsidRPr="00CC7D10">
              <w:rPr>
                <w:rFonts w:ascii="Times New Roman" w:hAnsi="Times New Roman"/>
                <w:sz w:val="24"/>
                <w:szCs w:val="24"/>
              </w:rPr>
              <w:t>Kucinski</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CC7D10" w:rsidRDefault="00F153D4" w:rsidP="00505E82">
            <w:pPr>
              <w:spacing w:line="240" w:lineRule="auto"/>
              <w:rPr>
                <w:rFonts w:ascii="Times New Roman" w:hAnsi="Times New Roman"/>
                <w:sz w:val="24"/>
                <w:szCs w:val="24"/>
              </w:rPr>
            </w:pPr>
            <w:r w:rsidRPr="00CC7D10">
              <w:rPr>
                <w:rFonts w:ascii="Times New Roman" w:hAnsi="Times New Roman"/>
                <w:sz w:val="24"/>
                <w:szCs w:val="24"/>
              </w:rPr>
              <w:t>IES:</w:t>
            </w:r>
            <w:r w:rsidR="00CC7D10" w:rsidRPr="00CC7D10">
              <w:rPr>
                <w:rFonts w:ascii="Times New Roman" w:eastAsia="Times New Roman" w:hAnsi="Times New Roman"/>
                <w:bCs/>
                <w:sz w:val="24"/>
                <w:szCs w:val="24"/>
              </w:rPr>
              <w:t xml:space="preserve"> FFLCH/USP</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F153D4" w:rsidRPr="00CC7D10" w:rsidRDefault="00F153D4" w:rsidP="00505E82">
            <w:pPr>
              <w:spacing w:line="240" w:lineRule="auto"/>
              <w:rPr>
                <w:rFonts w:ascii="Times New Roman" w:hAnsi="Times New Roman"/>
                <w:sz w:val="24"/>
                <w:szCs w:val="24"/>
              </w:rPr>
            </w:pPr>
            <w:r w:rsidRPr="00CC7D10">
              <w:rPr>
                <w:rFonts w:ascii="Times New Roman" w:hAnsi="Times New Roman"/>
                <w:sz w:val="24"/>
                <w:szCs w:val="24"/>
              </w:rPr>
              <w:t xml:space="preserve">Cidade/Estado: </w:t>
            </w: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r w:rsidR="00F153D4" w:rsidRPr="001E2C63" w:rsidTr="00505E82">
        <w:tc>
          <w:tcPr>
            <w:tcW w:w="6771" w:type="dxa"/>
            <w:shd w:val="clear" w:color="auto" w:fill="auto"/>
          </w:tcPr>
          <w:p w:rsidR="00CC7D10" w:rsidRPr="00CC7D10" w:rsidRDefault="00F153D4" w:rsidP="00CC7D10">
            <w:pPr>
              <w:spacing w:before="2" w:line="178" w:lineRule="exact"/>
              <w:ind w:left="116" w:right="59"/>
              <w:rPr>
                <w:rFonts w:ascii="Times New Roman" w:eastAsia="Times New Roman" w:hAnsi="Times New Roman"/>
                <w:sz w:val="24"/>
                <w:szCs w:val="24"/>
              </w:rPr>
            </w:pPr>
            <w:r w:rsidRPr="00CC7D10">
              <w:rPr>
                <w:rFonts w:ascii="Times New Roman" w:hAnsi="Times New Roman"/>
                <w:sz w:val="24"/>
                <w:szCs w:val="24"/>
              </w:rPr>
              <w:t>Outras Informações:</w:t>
            </w:r>
            <w:r w:rsidR="00CC7D10" w:rsidRPr="00CC7D10">
              <w:rPr>
                <w:rFonts w:ascii="Times New Roman" w:hAnsi="Times New Roman"/>
                <w:sz w:val="24"/>
                <w:szCs w:val="24"/>
              </w:rPr>
              <w:t xml:space="preserve"> Estudante graduado </w:t>
            </w:r>
            <w:r w:rsidR="00CC7D10" w:rsidRPr="00CC7D10">
              <w:rPr>
                <w:rFonts w:ascii="Times New Roman" w:hAnsi="Times New Roman"/>
                <w:w w:val="105"/>
                <w:sz w:val="24"/>
                <w:szCs w:val="24"/>
              </w:rPr>
              <w:t xml:space="preserve">Mestre em Ciências da Comunicação pela Escola de Comunicação e Artes </w:t>
            </w:r>
            <w:r w:rsidR="00CC7D10" w:rsidRPr="00CC7D10">
              <w:rPr>
                <w:rFonts w:ascii="Times New Roman" w:hAnsi="Times New Roman"/>
                <w:spacing w:val="-3"/>
                <w:w w:val="105"/>
                <w:sz w:val="24"/>
                <w:szCs w:val="24"/>
              </w:rPr>
              <w:t xml:space="preserve">da </w:t>
            </w:r>
            <w:r w:rsidR="00CC7D10" w:rsidRPr="00CC7D10">
              <w:rPr>
                <w:rFonts w:ascii="Times New Roman" w:hAnsi="Times New Roman"/>
                <w:w w:val="105"/>
                <w:sz w:val="24"/>
                <w:szCs w:val="24"/>
              </w:rPr>
              <w:t>Universidade de São Paulo. Doutoranda em Teoria Literária e Literatura Comparada</w:t>
            </w:r>
            <w:r w:rsidR="00CC7D10" w:rsidRPr="00CC7D10">
              <w:rPr>
                <w:rFonts w:ascii="Times New Roman" w:hAnsi="Times New Roman"/>
                <w:spacing w:val="-7"/>
                <w:w w:val="105"/>
                <w:sz w:val="24"/>
                <w:szCs w:val="24"/>
              </w:rPr>
              <w:t xml:space="preserve"> </w:t>
            </w:r>
            <w:r w:rsidR="00CC7D10" w:rsidRPr="00CC7D10">
              <w:rPr>
                <w:rFonts w:ascii="Times New Roman" w:hAnsi="Times New Roman"/>
                <w:w w:val="105"/>
                <w:sz w:val="24"/>
                <w:szCs w:val="24"/>
              </w:rPr>
              <w:t>pela</w:t>
            </w:r>
            <w:r w:rsidR="00CC7D10" w:rsidRPr="00CC7D10">
              <w:rPr>
                <w:rFonts w:ascii="Times New Roman" w:hAnsi="Times New Roman"/>
                <w:spacing w:val="-11"/>
                <w:w w:val="105"/>
                <w:sz w:val="24"/>
                <w:szCs w:val="24"/>
              </w:rPr>
              <w:t xml:space="preserve"> </w:t>
            </w:r>
            <w:r w:rsidR="00CC7D10" w:rsidRPr="00CC7D10">
              <w:rPr>
                <w:rFonts w:ascii="Times New Roman" w:hAnsi="Times New Roman"/>
                <w:w w:val="105"/>
                <w:sz w:val="24"/>
                <w:szCs w:val="24"/>
              </w:rPr>
              <w:t>Faculdade</w:t>
            </w:r>
            <w:r w:rsidR="00CC7D10" w:rsidRPr="00CC7D10">
              <w:rPr>
                <w:rFonts w:ascii="Times New Roman" w:hAnsi="Times New Roman"/>
                <w:spacing w:val="-11"/>
                <w:w w:val="105"/>
                <w:sz w:val="24"/>
                <w:szCs w:val="24"/>
              </w:rPr>
              <w:t xml:space="preserve"> </w:t>
            </w:r>
            <w:r w:rsidR="00CC7D10" w:rsidRPr="00CC7D10">
              <w:rPr>
                <w:rFonts w:ascii="Times New Roman" w:hAnsi="Times New Roman"/>
                <w:w w:val="105"/>
                <w:sz w:val="24"/>
                <w:szCs w:val="24"/>
              </w:rPr>
              <w:t>de</w:t>
            </w:r>
            <w:r w:rsidR="00CC7D10" w:rsidRPr="00CC7D10">
              <w:rPr>
                <w:rFonts w:ascii="Times New Roman" w:hAnsi="Times New Roman"/>
                <w:spacing w:val="-15"/>
                <w:w w:val="105"/>
                <w:sz w:val="24"/>
                <w:szCs w:val="24"/>
              </w:rPr>
              <w:t xml:space="preserve"> </w:t>
            </w:r>
            <w:r w:rsidR="00CC7D10" w:rsidRPr="00CC7D10">
              <w:rPr>
                <w:rFonts w:ascii="Times New Roman" w:hAnsi="Times New Roman"/>
                <w:w w:val="105"/>
                <w:sz w:val="24"/>
                <w:szCs w:val="24"/>
              </w:rPr>
              <w:t>Filosofia,</w:t>
            </w:r>
            <w:r w:rsidR="00CC7D10" w:rsidRPr="00CC7D10">
              <w:rPr>
                <w:rFonts w:ascii="Times New Roman" w:hAnsi="Times New Roman"/>
                <w:spacing w:val="-10"/>
                <w:w w:val="105"/>
                <w:sz w:val="24"/>
                <w:szCs w:val="24"/>
              </w:rPr>
              <w:t xml:space="preserve"> </w:t>
            </w:r>
            <w:r w:rsidR="00CC7D10" w:rsidRPr="00CC7D10">
              <w:rPr>
                <w:rFonts w:ascii="Times New Roman" w:hAnsi="Times New Roman"/>
                <w:w w:val="105"/>
                <w:sz w:val="24"/>
                <w:szCs w:val="24"/>
              </w:rPr>
              <w:t>Letras</w:t>
            </w:r>
            <w:r w:rsidR="00CC7D10" w:rsidRPr="00CC7D10">
              <w:rPr>
                <w:rFonts w:ascii="Times New Roman" w:hAnsi="Times New Roman"/>
                <w:spacing w:val="-11"/>
                <w:w w:val="105"/>
                <w:sz w:val="24"/>
                <w:szCs w:val="24"/>
              </w:rPr>
              <w:t xml:space="preserve"> </w:t>
            </w:r>
            <w:r w:rsidR="00CC7D10" w:rsidRPr="00CC7D10">
              <w:rPr>
                <w:rFonts w:ascii="Times New Roman" w:hAnsi="Times New Roman"/>
                <w:w w:val="105"/>
                <w:sz w:val="24"/>
                <w:szCs w:val="24"/>
              </w:rPr>
              <w:t>e</w:t>
            </w:r>
            <w:r w:rsidR="00CC7D10" w:rsidRPr="00CC7D10">
              <w:rPr>
                <w:rFonts w:ascii="Times New Roman" w:hAnsi="Times New Roman"/>
                <w:spacing w:val="-7"/>
                <w:w w:val="105"/>
                <w:sz w:val="24"/>
                <w:szCs w:val="24"/>
              </w:rPr>
              <w:t xml:space="preserve"> </w:t>
            </w:r>
            <w:r w:rsidR="00CC7D10" w:rsidRPr="00CC7D10">
              <w:rPr>
                <w:rFonts w:ascii="Times New Roman" w:hAnsi="Times New Roman"/>
                <w:w w:val="105"/>
                <w:sz w:val="24"/>
                <w:szCs w:val="24"/>
              </w:rPr>
              <w:t>Ciências</w:t>
            </w:r>
            <w:r w:rsidR="00CC7D10" w:rsidRPr="00CC7D10">
              <w:rPr>
                <w:rFonts w:ascii="Times New Roman" w:hAnsi="Times New Roman"/>
                <w:spacing w:val="-15"/>
                <w:w w:val="105"/>
                <w:sz w:val="24"/>
                <w:szCs w:val="24"/>
              </w:rPr>
              <w:t xml:space="preserve"> </w:t>
            </w:r>
            <w:r w:rsidR="00CC7D10" w:rsidRPr="00CC7D10">
              <w:rPr>
                <w:rFonts w:ascii="Times New Roman" w:hAnsi="Times New Roman"/>
                <w:w w:val="105"/>
                <w:sz w:val="24"/>
                <w:szCs w:val="24"/>
              </w:rPr>
              <w:t>Humanas</w:t>
            </w:r>
            <w:r w:rsidR="00CC7D10" w:rsidRPr="00CC7D10">
              <w:rPr>
                <w:rFonts w:ascii="Times New Roman" w:hAnsi="Times New Roman"/>
                <w:spacing w:val="-7"/>
                <w:w w:val="105"/>
                <w:sz w:val="24"/>
                <w:szCs w:val="24"/>
              </w:rPr>
              <w:t xml:space="preserve"> </w:t>
            </w:r>
            <w:r w:rsidR="00CC7D10" w:rsidRPr="00CC7D10">
              <w:rPr>
                <w:rFonts w:ascii="Times New Roman" w:hAnsi="Times New Roman"/>
                <w:w w:val="105"/>
                <w:sz w:val="24"/>
                <w:szCs w:val="24"/>
              </w:rPr>
              <w:t>da</w:t>
            </w:r>
            <w:r w:rsidR="00CC7D10" w:rsidRPr="00CC7D10">
              <w:rPr>
                <w:rFonts w:ascii="Times New Roman" w:hAnsi="Times New Roman"/>
                <w:spacing w:val="-7"/>
                <w:w w:val="105"/>
                <w:sz w:val="24"/>
                <w:szCs w:val="24"/>
              </w:rPr>
              <w:t xml:space="preserve"> </w:t>
            </w:r>
            <w:r w:rsidR="00CC7D10" w:rsidRPr="00CC7D10">
              <w:rPr>
                <w:rFonts w:ascii="Times New Roman" w:hAnsi="Times New Roman"/>
                <w:w w:val="105"/>
                <w:sz w:val="24"/>
                <w:szCs w:val="24"/>
              </w:rPr>
              <w:t>Universidade</w:t>
            </w:r>
            <w:r w:rsidR="00CC7D10" w:rsidRPr="00CC7D10">
              <w:rPr>
                <w:rFonts w:ascii="Times New Roman" w:hAnsi="Times New Roman"/>
                <w:spacing w:val="-7"/>
                <w:w w:val="105"/>
                <w:sz w:val="24"/>
                <w:szCs w:val="24"/>
              </w:rPr>
              <w:t xml:space="preserve"> </w:t>
            </w:r>
            <w:r w:rsidR="00CC7D10" w:rsidRPr="00CC7D10">
              <w:rPr>
                <w:rFonts w:ascii="Times New Roman" w:hAnsi="Times New Roman"/>
                <w:spacing w:val="-3"/>
                <w:w w:val="105"/>
                <w:sz w:val="24"/>
                <w:szCs w:val="24"/>
              </w:rPr>
              <w:t>de</w:t>
            </w:r>
            <w:r w:rsidR="00CC7D10" w:rsidRPr="00CC7D10">
              <w:rPr>
                <w:rFonts w:ascii="Times New Roman" w:hAnsi="Times New Roman"/>
                <w:spacing w:val="-7"/>
                <w:w w:val="105"/>
                <w:sz w:val="24"/>
                <w:szCs w:val="24"/>
              </w:rPr>
              <w:t xml:space="preserve"> </w:t>
            </w:r>
            <w:r w:rsidR="00CC7D10" w:rsidRPr="00CC7D10">
              <w:rPr>
                <w:rFonts w:ascii="Times New Roman" w:hAnsi="Times New Roman"/>
                <w:w w:val="105"/>
                <w:sz w:val="24"/>
                <w:szCs w:val="24"/>
              </w:rPr>
              <w:t>São</w:t>
            </w:r>
            <w:r w:rsidR="00CC7D10" w:rsidRPr="00CC7D10">
              <w:rPr>
                <w:rFonts w:ascii="Times New Roman" w:hAnsi="Times New Roman"/>
                <w:spacing w:val="-10"/>
                <w:w w:val="105"/>
                <w:sz w:val="24"/>
                <w:szCs w:val="24"/>
              </w:rPr>
              <w:t xml:space="preserve"> </w:t>
            </w:r>
            <w:r w:rsidR="00CC7D10" w:rsidRPr="00CC7D10">
              <w:rPr>
                <w:rFonts w:ascii="Times New Roman" w:hAnsi="Times New Roman"/>
                <w:w w:val="105"/>
                <w:sz w:val="24"/>
                <w:szCs w:val="24"/>
              </w:rPr>
              <w:t>Paulo.</w:t>
            </w:r>
          </w:p>
          <w:p w:rsidR="00F153D4" w:rsidRPr="00CC7D10" w:rsidRDefault="00F153D4" w:rsidP="00505E82">
            <w:pPr>
              <w:spacing w:line="240" w:lineRule="auto"/>
              <w:rPr>
                <w:rFonts w:ascii="Times New Roman" w:hAnsi="Times New Roman"/>
                <w:sz w:val="24"/>
                <w:szCs w:val="24"/>
              </w:rPr>
            </w:pPr>
          </w:p>
          <w:p w:rsidR="00F153D4" w:rsidRPr="00CC7D10" w:rsidRDefault="00F153D4" w:rsidP="00505E82">
            <w:pPr>
              <w:spacing w:line="240" w:lineRule="auto"/>
              <w:rPr>
                <w:rFonts w:ascii="Times New Roman" w:hAnsi="Times New Roman"/>
                <w:sz w:val="24"/>
                <w:szCs w:val="24"/>
              </w:rPr>
            </w:pPr>
          </w:p>
        </w:tc>
        <w:tc>
          <w:tcPr>
            <w:tcW w:w="1873" w:type="dxa"/>
            <w:vMerge/>
            <w:shd w:val="clear" w:color="auto" w:fill="auto"/>
          </w:tcPr>
          <w:p w:rsidR="00F153D4" w:rsidRPr="001E2C63" w:rsidRDefault="00F153D4" w:rsidP="00505E82">
            <w:pPr>
              <w:spacing w:line="240" w:lineRule="auto"/>
              <w:rPr>
                <w:rFonts w:ascii="Times New Roman" w:hAnsi="Times New Roman"/>
                <w:sz w:val="24"/>
                <w:szCs w:val="24"/>
              </w:rPr>
            </w:pPr>
          </w:p>
        </w:tc>
      </w:tr>
    </w:tbl>
    <w:p w:rsidR="00F153D4" w:rsidRDefault="00F153D4" w:rsidP="009741F1"/>
    <w:p w:rsidR="00CC7D10" w:rsidRDefault="00CC7D10" w:rsidP="00CC7D10">
      <w:pPr>
        <w:rPr>
          <w:rFonts w:ascii="Times New Roman" w:eastAsia="Times New Roman" w:hAnsi="Times New Roman"/>
          <w:sz w:val="20"/>
          <w:szCs w:val="20"/>
        </w:rPr>
      </w:pPr>
    </w:p>
    <w:p w:rsidR="00CC7D10" w:rsidRDefault="00CC7D10" w:rsidP="00CC7D10">
      <w:pPr>
        <w:ind w:left="817" w:right="59"/>
        <w:rPr>
          <w:rFonts w:ascii="Times New Roman" w:eastAsia="Times New Roman" w:hAnsi="Times New Roman"/>
          <w:sz w:val="23"/>
          <w:szCs w:val="23"/>
        </w:rPr>
      </w:pPr>
      <w:r>
        <w:rPr>
          <w:rFonts w:ascii="Times New Roman" w:hAnsi="Times New Roman"/>
          <w:b/>
          <w:sz w:val="23"/>
        </w:rPr>
        <w:t>Introdução</w:t>
      </w:r>
    </w:p>
    <w:p w:rsidR="00CC7D10" w:rsidRDefault="00CC7D10" w:rsidP="00CC7D10">
      <w:pPr>
        <w:pStyle w:val="Corpodetexto"/>
        <w:spacing w:before="134" w:line="364" w:lineRule="auto"/>
        <w:ind w:right="121"/>
        <w:jc w:val="both"/>
      </w:pPr>
      <w:r>
        <w:t xml:space="preserve">A pesquisa, </w:t>
      </w:r>
      <w:r>
        <w:rPr>
          <w:spacing w:val="2"/>
        </w:rPr>
        <w:t xml:space="preserve">que </w:t>
      </w:r>
      <w:r>
        <w:t xml:space="preserve">agora apresento, realizada com base </w:t>
      </w:r>
      <w:r>
        <w:rPr>
          <w:spacing w:val="3"/>
        </w:rPr>
        <w:t xml:space="preserve">em </w:t>
      </w:r>
      <w:r>
        <w:t xml:space="preserve">alguns dos principais acervos do Brasil sobre movimento social – Arquivo Edgard Leuenroth (AEL), instalado na Unicamp, Campinas (SP); a Biblioteca </w:t>
      </w:r>
      <w:r>
        <w:rPr>
          <w:spacing w:val="4"/>
        </w:rPr>
        <w:t xml:space="preserve">da </w:t>
      </w:r>
      <w:r>
        <w:t xml:space="preserve">Fundação Carlos Chagas, </w:t>
      </w:r>
      <w:r>
        <w:rPr>
          <w:spacing w:val="3"/>
        </w:rPr>
        <w:t xml:space="preserve">em </w:t>
      </w:r>
      <w:r>
        <w:t xml:space="preserve">São Paulo (SP) e a Biblioteca do Centro de Informação da Mulher </w:t>
      </w:r>
      <w:r>
        <w:rPr>
          <w:spacing w:val="-3"/>
        </w:rPr>
        <w:t xml:space="preserve">(CIM), </w:t>
      </w:r>
      <w:r>
        <w:t xml:space="preserve">sediada </w:t>
      </w:r>
      <w:r>
        <w:rPr>
          <w:spacing w:val="3"/>
        </w:rPr>
        <w:t xml:space="preserve">em </w:t>
      </w:r>
      <w:r>
        <w:t xml:space="preserve">São Paulo (SP) – revelou </w:t>
      </w:r>
      <w:r>
        <w:rPr>
          <w:spacing w:val="-3"/>
        </w:rPr>
        <w:t xml:space="preserve">que </w:t>
      </w:r>
      <w:r>
        <w:t xml:space="preserve">a imprensa feminista </w:t>
      </w:r>
      <w:r>
        <w:lastRenderedPageBreak/>
        <w:t xml:space="preserve">brasileira circula </w:t>
      </w:r>
      <w:r>
        <w:rPr>
          <w:spacing w:val="-3"/>
        </w:rPr>
        <w:t xml:space="preserve">até </w:t>
      </w:r>
      <w:r>
        <w:t xml:space="preserve">os nossos dias e conta com cerca de 75 periódicos (ver tabela 2), contrariando a opinião corrente de que tais publicações existiram apenas na década de 1970. A análise dos periódicos </w:t>
      </w:r>
      <w:r>
        <w:rPr>
          <w:spacing w:val="-3"/>
        </w:rPr>
        <w:t xml:space="preserve">levou </w:t>
      </w:r>
      <w:r>
        <w:rPr>
          <w:spacing w:val="3"/>
        </w:rPr>
        <w:t xml:space="preserve">em </w:t>
      </w:r>
      <w:r>
        <w:t xml:space="preserve">consideração a observação da composição e alterações dos conselhos editoriais, equipe de redatores e redatoras, opções   de pautas, títulos e paginação. Também foi feito um estudo do conteúdo  político-ideológico  dos  discursos (escritos ou visuais) das capas e das principais matérias das publicações pesquisadas. Os títulos feministas incluídos no trabalho dizem respeito às publicações noticiosas, ou seja, ficaram de fora: livros, cadernos com artigos analíticos ou revistas com conteúdo </w:t>
      </w:r>
      <w:r>
        <w:rPr>
          <w:spacing w:val="17"/>
        </w:rPr>
        <w:t xml:space="preserve"> </w:t>
      </w:r>
      <w:r>
        <w:t>acadêmico.</w:t>
      </w:r>
    </w:p>
    <w:p w:rsidR="00CC7D10" w:rsidRDefault="00CC7D10" w:rsidP="00CC7D10">
      <w:pPr>
        <w:pStyle w:val="Corpodetexto"/>
        <w:spacing w:before="11" w:line="364" w:lineRule="auto"/>
        <w:ind w:right="116"/>
        <w:jc w:val="both"/>
      </w:pPr>
      <w:r>
        <w:t xml:space="preserve">A ausência de uma pesquisa sobre a imprensa feminista brasileira pós-1974  representava  um  lapso em nossa literatura sob a chancela de comunicação, feminismo e relação de gênero. Dentro da literatura sobre imprensa brasileira, imprensa para mulheres e imprensa alternativa, </w:t>
      </w:r>
      <w:r>
        <w:rPr>
          <w:spacing w:val="4"/>
        </w:rPr>
        <w:t xml:space="preserve">os </w:t>
      </w:r>
      <w:r>
        <w:t xml:space="preserve">periódicos feministas não foram estudados </w:t>
      </w:r>
      <w:r>
        <w:rPr>
          <w:spacing w:val="3"/>
        </w:rPr>
        <w:t xml:space="preserve">em </w:t>
      </w:r>
      <w:r>
        <w:t xml:space="preserve">profundidade. Os jornais, suas autoras  e  realizadoras  foram  ignorados ou figuraram rapidamente em subtópicos de trabalhos de grande fôlego sobre a história da imprensa brasileira, como a obra de Sodré, 1999, Buittoni, 1981, e Kucinski, 1991. Para todos os efeitos    a imprensa feminista foi localizada entre os jornais alternativos da década de 1970. A existência concomitante com os alternativos e seu engajamento social e político nas questões da época fizeram com que a imprensa feminista fosse classificada como uma expressão </w:t>
      </w:r>
      <w:r>
        <w:rPr>
          <w:spacing w:val="4"/>
        </w:rPr>
        <w:t xml:space="preserve">da </w:t>
      </w:r>
      <w:r>
        <w:t xml:space="preserve">imprensa alternativa. Assim como existiram os alternativos voltados para a ecologia, para o humor, para o prazer, para a política, para a economia, haviam os jornais  voltados para a questão  feminista (Kucinski, 1991). Então,  </w:t>
      </w:r>
      <w:r>
        <w:rPr>
          <w:spacing w:val="53"/>
        </w:rPr>
        <w:t xml:space="preserve"> </w:t>
      </w:r>
      <w:r>
        <w:t>continuávamos</w:t>
      </w:r>
      <w:r w:rsidRPr="00CC7D10">
        <w:rPr>
          <w:rFonts w:ascii="Calibri" w:eastAsia="Calibri" w:hAnsi="Calibri"/>
          <w:sz w:val="22"/>
          <w:szCs w:val="22"/>
        </w:rPr>
        <w:pict>
          <v:group id="_x0000_s1039" style="position:absolute;left:0;text-align:left;margin-left:68.9pt;margin-top:18.35pt;width:140.2pt;height:.1pt;z-index:251622912;mso-wrap-distance-left:0;mso-wrap-distance-right:0;mso-position-horizontal-relative:page;mso-position-vertical-relative:text" coordorigin="1378,367" coordsize="2804,2">
            <v:shape id="_x0000_s1040" style="position:absolute;left:1378;top:367;width:2804;height:2" coordorigin="1378,367" coordsize="2804,0" path="m1378,367r2803,e" filled="f" strokeweight=".25367mm">
              <v:path arrowok="t"/>
            </v:shape>
            <w10:wrap type="topAndBottom" anchorx="page"/>
          </v:group>
        </w:pict>
      </w:r>
      <w:r>
        <w:t xml:space="preserve"> sabendo pouco sobre esse fenômeno. Quantos (periódicos) eram, onde foram editados, de que assuntos tratavam? Neste sentido a pesquisa apresenta alguns dados desmistificadores. Além  de  revelar um   </w:t>
      </w:r>
      <w:r>
        <w:rPr>
          <w:spacing w:val="24"/>
        </w:rPr>
        <w:t xml:space="preserve"> </w:t>
      </w:r>
      <w:r>
        <w:t xml:space="preserve">número (75) bem superior de publicações feministas (falava-se em seis ou oito), destacamos </w:t>
      </w:r>
      <w:r>
        <w:rPr>
          <w:spacing w:val="2"/>
        </w:rPr>
        <w:t xml:space="preserve">que </w:t>
      </w:r>
      <w:r>
        <w:t xml:space="preserve">ela foi editada  </w:t>
      </w:r>
      <w:r>
        <w:rPr>
          <w:spacing w:val="3"/>
        </w:rPr>
        <w:t xml:space="preserve">em </w:t>
      </w:r>
      <w:r>
        <w:t xml:space="preserve">todo território nacional, com exceção </w:t>
      </w:r>
      <w:r>
        <w:rPr>
          <w:spacing w:val="4"/>
        </w:rPr>
        <w:t xml:space="preserve">da </w:t>
      </w:r>
      <w:r>
        <w:t xml:space="preserve">Região Norte, o que nega o senso comum de que apenas o eixo Rio-São Paulo abrigava o movimento feminista, como </w:t>
      </w:r>
      <w:r>
        <w:rPr>
          <w:spacing w:val="2"/>
        </w:rPr>
        <w:t xml:space="preserve">se </w:t>
      </w:r>
      <w:r>
        <w:t xml:space="preserve">poderia desconfiar devido à importância política-econômica desta região. O que de certa forma </w:t>
      </w:r>
      <w:r>
        <w:rPr>
          <w:spacing w:val="4"/>
        </w:rPr>
        <w:t xml:space="preserve">dá </w:t>
      </w:r>
      <w:r>
        <w:t xml:space="preserve">uma mostra da força, da organização e  do alcance do movimento </w:t>
      </w:r>
      <w:r>
        <w:lastRenderedPageBreak/>
        <w:t xml:space="preserve">feminista no Brasil. Além da variação geográfica, </w:t>
      </w:r>
      <w:r>
        <w:rPr>
          <w:spacing w:val="2"/>
        </w:rPr>
        <w:t xml:space="preserve">temos uma </w:t>
      </w:r>
      <w:r>
        <w:t xml:space="preserve">multiplicidade temática, pois levando em consideração os aspectos editoriais dos periódicos feministas, vê-se que seus interesses eram amplos e que podemos dividí-los em duas gerações e subdividí-los em oito categorias principais. Outra afirmação possível, a partir dos resultados aqui apresentados, é que  a  imprensa  feminista é um fenômeno contínuo e vigoroso socialmente, já que suas publicações são editadas ininterruptamente, desde 1974 até os nossos </w:t>
      </w:r>
      <w:r>
        <w:rPr>
          <w:spacing w:val="2"/>
        </w:rPr>
        <w:t xml:space="preserve"> </w:t>
      </w:r>
      <w:r>
        <w:t>dias.</w:t>
      </w:r>
    </w:p>
    <w:p w:rsidR="00CC7D10" w:rsidRDefault="00CC7D10" w:rsidP="00CC7D10">
      <w:pPr>
        <w:pStyle w:val="Corpodetexto"/>
        <w:spacing w:before="11" w:line="364" w:lineRule="auto"/>
        <w:ind w:right="103"/>
        <w:jc w:val="both"/>
      </w:pPr>
      <w:r>
        <w:t xml:space="preserve">Nas próximas páginas, vamos desenvolver essas conclusões de modo a responder três questões sobre a imprensa feminista editada no Brasil pós-1974: 1) quantos </w:t>
      </w:r>
      <w:r>
        <w:rPr>
          <w:spacing w:val="-3"/>
        </w:rPr>
        <w:t xml:space="preserve">são </w:t>
      </w:r>
      <w:r>
        <w:t xml:space="preserve">os registros de publicações feministas editadas </w:t>
      </w:r>
      <w:r>
        <w:rPr>
          <w:spacing w:val="3"/>
        </w:rPr>
        <w:t xml:space="preserve">em </w:t>
      </w:r>
      <w:r>
        <w:t xml:space="preserve">território brasileiro neste período; 2) quais Estados e cidades </w:t>
      </w:r>
      <w:r>
        <w:rPr>
          <w:spacing w:val="-4"/>
        </w:rPr>
        <w:t xml:space="preserve">as </w:t>
      </w:r>
      <w:r>
        <w:t xml:space="preserve">sediaram e 3) e qual o perfil dessas publicações, de que assuntos </w:t>
      </w:r>
      <w:r>
        <w:rPr>
          <w:spacing w:val="3"/>
        </w:rPr>
        <w:t xml:space="preserve"> </w:t>
      </w:r>
      <w:r>
        <w:t>trataram.</w:t>
      </w:r>
    </w:p>
    <w:p w:rsidR="00CC7D10" w:rsidRDefault="00CC7D10" w:rsidP="00CC7D10">
      <w:pPr>
        <w:rPr>
          <w:rFonts w:ascii="Times New Roman" w:eastAsia="Times New Roman" w:hAnsi="Times New Roman"/>
        </w:rPr>
      </w:pPr>
    </w:p>
    <w:p w:rsidR="00CC7D10" w:rsidRDefault="00CC7D10" w:rsidP="00CC7D10">
      <w:pPr>
        <w:pStyle w:val="Ttulo1"/>
        <w:spacing w:before="166"/>
        <w:rPr>
          <w:b w:val="0"/>
          <w:bCs w:val="0"/>
        </w:rPr>
      </w:pPr>
      <w:r>
        <w:t xml:space="preserve">Características da primeira e da segunda </w:t>
      </w:r>
      <w:r>
        <w:rPr>
          <w:spacing w:val="6"/>
        </w:rPr>
        <w:t xml:space="preserve"> </w:t>
      </w:r>
      <w:r>
        <w:t>geração</w:t>
      </w:r>
    </w:p>
    <w:p w:rsidR="00CC7D10" w:rsidRDefault="00CC7D10" w:rsidP="00CC7D10">
      <w:pPr>
        <w:pStyle w:val="Corpodetexto"/>
        <w:spacing w:before="129" w:line="364" w:lineRule="auto"/>
        <w:ind w:right="100"/>
        <w:jc w:val="both"/>
      </w:pPr>
      <w:r>
        <w:t xml:space="preserve">Durante a pesquisa de campo foram encontrados 75 periódicos feministas, entre boletins, revistas   e jornais de todo o Brasil (ver tabela 2). O conjunto de publicações  está  disponível nos  acervos  já citados, AEL, Biblioteca da Fundação Carlos Chagas e CIM. Esses arquivos são reconhecidamente completos </w:t>
      </w:r>
      <w:r>
        <w:rPr>
          <w:spacing w:val="4"/>
        </w:rPr>
        <w:t xml:space="preserve">na </w:t>
      </w:r>
      <w:r>
        <w:t xml:space="preserve">temática sobre o movimento social e guardam uma enormidade </w:t>
      </w:r>
      <w:r>
        <w:rPr>
          <w:spacing w:val="4"/>
        </w:rPr>
        <w:t xml:space="preserve">de </w:t>
      </w:r>
      <w:r>
        <w:t xml:space="preserve">documentos feministas, como folhetos, cartazes, atas </w:t>
      </w:r>
      <w:r>
        <w:rPr>
          <w:spacing w:val="4"/>
        </w:rPr>
        <w:t xml:space="preserve">de </w:t>
      </w:r>
      <w:r>
        <w:t xml:space="preserve">reuniões, ofícios, correspondência, cadernos de pesquisa, livros, revistas científicas, entre outros. Mas este artigo se limita a abordar as publicações  que  estabelecem  características jornalísticas sobre o feminismo, por meio do formato jornal, boletim ou revista. Com esse pressuposto a pesquisa incluiu toda publicação noticiosa/joranalística declarada feminista ou com  conteúdo feminista (defesa do aborto/direitos reprodutivos, saúde da mulher,  trabalho  e  mulher, cobertura dos eventos feministas, entre outros) encontrada nos acervos listados. A pesquisa de campo, a análise das publicações, a pesquisa bibliográfica e as entrevistas com </w:t>
      </w:r>
      <w:r>
        <w:rPr>
          <w:spacing w:val="-4"/>
        </w:rPr>
        <w:t xml:space="preserve">as  </w:t>
      </w:r>
      <w:r>
        <w:t xml:space="preserve">feministas indicaram a divisão    da imprensa feminista em primeira e segunda geração, as quais passamos a </w:t>
      </w:r>
      <w:r>
        <w:rPr>
          <w:spacing w:val="37"/>
        </w:rPr>
        <w:t xml:space="preserve"> </w:t>
      </w:r>
      <w:r>
        <w:t>descrever.</w:t>
      </w:r>
    </w:p>
    <w:p w:rsidR="00CC7D10" w:rsidRDefault="00CC7D10" w:rsidP="00CC7D10">
      <w:pPr>
        <w:spacing w:line="364" w:lineRule="auto"/>
        <w:rPr>
          <w:rFonts w:ascii="Times New Roman" w:eastAsia="Times New Roman" w:hAnsi="Times New Roman"/>
          <w:sz w:val="15"/>
          <w:szCs w:val="15"/>
        </w:rPr>
      </w:pPr>
      <w:r>
        <w:t xml:space="preserve"> </w:t>
      </w:r>
    </w:p>
    <w:p w:rsidR="00CC7D10" w:rsidRDefault="00CC7D10" w:rsidP="00CC7D10">
      <w:pPr>
        <w:pStyle w:val="Corpodetexto"/>
        <w:spacing w:before="73" w:line="364" w:lineRule="auto"/>
        <w:ind w:right="116"/>
        <w:jc w:val="both"/>
      </w:pPr>
      <w:r>
        <w:t xml:space="preserve">A tentativa de dividir e caracterizar a primeira e a segunda geração </w:t>
      </w:r>
      <w:r>
        <w:rPr>
          <w:spacing w:val="4"/>
        </w:rPr>
        <w:t xml:space="preserve">da </w:t>
      </w:r>
      <w:r>
        <w:t xml:space="preserve">imprensa feminista não    </w:t>
      </w:r>
      <w:r>
        <w:lastRenderedPageBreak/>
        <w:t xml:space="preserve">tem o intuito de amordaçar as publicações com rótulos, mas sim de enriquecer a leitura deste conjunto de periódicos. A imprensa ligada a um movimento social está inserida num processo contínuo de mudanças graduais, por isso é possível encontrar algumas características </w:t>
      </w:r>
      <w:r>
        <w:rPr>
          <w:spacing w:val="4"/>
        </w:rPr>
        <w:t xml:space="preserve">da </w:t>
      </w:r>
      <w:r>
        <w:t xml:space="preserve">primeira geração </w:t>
      </w:r>
      <w:r>
        <w:rPr>
          <w:spacing w:val="3"/>
        </w:rPr>
        <w:t xml:space="preserve">em </w:t>
      </w:r>
      <w:r>
        <w:t xml:space="preserve">títulos cujo lançamento aconteceu na década </w:t>
      </w:r>
      <w:r>
        <w:rPr>
          <w:spacing w:val="4"/>
        </w:rPr>
        <w:t xml:space="preserve">de </w:t>
      </w:r>
      <w:r>
        <w:t xml:space="preserve">1990. É o caso </w:t>
      </w:r>
      <w:r>
        <w:rPr>
          <w:spacing w:val="4"/>
        </w:rPr>
        <w:t xml:space="preserve">da </w:t>
      </w:r>
      <w:r>
        <w:t xml:space="preserve">revista </w:t>
      </w:r>
      <w:r>
        <w:rPr>
          <w:i/>
        </w:rPr>
        <w:t xml:space="preserve">Mulher </w:t>
      </w:r>
      <w:r>
        <w:rPr>
          <w:i/>
          <w:spacing w:val="3"/>
        </w:rPr>
        <w:t xml:space="preserve">em </w:t>
      </w:r>
      <w:r>
        <w:rPr>
          <w:i/>
        </w:rPr>
        <w:t>Movimento</w:t>
      </w:r>
      <w:r>
        <w:t xml:space="preserve">, de Salvador (BA), ligada ao Sindicato dos Bancários da Bahia. A publicação pertence </w:t>
      </w:r>
      <w:r>
        <w:rPr>
          <w:spacing w:val="-4"/>
        </w:rPr>
        <w:t xml:space="preserve">ao </w:t>
      </w:r>
      <w:r>
        <w:t xml:space="preserve">Departamento para Assuntos </w:t>
      </w:r>
      <w:r>
        <w:rPr>
          <w:spacing w:val="4"/>
        </w:rPr>
        <w:t xml:space="preserve">da </w:t>
      </w:r>
      <w:r>
        <w:t xml:space="preserve">Mulher, cuja presidente, na época, era Rebecca Serravalle. No editorial da edição número 1, Serravalle afirma: “o problema não está necessariamente </w:t>
      </w:r>
      <w:r>
        <w:rPr>
          <w:spacing w:val="4"/>
        </w:rPr>
        <w:t xml:space="preserve">na </w:t>
      </w:r>
      <w:r>
        <w:t xml:space="preserve">relação homem/mulher. Está sim, numa estrutura social injusta </w:t>
      </w:r>
      <w:r>
        <w:rPr>
          <w:spacing w:val="2"/>
        </w:rPr>
        <w:t xml:space="preserve">que </w:t>
      </w:r>
      <w:r>
        <w:rPr>
          <w:spacing w:val="-3"/>
        </w:rPr>
        <w:t xml:space="preserve">se  </w:t>
      </w:r>
      <w:r>
        <w:t xml:space="preserve">reflete nos  lares,  nas pessoas, </w:t>
      </w:r>
      <w:r>
        <w:rPr>
          <w:spacing w:val="4"/>
        </w:rPr>
        <w:t xml:space="preserve">na </w:t>
      </w:r>
      <w:r>
        <w:t xml:space="preserve">educação que, dizem, nos prepara para a vida [...], ou  seja, nos ensina reproduzir o ‘sistema’”. Um argumento corrente na imprensa feminista </w:t>
      </w:r>
      <w:r>
        <w:rPr>
          <w:spacing w:val="4"/>
        </w:rPr>
        <w:t xml:space="preserve">da </w:t>
      </w:r>
      <w:r>
        <w:t xml:space="preserve">primeira geração, editada nas décadas de 1970. Assim como, é possível encontrar características  da  segunda geração </w:t>
      </w:r>
      <w:r>
        <w:rPr>
          <w:spacing w:val="3"/>
        </w:rPr>
        <w:t xml:space="preserve">em </w:t>
      </w:r>
      <w:r>
        <w:t xml:space="preserve">periódicos da primeira geração. É o caso do </w:t>
      </w:r>
      <w:r>
        <w:rPr>
          <w:i/>
        </w:rPr>
        <w:t xml:space="preserve">Nosotras </w:t>
      </w:r>
      <w:r>
        <w:t xml:space="preserve">que apesar de fundado </w:t>
      </w:r>
      <w:r>
        <w:rPr>
          <w:spacing w:val="3"/>
        </w:rPr>
        <w:t xml:space="preserve">em </w:t>
      </w:r>
      <w:r>
        <w:t xml:space="preserve">1974, trabalhava com questões centrais para o feminismo praticado após 1985, inclusive com metodologias de segunda geração, como a formação de grupos de </w:t>
      </w:r>
      <w:r>
        <w:rPr>
          <w:spacing w:val="16"/>
        </w:rPr>
        <w:t xml:space="preserve"> </w:t>
      </w:r>
      <w:r>
        <w:t>consciência.</w:t>
      </w:r>
    </w:p>
    <w:p w:rsidR="00CC7D10" w:rsidRDefault="00CC7D10" w:rsidP="00CC7D10">
      <w:pPr>
        <w:pStyle w:val="Corpodetexto"/>
        <w:spacing w:before="6" w:line="352" w:lineRule="auto"/>
        <w:ind w:right="121"/>
        <w:jc w:val="both"/>
      </w:pPr>
      <w:r>
        <w:t xml:space="preserve">Em linhas gerais, porém, foi possível traçar características pertencentes às  publicações  da  primeira geração e características pertencentes às publicações  da  segunda  geração.  Nota-se  que, enquanto a primeira geração está marcada pelo debate entre “questão da mulher” </w:t>
      </w:r>
      <w:r>
        <w:rPr>
          <w:i/>
        </w:rPr>
        <w:t xml:space="preserve">versus </w:t>
      </w:r>
      <w:r>
        <w:t>“questão geral”, feminismo liberal</w:t>
      </w:r>
      <w:r>
        <w:rPr>
          <w:position w:val="11"/>
          <w:sz w:val="15"/>
          <w:szCs w:val="15"/>
        </w:rPr>
        <w:t xml:space="preserve">3 </w:t>
      </w:r>
      <w:r>
        <w:rPr>
          <w:i/>
        </w:rPr>
        <w:t xml:space="preserve">versus </w:t>
      </w:r>
      <w:r>
        <w:t xml:space="preserve">feminismo marxista ortodoxo, por reivindicações de ações públicas que coloquem as mulheres em igualdade com os homens, pela questão </w:t>
      </w:r>
      <w:r>
        <w:rPr>
          <w:spacing w:val="4"/>
        </w:rPr>
        <w:t xml:space="preserve">da </w:t>
      </w:r>
      <w:r>
        <w:t>autonomia partidária  e  pelo combate a ditadura; já a segunda geração da imprensa feminista incorpora o conceito de gênero</w:t>
      </w:r>
      <w:r>
        <w:rPr>
          <w:position w:val="11"/>
          <w:sz w:val="15"/>
          <w:szCs w:val="15"/>
        </w:rPr>
        <w:t>4</w:t>
      </w:r>
      <w:r>
        <w:t xml:space="preserve">, assume os temas relacionados direta e exclusivamente às mulheres (como sexualidade, planejamento familiar e violência contra a mulher), tende para a especialização por temas, luta pelo direito à diferença e opera  </w:t>
      </w:r>
      <w:r>
        <w:rPr>
          <w:spacing w:val="7"/>
        </w:rPr>
        <w:t xml:space="preserve"> </w:t>
      </w:r>
      <w:r>
        <w:t>em</w:t>
      </w:r>
    </w:p>
    <w:p w:rsidR="00CC7D10" w:rsidRDefault="00CC7D10" w:rsidP="00CC7D10">
      <w:pPr>
        <w:pStyle w:val="Corpodetexto"/>
        <w:spacing w:before="14" w:line="364" w:lineRule="auto"/>
        <w:ind w:right="118" w:firstLine="0"/>
      </w:pPr>
      <w:r>
        <w:t xml:space="preserve">parceria com </w:t>
      </w:r>
      <w:r>
        <w:rPr>
          <w:spacing w:val="4"/>
        </w:rPr>
        <w:t xml:space="preserve">um </w:t>
      </w:r>
      <w:r>
        <w:t>novo ator social, a sociedade civil organizada, na forma de  ONGs  e  associações voltadas para a questão de gênero. (Ver tabela  1.)</w:t>
      </w: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1431E7" w:rsidRDefault="001431E7"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spacing w:before="2"/>
        <w:rPr>
          <w:rFonts w:ascii="Times New Roman" w:eastAsia="Times New Roman" w:hAnsi="Times New Roman"/>
          <w:sz w:val="21"/>
          <w:szCs w:val="21"/>
        </w:rPr>
      </w:pPr>
      <w:r w:rsidRPr="00CC7D10">
        <w:rPr>
          <w:lang w:val="en-US"/>
        </w:rPr>
        <w:pict>
          <v:group id="_x0000_s1041" style="position:absolute;left:0;text-align:left;margin-left:68.9pt;margin-top:13.5pt;width:140.2pt;height:.1pt;z-index:251623936;mso-wrap-distance-left:0;mso-wrap-distance-right:0;mso-position-horizontal-relative:page" coordorigin="1378,270" coordsize="2804,2">
            <v:shape id="_x0000_s1042" style="position:absolute;left:1378;top:270;width:2804;height:2" coordorigin="1378,270" coordsize="2804,0" path="m1378,270r2803,e" filled="f" strokeweight=".25367mm">
              <v:path arrowok="t"/>
            </v:shape>
            <w10:wrap type="topAndBottom" anchorx="page"/>
          </v:group>
        </w:pict>
      </w:r>
    </w:p>
    <w:p w:rsidR="00CC7D10" w:rsidRDefault="00CC7D10" w:rsidP="00CC7D10">
      <w:pPr>
        <w:spacing w:before="66" w:line="247" w:lineRule="auto"/>
        <w:ind w:left="116" w:right="59"/>
        <w:rPr>
          <w:rFonts w:ascii="Times New Roman" w:eastAsia="Times New Roman" w:hAnsi="Times New Roman"/>
          <w:sz w:val="15"/>
          <w:szCs w:val="15"/>
        </w:rPr>
      </w:pPr>
      <w:r>
        <w:rPr>
          <w:rFonts w:ascii="Times New Roman" w:hAnsi="Times New Roman"/>
          <w:w w:val="105"/>
          <w:position w:val="7"/>
          <w:sz w:val="10"/>
        </w:rPr>
        <w:t xml:space="preserve">3 </w:t>
      </w:r>
      <w:r>
        <w:rPr>
          <w:rFonts w:ascii="Times New Roman" w:hAnsi="Times New Roman"/>
          <w:w w:val="105"/>
          <w:sz w:val="15"/>
        </w:rPr>
        <w:t xml:space="preserve">O conceito de feminismo liberal (reformista) foi definido por Lúcia Avelar, 2001, como a corrente feminista que prega reformas progressistas </w:t>
      </w:r>
      <w:r>
        <w:rPr>
          <w:rFonts w:ascii="Times New Roman" w:hAnsi="Times New Roman"/>
          <w:spacing w:val="2"/>
          <w:w w:val="105"/>
          <w:sz w:val="15"/>
        </w:rPr>
        <w:t xml:space="preserve">tendo </w:t>
      </w:r>
      <w:r>
        <w:rPr>
          <w:rFonts w:ascii="Times New Roman" w:hAnsi="Times New Roman"/>
          <w:w w:val="105"/>
          <w:sz w:val="15"/>
        </w:rPr>
        <w:t>em vista</w:t>
      </w:r>
      <w:r>
        <w:rPr>
          <w:rFonts w:ascii="Times New Roman" w:hAnsi="Times New Roman"/>
          <w:spacing w:val="-10"/>
          <w:w w:val="105"/>
          <w:sz w:val="15"/>
        </w:rPr>
        <w:t xml:space="preserve"> </w:t>
      </w:r>
      <w:r>
        <w:rPr>
          <w:rFonts w:ascii="Times New Roman" w:hAnsi="Times New Roman"/>
          <w:w w:val="105"/>
          <w:sz w:val="15"/>
        </w:rPr>
        <w:t>a</w:t>
      </w:r>
      <w:r>
        <w:rPr>
          <w:rFonts w:ascii="Times New Roman" w:hAnsi="Times New Roman"/>
          <w:spacing w:val="-5"/>
          <w:w w:val="105"/>
          <w:sz w:val="15"/>
        </w:rPr>
        <w:t xml:space="preserve"> </w:t>
      </w:r>
      <w:r>
        <w:rPr>
          <w:rFonts w:ascii="Times New Roman" w:hAnsi="Times New Roman"/>
          <w:w w:val="105"/>
          <w:sz w:val="15"/>
        </w:rPr>
        <w:t>igualdade</w:t>
      </w:r>
      <w:r>
        <w:rPr>
          <w:rFonts w:ascii="Times New Roman" w:hAnsi="Times New Roman"/>
          <w:spacing w:val="-10"/>
          <w:w w:val="105"/>
          <w:sz w:val="15"/>
        </w:rPr>
        <w:t xml:space="preserve"> </w:t>
      </w:r>
      <w:r>
        <w:rPr>
          <w:rFonts w:ascii="Times New Roman" w:hAnsi="Times New Roman"/>
          <w:w w:val="105"/>
          <w:sz w:val="15"/>
        </w:rPr>
        <w:t>entre</w:t>
      </w:r>
      <w:r>
        <w:rPr>
          <w:rFonts w:ascii="Times New Roman" w:hAnsi="Times New Roman"/>
          <w:spacing w:val="-10"/>
          <w:w w:val="105"/>
          <w:sz w:val="15"/>
        </w:rPr>
        <w:t xml:space="preserve"> </w:t>
      </w:r>
      <w:r>
        <w:rPr>
          <w:rFonts w:ascii="Times New Roman" w:hAnsi="Times New Roman"/>
          <w:w w:val="105"/>
          <w:sz w:val="15"/>
        </w:rPr>
        <w:t>os</w:t>
      </w:r>
      <w:r>
        <w:rPr>
          <w:rFonts w:ascii="Times New Roman" w:hAnsi="Times New Roman"/>
          <w:spacing w:val="-10"/>
          <w:w w:val="105"/>
          <w:sz w:val="15"/>
        </w:rPr>
        <w:t xml:space="preserve"> </w:t>
      </w:r>
      <w:r>
        <w:rPr>
          <w:rFonts w:ascii="Times New Roman" w:hAnsi="Times New Roman"/>
          <w:w w:val="105"/>
          <w:sz w:val="15"/>
        </w:rPr>
        <w:t>sexos</w:t>
      </w:r>
      <w:r>
        <w:rPr>
          <w:rFonts w:ascii="Times New Roman" w:hAnsi="Times New Roman"/>
          <w:spacing w:val="-6"/>
          <w:w w:val="105"/>
          <w:sz w:val="15"/>
        </w:rPr>
        <w:t xml:space="preserve"> </w:t>
      </w:r>
      <w:r>
        <w:rPr>
          <w:rFonts w:ascii="Times New Roman" w:hAnsi="Times New Roman"/>
          <w:w w:val="105"/>
          <w:sz w:val="15"/>
        </w:rPr>
        <w:t>e</w:t>
      </w:r>
      <w:r>
        <w:rPr>
          <w:rFonts w:ascii="Times New Roman" w:hAnsi="Times New Roman"/>
          <w:spacing w:val="-5"/>
          <w:w w:val="105"/>
          <w:sz w:val="15"/>
        </w:rPr>
        <w:t xml:space="preserve"> </w:t>
      </w:r>
      <w:r>
        <w:rPr>
          <w:rFonts w:ascii="Times New Roman" w:hAnsi="Times New Roman"/>
          <w:w w:val="105"/>
          <w:sz w:val="15"/>
        </w:rPr>
        <w:t>a</w:t>
      </w:r>
      <w:r>
        <w:rPr>
          <w:rFonts w:ascii="Times New Roman" w:hAnsi="Times New Roman"/>
          <w:spacing w:val="-5"/>
          <w:w w:val="105"/>
          <w:sz w:val="15"/>
        </w:rPr>
        <w:t xml:space="preserve"> </w:t>
      </w:r>
      <w:r>
        <w:rPr>
          <w:rFonts w:ascii="Times New Roman" w:hAnsi="Times New Roman"/>
          <w:w w:val="105"/>
          <w:sz w:val="15"/>
        </w:rPr>
        <w:t>valorização</w:t>
      </w:r>
      <w:r>
        <w:rPr>
          <w:rFonts w:ascii="Times New Roman" w:hAnsi="Times New Roman"/>
          <w:spacing w:val="-9"/>
          <w:w w:val="105"/>
          <w:sz w:val="15"/>
        </w:rPr>
        <w:t xml:space="preserve"> </w:t>
      </w:r>
      <w:r>
        <w:rPr>
          <w:rFonts w:ascii="Times New Roman" w:hAnsi="Times New Roman"/>
          <w:w w:val="105"/>
          <w:sz w:val="15"/>
        </w:rPr>
        <w:t>da</w:t>
      </w:r>
      <w:r>
        <w:rPr>
          <w:rFonts w:ascii="Times New Roman" w:hAnsi="Times New Roman"/>
          <w:spacing w:val="-10"/>
          <w:w w:val="105"/>
          <w:sz w:val="15"/>
        </w:rPr>
        <w:t xml:space="preserve"> </w:t>
      </w:r>
      <w:r>
        <w:rPr>
          <w:rFonts w:ascii="Times New Roman" w:hAnsi="Times New Roman"/>
          <w:w w:val="105"/>
          <w:sz w:val="15"/>
        </w:rPr>
        <w:t>emancipação</w:t>
      </w:r>
      <w:r>
        <w:rPr>
          <w:rFonts w:ascii="Times New Roman" w:hAnsi="Times New Roman"/>
          <w:spacing w:val="-9"/>
          <w:w w:val="105"/>
          <w:sz w:val="15"/>
        </w:rPr>
        <w:t xml:space="preserve"> </w:t>
      </w:r>
      <w:r>
        <w:rPr>
          <w:rFonts w:ascii="Times New Roman" w:hAnsi="Times New Roman"/>
          <w:w w:val="105"/>
          <w:sz w:val="15"/>
        </w:rPr>
        <w:t>da</w:t>
      </w:r>
      <w:r>
        <w:rPr>
          <w:rFonts w:ascii="Times New Roman" w:hAnsi="Times New Roman"/>
          <w:spacing w:val="-5"/>
          <w:w w:val="105"/>
          <w:sz w:val="15"/>
        </w:rPr>
        <w:t xml:space="preserve"> </w:t>
      </w:r>
      <w:r>
        <w:rPr>
          <w:rFonts w:ascii="Times New Roman" w:hAnsi="Times New Roman"/>
          <w:w w:val="105"/>
          <w:sz w:val="15"/>
        </w:rPr>
        <w:t>mulher,</w:t>
      </w:r>
      <w:r>
        <w:rPr>
          <w:rFonts w:ascii="Times New Roman" w:hAnsi="Times New Roman"/>
          <w:spacing w:val="-9"/>
          <w:w w:val="105"/>
          <w:sz w:val="15"/>
        </w:rPr>
        <w:t xml:space="preserve"> </w:t>
      </w:r>
      <w:r>
        <w:rPr>
          <w:rFonts w:ascii="Times New Roman" w:hAnsi="Times New Roman"/>
          <w:w w:val="105"/>
          <w:sz w:val="15"/>
        </w:rPr>
        <w:t>em</w:t>
      </w:r>
      <w:r>
        <w:rPr>
          <w:rFonts w:ascii="Times New Roman" w:hAnsi="Times New Roman"/>
          <w:spacing w:val="-8"/>
          <w:w w:val="105"/>
          <w:sz w:val="15"/>
        </w:rPr>
        <w:t xml:space="preserve"> </w:t>
      </w:r>
      <w:r>
        <w:rPr>
          <w:rFonts w:ascii="Times New Roman" w:hAnsi="Times New Roman"/>
          <w:w w:val="105"/>
          <w:sz w:val="15"/>
        </w:rPr>
        <w:t>detrimento</w:t>
      </w:r>
      <w:r>
        <w:rPr>
          <w:rFonts w:ascii="Times New Roman" w:hAnsi="Times New Roman"/>
          <w:spacing w:val="-9"/>
          <w:w w:val="105"/>
          <w:sz w:val="15"/>
        </w:rPr>
        <w:t xml:space="preserve"> </w:t>
      </w:r>
      <w:r>
        <w:rPr>
          <w:rFonts w:ascii="Times New Roman" w:hAnsi="Times New Roman"/>
          <w:w w:val="105"/>
          <w:sz w:val="15"/>
        </w:rPr>
        <w:t>a</w:t>
      </w:r>
      <w:r>
        <w:rPr>
          <w:rFonts w:ascii="Times New Roman" w:hAnsi="Times New Roman"/>
          <w:spacing w:val="-10"/>
          <w:w w:val="105"/>
          <w:sz w:val="15"/>
        </w:rPr>
        <w:t xml:space="preserve"> </w:t>
      </w:r>
      <w:r>
        <w:rPr>
          <w:rFonts w:ascii="Times New Roman" w:hAnsi="Times New Roman"/>
          <w:w w:val="105"/>
          <w:sz w:val="15"/>
        </w:rPr>
        <w:t>sua</w:t>
      </w:r>
      <w:r>
        <w:rPr>
          <w:rFonts w:ascii="Times New Roman" w:hAnsi="Times New Roman"/>
          <w:spacing w:val="-10"/>
          <w:w w:val="105"/>
          <w:sz w:val="15"/>
        </w:rPr>
        <w:t xml:space="preserve"> </w:t>
      </w:r>
      <w:r>
        <w:rPr>
          <w:rFonts w:ascii="Times New Roman" w:hAnsi="Times New Roman"/>
          <w:w w:val="105"/>
          <w:sz w:val="15"/>
        </w:rPr>
        <w:t>libertação.</w:t>
      </w:r>
    </w:p>
    <w:p w:rsidR="00CC7D10" w:rsidRDefault="00CC7D10" w:rsidP="00CC7D10">
      <w:pPr>
        <w:spacing w:line="173" w:lineRule="exact"/>
        <w:ind w:left="116" w:right="59"/>
        <w:rPr>
          <w:rFonts w:ascii="Times New Roman" w:eastAsia="Times New Roman" w:hAnsi="Times New Roman"/>
          <w:sz w:val="15"/>
          <w:szCs w:val="15"/>
        </w:rPr>
      </w:pPr>
      <w:r>
        <w:rPr>
          <w:rFonts w:ascii="Times New Roman"/>
          <w:w w:val="105"/>
          <w:position w:val="7"/>
          <w:sz w:val="10"/>
        </w:rPr>
        <w:t>4</w:t>
      </w:r>
      <w:r>
        <w:rPr>
          <w:rFonts w:ascii="Times New Roman"/>
          <w:spacing w:val="3"/>
          <w:w w:val="105"/>
          <w:position w:val="7"/>
          <w:sz w:val="10"/>
        </w:rPr>
        <w:t xml:space="preserve"> </w:t>
      </w:r>
      <w:r>
        <w:rPr>
          <w:rFonts w:ascii="Times New Roman"/>
          <w:w w:val="105"/>
          <w:sz w:val="15"/>
        </w:rPr>
        <w:t>Para</w:t>
      </w:r>
      <w:r>
        <w:rPr>
          <w:rFonts w:ascii="Times New Roman"/>
          <w:spacing w:val="-7"/>
          <w:w w:val="105"/>
          <w:sz w:val="15"/>
        </w:rPr>
        <w:t xml:space="preserve"> </w:t>
      </w:r>
      <w:r>
        <w:rPr>
          <w:rFonts w:ascii="Times New Roman"/>
          <w:w w:val="105"/>
          <w:sz w:val="15"/>
        </w:rPr>
        <w:t>mais</w:t>
      </w:r>
      <w:r>
        <w:rPr>
          <w:rFonts w:ascii="Times New Roman"/>
          <w:spacing w:val="-12"/>
          <w:w w:val="105"/>
          <w:sz w:val="15"/>
        </w:rPr>
        <w:t xml:space="preserve"> </w:t>
      </w:r>
      <w:r>
        <w:rPr>
          <w:rFonts w:ascii="Times New Roman"/>
          <w:w w:val="105"/>
          <w:sz w:val="15"/>
        </w:rPr>
        <w:t>detalhes</w:t>
      </w:r>
      <w:r>
        <w:rPr>
          <w:rFonts w:ascii="Times New Roman"/>
          <w:spacing w:val="-8"/>
          <w:w w:val="105"/>
          <w:sz w:val="15"/>
        </w:rPr>
        <w:t xml:space="preserve"> </w:t>
      </w:r>
      <w:r>
        <w:rPr>
          <w:rFonts w:ascii="Times New Roman"/>
          <w:w w:val="105"/>
          <w:sz w:val="15"/>
        </w:rPr>
        <w:t>ver</w:t>
      </w:r>
      <w:r>
        <w:rPr>
          <w:rFonts w:ascii="Times New Roman"/>
          <w:spacing w:val="-4"/>
          <w:w w:val="105"/>
          <w:sz w:val="15"/>
        </w:rPr>
        <w:t xml:space="preserve"> </w:t>
      </w:r>
      <w:r>
        <w:rPr>
          <w:rFonts w:ascii="Times New Roman"/>
          <w:w w:val="105"/>
          <w:sz w:val="15"/>
        </w:rPr>
        <w:t>Bruschini</w:t>
      </w:r>
      <w:r>
        <w:rPr>
          <w:rFonts w:ascii="Times New Roman"/>
          <w:spacing w:val="-5"/>
          <w:w w:val="105"/>
          <w:sz w:val="15"/>
        </w:rPr>
        <w:t xml:space="preserve"> </w:t>
      </w:r>
      <w:r>
        <w:rPr>
          <w:rFonts w:ascii="Times New Roman"/>
          <w:w w:val="105"/>
          <w:sz w:val="15"/>
        </w:rPr>
        <w:t>e</w:t>
      </w:r>
      <w:r>
        <w:rPr>
          <w:rFonts w:ascii="Times New Roman"/>
          <w:spacing w:val="-11"/>
          <w:w w:val="105"/>
          <w:sz w:val="15"/>
        </w:rPr>
        <w:t xml:space="preserve"> </w:t>
      </w:r>
      <w:r>
        <w:rPr>
          <w:rFonts w:ascii="Times New Roman"/>
          <w:w w:val="105"/>
          <w:sz w:val="15"/>
        </w:rPr>
        <w:t>Costa,</w:t>
      </w:r>
      <w:r>
        <w:rPr>
          <w:rFonts w:ascii="Times New Roman"/>
          <w:spacing w:val="-6"/>
          <w:w w:val="105"/>
          <w:sz w:val="15"/>
        </w:rPr>
        <w:t xml:space="preserve"> </w:t>
      </w:r>
      <w:r>
        <w:rPr>
          <w:rFonts w:ascii="Times New Roman"/>
          <w:w w:val="105"/>
          <w:sz w:val="15"/>
        </w:rPr>
        <w:t>1992;</w:t>
      </w:r>
      <w:r>
        <w:rPr>
          <w:rFonts w:ascii="Times New Roman"/>
          <w:spacing w:val="-9"/>
          <w:w w:val="105"/>
          <w:sz w:val="15"/>
        </w:rPr>
        <w:t xml:space="preserve"> </w:t>
      </w:r>
      <w:r>
        <w:rPr>
          <w:rFonts w:ascii="Times New Roman"/>
          <w:w w:val="105"/>
          <w:sz w:val="15"/>
        </w:rPr>
        <w:t>Pra</w:t>
      </w:r>
      <w:r>
        <w:rPr>
          <w:rFonts w:ascii="Times New Roman"/>
          <w:spacing w:val="-11"/>
          <w:w w:val="105"/>
          <w:sz w:val="15"/>
        </w:rPr>
        <w:t xml:space="preserve"> </w:t>
      </w:r>
      <w:r>
        <w:rPr>
          <w:rFonts w:ascii="Times New Roman"/>
          <w:w w:val="105"/>
          <w:sz w:val="15"/>
        </w:rPr>
        <w:t>e</w:t>
      </w:r>
      <w:r>
        <w:rPr>
          <w:rFonts w:ascii="Times New Roman"/>
          <w:spacing w:val="-11"/>
          <w:w w:val="105"/>
          <w:sz w:val="15"/>
        </w:rPr>
        <w:t xml:space="preserve"> </w:t>
      </w:r>
      <w:r>
        <w:rPr>
          <w:rFonts w:ascii="Times New Roman"/>
          <w:w w:val="105"/>
          <w:sz w:val="15"/>
        </w:rPr>
        <w:t>Brito,</w:t>
      </w:r>
      <w:r>
        <w:rPr>
          <w:rFonts w:ascii="Times New Roman"/>
          <w:spacing w:val="-10"/>
          <w:w w:val="105"/>
          <w:sz w:val="15"/>
        </w:rPr>
        <w:t xml:space="preserve"> </w:t>
      </w:r>
      <w:r>
        <w:rPr>
          <w:rFonts w:ascii="Times New Roman"/>
          <w:w w:val="105"/>
          <w:sz w:val="15"/>
        </w:rPr>
        <w:t>1987;</w:t>
      </w:r>
      <w:r>
        <w:rPr>
          <w:rFonts w:ascii="Times New Roman"/>
          <w:spacing w:val="-5"/>
          <w:w w:val="105"/>
          <w:sz w:val="15"/>
        </w:rPr>
        <w:t xml:space="preserve"> </w:t>
      </w:r>
      <w:r>
        <w:rPr>
          <w:rFonts w:ascii="Times New Roman"/>
          <w:w w:val="105"/>
          <w:sz w:val="15"/>
        </w:rPr>
        <w:t>Goldberg,</w:t>
      </w:r>
      <w:r>
        <w:rPr>
          <w:rFonts w:ascii="Times New Roman"/>
          <w:spacing w:val="-10"/>
          <w:w w:val="105"/>
          <w:sz w:val="15"/>
        </w:rPr>
        <w:t xml:space="preserve"> </w:t>
      </w:r>
      <w:r>
        <w:rPr>
          <w:rFonts w:ascii="Times New Roman"/>
          <w:w w:val="105"/>
          <w:sz w:val="15"/>
        </w:rPr>
        <w:t>1989;</w:t>
      </w:r>
      <w:r>
        <w:rPr>
          <w:rFonts w:ascii="Times New Roman"/>
          <w:spacing w:val="-5"/>
          <w:w w:val="105"/>
          <w:sz w:val="15"/>
        </w:rPr>
        <w:t xml:space="preserve"> </w:t>
      </w:r>
      <w:r>
        <w:rPr>
          <w:rFonts w:ascii="Times New Roman"/>
          <w:w w:val="105"/>
          <w:sz w:val="15"/>
        </w:rPr>
        <w:t>Miguel,</w:t>
      </w:r>
      <w:r>
        <w:rPr>
          <w:rFonts w:ascii="Times New Roman"/>
          <w:spacing w:val="-6"/>
          <w:w w:val="105"/>
          <w:sz w:val="15"/>
        </w:rPr>
        <w:t xml:space="preserve"> </w:t>
      </w:r>
      <w:r>
        <w:rPr>
          <w:rFonts w:ascii="Times New Roman"/>
          <w:w w:val="105"/>
          <w:sz w:val="15"/>
        </w:rPr>
        <w:t>1988.</w:t>
      </w:r>
    </w:p>
    <w:p w:rsidR="00CC7D10" w:rsidRDefault="00CC7D10" w:rsidP="00CC7D10">
      <w:pPr>
        <w:spacing w:line="173" w:lineRule="exact"/>
        <w:rPr>
          <w:rFonts w:ascii="Times New Roman" w:eastAsia="Times New Roman" w:hAnsi="Times New Roman"/>
          <w:sz w:val="15"/>
          <w:szCs w:val="15"/>
        </w:rPr>
        <w:sectPr w:rsidR="00CC7D10">
          <w:pgSz w:w="11900" w:h="16840"/>
          <w:pgMar w:top="1600" w:right="124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spacing w:line="20" w:lineRule="exact"/>
        <w:ind w:left="284"/>
        <w:rPr>
          <w:rFonts w:ascii="Times New Roman" w:eastAsia="Times New Roman" w:hAnsi="Times New Roman"/>
          <w:sz w:val="2"/>
          <w:szCs w:val="2"/>
        </w:rPr>
      </w:pPr>
      <w:r>
        <w:rPr>
          <w:rFonts w:ascii="Times New Roman" w:eastAsia="Times New Roman" w:hAnsi="Times New Roman"/>
          <w:sz w:val="2"/>
          <w:szCs w:val="2"/>
          <w:lang w:val="en-US"/>
        </w:rPr>
      </w:r>
      <w:r>
        <w:rPr>
          <w:rFonts w:ascii="Times New Roman" w:eastAsia="Times New Roman" w:hAnsi="Times New Roman"/>
          <w:sz w:val="2"/>
          <w:szCs w:val="2"/>
        </w:rPr>
        <w:pict>
          <v:group id="_x0000_s1036" style="width:452.2pt;height:.5pt;mso-position-horizontal-relative:char;mso-position-vertical-relative:line" coordsize="9044,10">
            <v:group id="_x0000_s1037" style="position:absolute;left:5;top:5;width:9034;height:2" coordorigin="5,5" coordsize="9034,2">
              <v:shape id="_x0000_s1038" style="position:absolute;left:5;top:5;width:9034;height:2" coordorigin="5,5" coordsize="9034,0" path="m5,5r9034,e" filled="f" strokeweight=".169mm">
                <v:path arrowok="t"/>
              </v:shape>
            </v:group>
            <w10:wrap type="none"/>
            <w10:anchorlock/>
          </v:group>
        </w:pict>
      </w:r>
    </w:p>
    <w:p w:rsidR="00CC7D10" w:rsidRDefault="00CC7D10" w:rsidP="00CC7D10">
      <w:pPr>
        <w:spacing w:line="247" w:lineRule="auto"/>
        <w:ind w:left="4340" w:right="197" w:hanging="3912"/>
        <w:rPr>
          <w:rFonts w:ascii="Times New Roman" w:eastAsia="Times New Roman" w:hAnsi="Times New Roman"/>
          <w:sz w:val="21"/>
          <w:szCs w:val="21"/>
        </w:rPr>
      </w:pPr>
      <w:r>
        <w:rPr>
          <w:rFonts w:ascii="Times New Roman" w:hAnsi="Times New Roman"/>
          <w:b/>
          <w:sz w:val="21"/>
        </w:rPr>
        <w:t xml:space="preserve">Tabela 1: Principais características </w:t>
      </w:r>
      <w:r>
        <w:rPr>
          <w:rFonts w:ascii="Times New Roman" w:hAnsi="Times New Roman"/>
          <w:b/>
          <w:spacing w:val="-3"/>
          <w:sz w:val="21"/>
        </w:rPr>
        <w:t xml:space="preserve">da </w:t>
      </w:r>
      <w:r>
        <w:rPr>
          <w:rFonts w:ascii="Times New Roman" w:hAnsi="Times New Roman"/>
          <w:b/>
          <w:sz w:val="21"/>
        </w:rPr>
        <w:t xml:space="preserve">primeira e segunda geração da imprensa </w:t>
      </w:r>
      <w:r>
        <w:rPr>
          <w:rFonts w:ascii="Times New Roman" w:hAnsi="Times New Roman"/>
          <w:b/>
          <w:spacing w:val="-3"/>
          <w:sz w:val="21"/>
        </w:rPr>
        <w:t xml:space="preserve">feminista </w:t>
      </w:r>
      <w:r>
        <w:rPr>
          <w:rFonts w:ascii="Times New Roman" w:hAnsi="Times New Roman"/>
          <w:b/>
          <w:sz w:val="21"/>
        </w:rPr>
        <w:t>e suas diferenças</w:t>
      </w:r>
    </w:p>
    <w:tbl>
      <w:tblPr>
        <w:tblW w:w="0" w:type="auto"/>
        <w:tblInd w:w="270" w:type="dxa"/>
        <w:tblLayout w:type="fixed"/>
        <w:tblCellMar>
          <w:left w:w="0" w:type="dxa"/>
          <w:right w:w="0" w:type="dxa"/>
        </w:tblCellMar>
        <w:tblLook w:val="01E0"/>
      </w:tblPr>
      <w:tblGrid>
        <w:gridCol w:w="2947"/>
        <w:gridCol w:w="2851"/>
        <w:gridCol w:w="3259"/>
      </w:tblGrid>
      <w:tr w:rsidR="00CC7D10" w:rsidTr="00505E82">
        <w:trPr>
          <w:trHeight w:hRule="exact" w:val="259"/>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233" w:lineRule="exact"/>
              <w:ind w:left="448" w:right="427"/>
              <w:jc w:val="center"/>
              <w:rPr>
                <w:rFonts w:ascii="Times New Roman" w:eastAsia="Times New Roman" w:hAnsi="Times New Roman"/>
                <w:sz w:val="21"/>
                <w:szCs w:val="21"/>
              </w:rPr>
            </w:pPr>
            <w:r w:rsidRPr="00505E82">
              <w:rPr>
                <w:rFonts w:ascii="Times New Roman" w:hAnsi="Times New Roman"/>
                <w:sz w:val="21"/>
              </w:rPr>
              <w:t>Características</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33" w:lineRule="exact"/>
              <w:ind w:left="170" w:right="160"/>
              <w:jc w:val="center"/>
              <w:rPr>
                <w:rFonts w:ascii="Times New Roman" w:eastAsia="Times New Roman" w:hAnsi="Times New Roman"/>
                <w:sz w:val="21"/>
                <w:szCs w:val="21"/>
              </w:rPr>
            </w:pPr>
            <w:r w:rsidRPr="00505E82">
              <w:rPr>
                <w:rFonts w:ascii="Times New Roman" w:hAnsi="Times New Roman"/>
                <w:sz w:val="21"/>
              </w:rPr>
              <w:t>Primeira</w:t>
            </w:r>
            <w:r w:rsidRPr="00505E82">
              <w:rPr>
                <w:rFonts w:ascii="Times New Roman" w:hAnsi="Times New Roman"/>
                <w:spacing w:val="31"/>
                <w:sz w:val="21"/>
              </w:rPr>
              <w:t xml:space="preserve"> </w:t>
            </w:r>
            <w:r w:rsidRPr="00505E82">
              <w:rPr>
                <w:rFonts w:ascii="Times New Roman" w:hAnsi="Times New Roman"/>
                <w:sz w:val="21"/>
              </w:rPr>
              <w:t>geração</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line="233" w:lineRule="exact"/>
              <w:ind w:left="820" w:right="820"/>
              <w:jc w:val="center"/>
              <w:rPr>
                <w:rFonts w:ascii="Times New Roman" w:eastAsia="Times New Roman" w:hAnsi="Times New Roman"/>
                <w:sz w:val="21"/>
                <w:szCs w:val="21"/>
              </w:rPr>
            </w:pPr>
            <w:r w:rsidRPr="00505E82">
              <w:rPr>
                <w:rFonts w:ascii="Times New Roman" w:hAnsi="Times New Roman"/>
                <w:sz w:val="21"/>
              </w:rPr>
              <w:t>Segunda</w:t>
            </w:r>
            <w:r w:rsidRPr="00505E82">
              <w:rPr>
                <w:rFonts w:ascii="Times New Roman" w:hAnsi="Times New Roman"/>
                <w:spacing w:val="27"/>
                <w:sz w:val="21"/>
              </w:rPr>
              <w:t xml:space="preserve"> </w:t>
            </w:r>
            <w:r w:rsidRPr="00505E82">
              <w:rPr>
                <w:rFonts w:ascii="Times New Roman" w:hAnsi="Times New Roman"/>
                <w:sz w:val="21"/>
              </w:rPr>
              <w:t>geração</w:t>
            </w:r>
          </w:p>
        </w:tc>
      </w:tr>
      <w:tr w:rsidR="00CC7D10" w:rsidTr="00505E82">
        <w:trPr>
          <w:trHeight w:hRule="exact" w:val="250"/>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233" w:lineRule="exact"/>
              <w:ind w:left="453" w:right="427"/>
              <w:jc w:val="center"/>
              <w:rPr>
                <w:rFonts w:ascii="Times New Roman" w:eastAsia="Times New Roman" w:hAnsi="Times New Roman"/>
                <w:sz w:val="21"/>
                <w:szCs w:val="21"/>
              </w:rPr>
            </w:pPr>
            <w:r w:rsidRPr="00505E82">
              <w:rPr>
                <w:rFonts w:ascii="Times New Roman"/>
                <w:sz w:val="21"/>
              </w:rPr>
              <w:t>Conceito</w:t>
            </w:r>
            <w:r w:rsidRPr="00505E82">
              <w:rPr>
                <w:rFonts w:ascii="Times New Roman"/>
                <w:spacing w:val="32"/>
                <w:sz w:val="21"/>
              </w:rPr>
              <w:t xml:space="preserve"> </w:t>
            </w:r>
            <w:r w:rsidRPr="00505E82">
              <w:rPr>
                <w:rFonts w:ascii="Times New Roman"/>
                <w:sz w:val="21"/>
              </w:rPr>
              <w:t>principal</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33" w:lineRule="exact"/>
              <w:ind w:left="168" w:right="160"/>
              <w:jc w:val="center"/>
              <w:rPr>
                <w:rFonts w:ascii="Times New Roman" w:eastAsia="Times New Roman" w:hAnsi="Times New Roman"/>
                <w:sz w:val="21"/>
                <w:szCs w:val="21"/>
              </w:rPr>
            </w:pPr>
            <w:r w:rsidRPr="00505E82">
              <w:rPr>
                <w:rFonts w:ascii="Times New Roman"/>
                <w:sz w:val="21"/>
              </w:rPr>
              <w:t>Classe</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line="233" w:lineRule="exact"/>
              <w:ind w:left="821" w:right="817"/>
              <w:jc w:val="center"/>
              <w:rPr>
                <w:rFonts w:ascii="Times New Roman" w:eastAsia="Times New Roman" w:hAnsi="Times New Roman"/>
                <w:sz w:val="21"/>
                <w:szCs w:val="21"/>
              </w:rPr>
            </w:pPr>
            <w:r w:rsidRPr="00505E82">
              <w:rPr>
                <w:rFonts w:ascii="Times New Roman" w:hAnsi="Times New Roman"/>
                <w:sz w:val="21"/>
              </w:rPr>
              <w:t>Gênero</w:t>
            </w:r>
          </w:p>
        </w:tc>
      </w:tr>
      <w:tr w:rsidR="00CC7D10" w:rsidTr="00505E82">
        <w:trPr>
          <w:trHeight w:hRule="exact" w:val="504"/>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1051" w:hanging="610"/>
              <w:rPr>
                <w:rFonts w:ascii="Times New Roman" w:eastAsia="Times New Roman" w:hAnsi="Times New Roman"/>
                <w:sz w:val="21"/>
                <w:szCs w:val="21"/>
              </w:rPr>
            </w:pPr>
            <w:r w:rsidRPr="00505E82">
              <w:rPr>
                <w:rFonts w:ascii="Times New Roman" w:hAnsi="Times New Roman"/>
                <w:sz w:val="21"/>
              </w:rPr>
              <w:t>Período de surgimento e existência</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16"/>
              <w:ind w:left="162" w:right="160"/>
              <w:jc w:val="center"/>
              <w:rPr>
                <w:rFonts w:ascii="Times New Roman" w:eastAsia="Times New Roman" w:hAnsi="Times New Roman"/>
                <w:sz w:val="21"/>
                <w:szCs w:val="21"/>
              </w:rPr>
            </w:pPr>
            <w:r w:rsidRPr="00505E82">
              <w:rPr>
                <w:rFonts w:ascii="Times New Roman"/>
                <w:sz w:val="21"/>
              </w:rPr>
              <w:t>Entre 1974 a</w:t>
            </w:r>
            <w:r w:rsidRPr="00505E82">
              <w:rPr>
                <w:rFonts w:ascii="Times New Roman"/>
                <w:spacing w:val="27"/>
                <w:sz w:val="21"/>
              </w:rPr>
              <w:t xml:space="preserve"> </w:t>
            </w:r>
            <w:r w:rsidRPr="00505E82">
              <w:rPr>
                <w:rFonts w:ascii="Times New Roman"/>
                <w:sz w:val="21"/>
              </w:rPr>
              <w:t>1980</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before="116"/>
              <w:ind w:left="821" w:right="820"/>
              <w:jc w:val="center"/>
              <w:rPr>
                <w:rFonts w:ascii="Times New Roman" w:eastAsia="Times New Roman" w:hAnsi="Times New Roman"/>
                <w:sz w:val="21"/>
                <w:szCs w:val="21"/>
              </w:rPr>
            </w:pPr>
            <w:r w:rsidRPr="00505E82">
              <w:rPr>
                <w:rFonts w:ascii="Times New Roman"/>
                <w:sz w:val="21"/>
              </w:rPr>
              <w:t>Entre 1981 a</w:t>
            </w:r>
            <w:r w:rsidRPr="00505E82">
              <w:rPr>
                <w:rFonts w:ascii="Times New Roman"/>
                <w:spacing w:val="31"/>
                <w:sz w:val="21"/>
              </w:rPr>
              <w:t xml:space="preserve"> </w:t>
            </w:r>
            <w:r w:rsidRPr="00505E82">
              <w:rPr>
                <w:rFonts w:ascii="Times New Roman"/>
                <w:sz w:val="21"/>
              </w:rPr>
              <w:t>1999</w:t>
            </w:r>
          </w:p>
        </w:tc>
      </w:tr>
      <w:tr w:rsidR="00CC7D10" w:rsidTr="00505E82">
        <w:trPr>
          <w:trHeight w:hRule="exact" w:val="1488"/>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rPr>
                <w:rFonts w:ascii="Times New Roman" w:eastAsia="Times New Roman" w:hAnsi="Times New Roman"/>
                <w:b/>
                <w:bCs/>
                <w:sz w:val="20"/>
                <w:szCs w:val="20"/>
              </w:rPr>
            </w:pPr>
          </w:p>
          <w:p w:rsidR="00CC7D10" w:rsidRPr="00505E82" w:rsidRDefault="00CC7D10" w:rsidP="00505E82">
            <w:pPr>
              <w:pStyle w:val="TableParagraph"/>
              <w:rPr>
                <w:rFonts w:ascii="Times New Roman" w:eastAsia="Times New Roman" w:hAnsi="Times New Roman"/>
                <w:b/>
                <w:bCs/>
                <w:sz w:val="20"/>
                <w:szCs w:val="20"/>
              </w:rPr>
            </w:pPr>
          </w:p>
          <w:p w:rsidR="00CC7D10" w:rsidRPr="00505E82" w:rsidRDefault="00CC7D10" w:rsidP="00505E82">
            <w:pPr>
              <w:pStyle w:val="TableParagraph"/>
              <w:spacing w:before="146"/>
              <w:ind w:left="453" w:right="427"/>
              <w:jc w:val="center"/>
              <w:rPr>
                <w:rFonts w:ascii="Times New Roman" w:eastAsia="Times New Roman" w:hAnsi="Times New Roman"/>
                <w:sz w:val="21"/>
                <w:szCs w:val="21"/>
              </w:rPr>
            </w:pPr>
            <w:r w:rsidRPr="00505E82">
              <w:rPr>
                <w:rFonts w:ascii="Times New Roman"/>
                <w:sz w:val="21"/>
              </w:rPr>
              <w:t>Temas</w:t>
            </w:r>
            <w:r w:rsidRPr="00505E82">
              <w:rPr>
                <w:rFonts w:ascii="Times New Roman"/>
                <w:spacing w:val="30"/>
                <w:sz w:val="21"/>
              </w:rPr>
              <w:t xml:space="preserve"> </w:t>
            </w:r>
            <w:r w:rsidRPr="00505E82">
              <w:rPr>
                <w:rFonts w:ascii="Times New Roman"/>
                <w:sz w:val="21"/>
              </w:rPr>
              <w:t>abordados</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4" w:lineRule="auto"/>
              <w:ind w:left="172" w:right="160"/>
              <w:jc w:val="center"/>
              <w:rPr>
                <w:rFonts w:ascii="Times New Roman" w:eastAsia="Times New Roman" w:hAnsi="Times New Roman"/>
                <w:sz w:val="21"/>
                <w:szCs w:val="21"/>
              </w:rPr>
            </w:pPr>
            <w:r w:rsidRPr="00505E82">
              <w:rPr>
                <w:rFonts w:ascii="Times New Roman" w:hAnsi="Times New Roman"/>
                <w:sz w:val="21"/>
              </w:rPr>
              <w:t xml:space="preserve">Temas gerais, de interesse </w:t>
            </w:r>
            <w:r w:rsidRPr="00505E82">
              <w:rPr>
                <w:rFonts w:ascii="Times New Roman" w:hAnsi="Times New Roman"/>
                <w:spacing w:val="3"/>
                <w:sz w:val="21"/>
              </w:rPr>
              <w:t xml:space="preserve">de </w:t>
            </w:r>
            <w:r w:rsidRPr="00505E82">
              <w:rPr>
                <w:rFonts w:ascii="Times New Roman" w:hAnsi="Times New Roman"/>
                <w:sz w:val="21"/>
              </w:rPr>
              <w:t xml:space="preserve">toda a sociedade (homens e mulheres), como carestia, creche e injustiça social, notícias dos movimentos sociais </w:t>
            </w:r>
            <w:r w:rsidRPr="00505E82">
              <w:rPr>
                <w:rFonts w:ascii="Times New Roman" w:hAnsi="Times New Roman"/>
                <w:spacing w:val="-3"/>
                <w:sz w:val="21"/>
              </w:rPr>
              <w:t xml:space="preserve">em </w:t>
            </w:r>
            <w:r w:rsidRPr="00505E82">
              <w:rPr>
                <w:rFonts w:ascii="Times New Roman" w:hAnsi="Times New Roman"/>
                <w:sz w:val="21"/>
              </w:rPr>
              <w:t>geral, entre</w:t>
            </w:r>
            <w:r w:rsidRPr="00505E82">
              <w:rPr>
                <w:rFonts w:ascii="Times New Roman" w:hAnsi="Times New Roman"/>
                <w:spacing w:val="46"/>
                <w:sz w:val="21"/>
              </w:rPr>
              <w:t xml:space="preserve"> </w:t>
            </w:r>
            <w:r w:rsidRPr="00505E82">
              <w:rPr>
                <w:rFonts w:ascii="Times New Roman" w:hAnsi="Times New Roman"/>
                <w:sz w:val="21"/>
              </w:rPr>
              <w:t>outros</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line="244" w:lineRule="auto"/>
              <w:ind w:left="148" w:right="152" w:firstLine="4"/>
              <w:jc w:val="center"/>
              <w:rPr>
                <w:rFonts w:ascii="Times New Roman" w:eastAsia="Times New Roman" w:hAnsi="Times New Roman"/>
                <w:sz w:val="21"/>
                <w:szCs w:val="21"/>
              </w:rPr>
            </w:pPr>
            <w:r w:rsidRPr="00505E82">
              <w:rPr>
                <w:rFonts w:ascii="Times New Roman" w:hAnsi="Times New Roman"/>
                <w:sz w:val="21"/>
              </w:rPr>
              <w:t>Temas específicos da mulher: saúde da mulher, mulher e trabalho, mulher e legislação, violência contra a mulher, sexualidade feminina, notícias do movimento feminista, entre</w:t>
            </w:r>
            <w:r w:rsidRPr="00505E82">
              <w:rPr>
                <w:rFonts w:ascii="Times New Roman" w:hAnsi="Times New Roman"/>
                <w:spacing w:val="44"/>
                <w:sz w:val="21"/>
              </w:rPr>
              <w:t xml:space="preserve"> </w:t>
            </w:r>
            <w:r w:rsidRPr="00505E82">
              <w:rPr>
                <w:rFonts w:ascii="Times New Roman" w:hAnsi="Times New Roman"/>
                <w:sz w:val="21"/>
              </w:rPr>
              <w:t>outros</w:t>
            </w:r>
          </w:p>
        </w:tc>
      </w:tr>
      <w:tr w:rsidR="00CC7D10" w:rsidTr="00505E82">
        <w:trPr>
          <w:trHeight w:hRule="exact" w:val="1243"/>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rPr>
                <w:rFonts w:ascii="Times New Roman" w:eastAsia="Times New Roman" w:hAnsi="Times New Roman"/>
                <w:b/>
                <w:bCs/>
                <w:sz w:val="20"/>
                <w:szCs w:val="20"/>
              </w:rPr>
            </w:pPr>
          </w:p>
          <w:p w:rsidR="00CC7D10" w:rsidRPr="00505E82" w:rsidRDefault="00CC7D10" w:rsidP="00505E82">
            <w:pPr>
              <w:pStyle w:val="TableParagraph"/>
              <w:spacing w:before="10"/>
              <w:rPr>
                <w:rFonts w:ascii="Times New Roman" w:eastAsia="Times New Roman" w:hAnsi="Times New Roman"/>
                <w:b/>
                <w:bCs/>
                <w:sz w:val="21"/>
                <w:szCs w:val="21"/>
              </w:rPr>
            </w:pPr>
          </w:p>
          <w:p w:rsidR="00CC7D10" w:rsidRPr="00505E82" w:rsidRDefault="00CC7D10" w:rsidP="00505E82">
            <w:pPr>
              <w:pStyle w:val="TableParagraph"/>
              <w:ind w:left="453" w:right="427"/>
              <w:jc w:val="center"/>
              <w:rPr>
                <w:rFonts w:ascii="Times New Roman" w:eastAsia="Times New Roman" w:hAnsi="Times New Roman"/>
                <w:sz w:val="21"/>
                <w:szCs w:val="21"/>
              </w:rPr>
            </w:pPr>
            <w:r w:rsidRPr="00505E82">
              <w:rPr>
                <w:rFonts w:ascii="Times New Roman" w:hAnsi="Times New Roman"/>
                <w:sz w:val="21"/>
              </w:rPr>
              <w:t>Questões</w:t>
            </w:r>
            <w:r w:rsidRPr="00505E82">
              <w:rPr>
                <w:rFonts w:ascii="Times New Roman" w:hAnsi="Times New Roman"/>
                <w:spacing w:val="24"/>
                <w:sz w:val="21"/>
              </w:rPr>
              <w:t xml:space="preserve"> </w:t>
            </w:r>
            <w:r w:rsidRPr="00505E82">
              <w:rPr>
                <w:rFonts w:ascii="Times New Roman" w:hAnsi="Times New Roman"/>
                <w:sz w:val="21"/>
              </w:rPr>
              <w:t>políticas</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6"/>
              <w:rPr>
                <w:rFonts w:ascii="Times New Roman" w:eastAsia="Times New Roman" w:hAnsi="Times New Roman"/>
                <w:b/>
                <w:bCs/>
                <w:sz w:val="20"/>
                <w:szCs w:val="20"/>
              </w:rPr>
            </w:pPr>
          </w:p>
          <w:p w:rsidR="00CC7D10" w:rsidRPr="00505E82" w:rsidRDefault="00CC7D10" w:rsidP="00505E82">
            <w:pPr>
              <w:pStyle w:val="TableParagraph"/>
              <w:spacing w:line="247" w:lineRule="auto"/>
              <w:ind w:left="532" w:right="128" w:hanging="418"/>
              <w:rPr>
                <w:rFonts w:ascii="Times New Roman" w:eastAsia="Times New Roman" w:hAnsi="Times New Roman"/>
                <w:sz w:val="21"/>
                <w:szCs w:val="21"/>
              </w:rPr>
            </w:pPr>
            <w:r w:rsidRPr="00505E82">
              <w:rPr>
                <w:rFonts w:ascii="Times New Roman" w:hAnsi="Times New Roman"/>
                <w:sz w:val="21"/>
              </w:rPr>
              <w:t>Anistia, denúncia da repressão da ditadura militar e autonomia</w:t>
            </w:r>
            <w:r w:rsidRPr="00505E82">
              <w:rPr>
                <w:rFonts w:ascii="Times New Roman" w:hAnsi="Times New Roman"/>
                <w:spacing w:val="28"/>
                <w:sz w:val="21"/>
              </w:rPr>
              <w:t xml:space="preserve"> </w:t>
            </w:r>
            <w:r w:rsidRPr="00505E82">
              <w:rPr>
                <w:rFonts w:ascii="Times New Roman" w:hAnsi="Times New Roman"/>
                <w:sz w:val="21"/>
              </w:rPr>
              <w:t>partidária</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line="244" w:lineRule="auto"/>
              <w:ind w:left="163" w:right="165" w:firstLine="1"/>
              <w:jc w:val="center"/>
              <w:rPr>
                <w:rFonts w:ascii="Times New Roman" w:eastAsia="Times New Roman" w:hAnsi="Times New Roman"/>
                <w:sz w:val="21"/>
                <w:szCs w:val="21"/>
              </w:rPr>
            </w:pPr>
            <w:r w:rsidRPr="00505E82">
              <w:rPr>
                <w:rFonts w:ascii="Times New Roman" w:hAnsi="Times New Roman"/>
                <w:sz w:val="21"/>
              </w:rPr>
              <w:t xml:space="preserve">Abertura democrática, Constituinte, reforma de </w:t>
            </w:r>
            <w:r w:rsidRPr="00505E82">
              <w:rPr>
                <w:rFonts w:ascii="Times New Roman" w:hAnsi="Times New Roman"/>
                <w:spacing w:val="-3"/>
                <w:sz w:val="21"/>
              </w:rPr>
              <w:t xml:space="preserve">leis </w:t>
            </w:r>
            <w:r w:rsidRPr="00505E82">
              <w:rPr>
                <w:rFonts w:ascii="Times New Roman" w:hAnsi="Times New Roman"/>
                <w:sz w:val="21"/>
              </w:rPr>
              <w:t>trabalhistas e cíveis, a maior participação da mulher no sistema partidário e no</w:t>
            </w:r>
            <w:r w:rsidRPr="00505E82">
              <w:rPr>
                <w:rFonts w:ascii="Times New Roman" w:hAnsi="Times New Roman"/>
                <w:spacing w:val="29"/>
                <w:sz w:val="21"/>
              </w:rPr>
              <w:t xml:space="preserve"> </w:t>
            </w:r>
            <w:r w:rsidRPr="00505E82">
              <w:rPr>
                <w:rFonts w:ascii="Times New Roman" w:hAnsi="Times New Roman"/>
                <w:sz w:val="21"/>
              </w:rPr>
              <w:t>Executivo</w:t>
            </w:r>
          </w:p>
        </w:tc>
      </w:tr>
      <w:tr w:rsidR="00CC7D10" w:rsidTr="00505E82">
        <w:trPr>
          <w:trHeight w:hRule="exact" w:val="499"/>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11"/>
              <w:ind w:left="454" w:right="427"/>
              <w:jc w:val="center"/>
              <w:rPr>
                <w:rFonts w:ascii="Times New Roman" w:eastAsia="Times New Roman" w:hAnsi="Times New Roman"/>
                <w:sz w:val="21"/>
                <w:szCs w:val="21"/>
              </w:rPr>
            </w:pPr>
            <w:r w:rsidRPr="00505E82">
              <w:rPr>
                <w:rFonts w:ascii="Times New Roman" w:hAnsi="Times New Roman"/>
                <w:sz w:val="21"/>
              </w:rPr>
              <w:t>Reivindicação</w:t>
            </w:r>
            <w:r w:rsidRPr="00505E82">
              <w:rPr>
                <w:rFonts w:ascii="Times New Roman" w:hAnsi="Times New Roman"/>
                <w:spacing w:val="25"/>
                <w:sz w:val="21"/>
              </w:rPr>
              <w:t xml:space="preserve"> </w:t>
            </w:r>
            <w:r w:rsidRPr="00505E82">
              <w:rPr>
                <w:rFonts w:ascii="Times New Roman" w:hAnsi="Times New Roman"/>
                <w:sz w:val="21"/>
              </w:rPr>
              <w:t>principal</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2" w:lineRule="auto"/>
              <w:ind w:left="1036" w:right="128" w:hanging="826"/>
              <w:rPr>
                <w:rFonts w:ascii="Times New Roman" w:eastAsia="Times New Roman" w:hAnsi="Times New Roman"/>
                <w:sz w:val="21"/>
                <w:szCs w:val="21"/>
              </w:rPr>
            </w:pPr>
            <w:r w:rsidRPr="00505E82">
              <w:rPr>
                <w:rFonts w:ascii="Times New Roman" w:hAnsi="Times New Roman"/>
                <w:sz w:val="21"/>
              </w:rPr>
              <w:t>Justiça social para homens e mulheres</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line="242" w:lineRule="auto"/>
              <w:ind w:left="187" w:firstLine="340"/>
              <w:rPr>
                <w:rFonts w:ascii="Times New Roman" w:eastAsia="Times New Roman" w:hAnsi="Times New Roman"/>
                <w:sz w:val="21"/>
                <w:szCs w:val="21"/>
              </w:rPr>
            </w:pPr>
            <w:r w:rsidRPr="00505E82">
              <w:rPr>
                <w:rFonts w:ascii="Times New Roman" w:hAnsi="Times New Roman"/>
                <w:sz w:val="21"/>
              </w:rPr>
              <w:t>Igualdade entre homens e mulheres, com direito à</w:t>
            </w:r>
            <w:r w:rsidRPr="00505E82">
              <w:rPr>
                <w:rFonts w:ascii="Times New Roman" w:hAnsi="Times New Roman"/>
                <w:spacing w:val="40"/>
                <w:sz w:val="21"/>
              </w:rPr>
              <w:t xml:space="preserve"> </w:t>
            </w:r>
            <w:r w:rsidRPr="00505E82">
              <w:rPr>
                <w:rFonts w:ascii="Times New Roman" w:hAnsi="Times New Roman"/>
                <w:sz w:val="21"/>
              </w:rPr>
              <w:t>diferença</w:t>
            </w:r>
          </w:p>
        </w:tc>
      </w:tr>
      <w:tr w:rsidR="00CC7D10" w:rsidTr="00505E82">
        <w:trPr>
          <w:trHeight w:hRule="exact" w:val="504"/>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11"/>
              <w:ind w:left="454" w:right="421"/>
              <w:jc w:val="center"/>
              <w:rPr>
                <w:rFonts w:ascii="Times New Roman" w:eastAsia="Times New Roman" w:hAnsi="Times New Roman"/>
                <w:sz w:val="21"/>
                <w:szCs w:val="21"/>
              </w:rPr>
            </w:pPr>
            <w:r w:rsidRPr="00505E82">
              <w:rPr>
                <w:rFonts w:ascii="Times New Roman"/>
                <w:sz w:val="21"/>
              </w:rPr>
              <w:t>Entidade-chave</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998" w:right="128" w:hanging="860"/>
              <w:rPr>
                <w:rFonts w:ascii="Times New Roman" w:eastAsia="Times New Roman" w:hAnsi="Times New Roman"/>
                <w:sz w:val="21"/>
                <w:szCs w:val="21"/>
              </w:rPr>
            </w:pPr>
            <w:r w:rsidRPr="00505E82">
              <w:rPr>
                <w:rFonts w:ascii="Times New Roman" w:hAnsi="Times New Roman"/>
                <w:sz w:val="21"/>
              </w:rPr>
              <w:t>Partidos políticos de oposição à</w:t>
            </w:r>
            <w:r w:rsidRPr="00505E82">
              <w:rPr>
                <w:rFonts w:ascii="Times New Roman" w:hAnsi="Times New Roman"/>
                <w:spacing w:val="11"/>
                <w:sz w:val="21"/>
              </w:rPr>
              <w:t xml:space="preserve"> </w:t>
            </w:r>
            <w:r w:rsidRPr="00505E82">
              <w:rPr>
                <w:rFonts w:ascii="Times New Roman" w:hAnsi="Times New Roman"/>
                <w:sz w:val="21"/>
              </w:rPr>
              <w:t>ditadura</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before="111"/>
              <w:ind w:left="820" w:right="820"/>
              <w:jc w:val="center"/>
              <w:rPr>
                <w:rFonts w:ascii="Times New Roman" w:eastAsia="Times New Roman" w:hAnsi="Times New Roman"/>
                <w:sz w:val="21"/>
                <w:szCs w:val="21"/>
              </w:rPr>
            </w:pPr>
            <w:r w:rsidRPr="00505E82">
              <w:rPr>
                <w:rFonts w:ascii="Times New Roman"/>
                <w:sz w:val="21"/>
              </w:rPr>
              <w:t>ONGs</w:t>
            </w:r>
          </w:p>
        </w:tc>
      </w:tr>
      <w:tr w:rsidR="00CC7D10" w:rsidTr="00505E82">
        <w:trPr>
          <w:trHeight w:hRule="exact" w:val="499"/>
        </w:trPr>
        <w:tc>
          <w:tcPr>
            <w:tcW w:w="2947"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11"/>
              <w:ind w:left="448" w:right="427"/>
              <w:jc w:val="center"/>
              <w:rPr>
                <w:rFonts w:ascii="Times New Roman" w:eastAsia="Times New Roman" w:hAnsi="Times New Roman"/>
                <w:sz w:val="21"/>
                <w:szCs w:val="21"/>
              </w:rPr>
            </w:pPr>
            <w:r w:rsidRPr="00505E82">
              <w:rPr>
                <w:rFonts w:ascii="Times New Roman"/>
                <w:sz w:val="21"/>
              </w:rPr>
              <w:t>Financiamento</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1051" w:right="128" w:hanging="903"/>
              <w:rPr>
                <w:rFonts w:ascii="Times New Roman" w:eastAsia="Times New Roman" w:hAnsi="Times New Roman"/>
                <w:sz w:val="21"/>
                <w:szCs w:val="21"/>
              </w:rPr>
            </w:pPr>
            <w:r w:rsidRPr="00505E82">
              <w:rPr>
                <w:rFonts w:ascii="Times New Roman" w:hAnsi="Times New Roman"/>
                <w:sz w:val="21"/>
              </w:rPr>
              <w:t>Doações pessoais, assinaturas e</w:t>
            </w:r>
            <w:r w:rsidRPr="00505E82">
              <w:rPr>
                <w:rFonts w:ascii="Times New Roman" w:hAnsi="Times New Roman"/>
                <w:spacing w:val="14"/>
                <w:sz w:val="21"/>
              </w:rPr>
              <w:t xml:space="preserve"> </w:t>
            </w:r>
            <w:r w:rsidRPr="00505E82">
              <w:rPr>
                <w:rFonts w:ascii="Times New Roman" w:hAnsi="Times New Roman"/>
                <w:sz w:val="21"/>
              </w:rPr>
              <w:t>vendas</w:t>
            </w:r>
          </w:p>
        </w:tc>
        <w:tc>
          <w:tcPr>
            <w:tcW w:w="3259" w:type="dxa"/>
            <w:tcBorders>
              <w:top w:val="single" w:sz="4" w:space="0" w:color="000000"/>
              <w:left w:val="single" w:sz="4" w:space="0" w:color="000000"/>
              <w:bottom w:val="single" w:sz="4" w:space="0" w:color="000000"/>
              <w:right w:val="nil"/>
            </w:tcBorders>
            <w:shd w:val="clear" w:color="auto" w:fill="auto"/>
          </w:tcPr>
          <w:p w:rsidR="00CC7D10" w:rsidRPr="00505E82" w:rsidRDefault="00CC7D10" w:rsidP="00505E82">
            <w:pPr>
              <w:pStyle w:val="TableParagraph"/>
              <w:spacing w:line="247" w:lineRule="auto"/>
              <w:ind w:left="494" w:right="497" w:firstLine="134"/>
              <w:rPr>
                <w:rFonts w:ascii="Times New Roman" w:eastAsia="Times New Roman" w:hAnsi="Times New Roman"/>
                <w:sz w:val="21"/>
                <w:szCs w:val="21"/>
              </w:rPr>
            </w:pPr>
            <w:r w:rsidRPr="00505E82">
              <w:rPr>
                <w:rFonts w:ascii="Times New Roman" w:hAnsi="Times New Roman"/>
                <w:sz w:val="21"/>
              </w:rPr>
              <w:t>Patrocínio de entidades internacionais e do</w:t>
            </w:r>
            <w:r w:rsidRPr="00505E82">
              <w:rPr>
                <w:rFonts w:ascii="Times New Roman" w:hAnsi="Times New Roman"/>
                <w:spacing w:val="38"/>
                <w:sz w:val="21"/>
              </w:rPr>
              <w:t xml:space="preserve"> </w:t>
            </w:r>
            <w:r w:rsidRPr="00505E82">
              <w:rPr>
                <w:rFonts w:ascii="Times New Roman" w:hAnsi="Times New Roman"/>
                <w:sz w:val="21"/>
              </w:rPr>
              <w:t>Estado</w:t>
            </w:r>
          </w:p>
        </w:tc>
      </w:tr>
    </w:tbl>
    <w:p w:rsidR="00CC7D10" w:rsidRDefault="00CC7D10" w:rsidP="00CC7D10">
      <w:pPr>
        <w:spacing w:before="5"/>
        <w:rPr>
          <w:rFonts w:ascii="Times New Roman" w:eastAsia="Times New Roman" w:hAnsi="Times New Roman"/>
          <w:b/>
          <w:bCs/>
          <w:sz w:val="28"/>
          <w:szCs w:val="28"/>
        </w:rPr>
      </w:pPr>
    </w:p>
    <w:p w:rsidR="00CC7D10" w:rsidRDefault="00CC7D10" w:rsidP="00CC7D10">
      <w:pPr>
        <w:pStyle w:val="Ttulo1"/>
        <w:spacing w:before="73"/>
        <w:rPr>
          <w:b w:val="0"/>
          <w:bCs w:val="0"/>
        </w:rPr>
      </w:pPr>
      <w:r>
        <w:t xml:space="preserve">Marco histórico para divisão da imprensa feminista </w:t>
      </w:r>
      <w:r>
        <w:rPr>
          <w:spacing w:val="3"/>
        </w:rPr>
        <w:t xml:space="preserve">em </w:t>
      </w:r>
      <w:r>
        <w:t xml:space="preserve">duas </w:t>
      </w:r>
      <w:r>
        <w:rPr>
          <w:spacing w:val="14"/>
        </w:rPr>
        <w:t xml:space="preserve"> </w:t>
      </w:r>
      <w:r>
        <w:t>gerações</w:t>
      </w:r>
    </w:p>
    <w:p w:rsidR="00CC7D10" w:rsidRDefault="00CC7D10" w:rsidP="00CC7D10">
      <w:pPr>
        <w:pStyle w:val="Corpodetexto"/>
        <w:spacing w:before="129" w:line="350" w:lineRule="auto"/>
        <w:ind w:right="102"/>
        <w:jc w:val="both"/>
      </w:pPr>
      <w:r>
        <w:t xml:space="preserve">Utilizo dois acontecimentos históricos para marcar a divisão entre  a primeira e  segunda geração  de periódicos feministas: o II e o </w:t>
      </w:r>
      <w:r>
        <w:rPr>
          <w:spacing w:val="-3"/>
        </w:rPr>
        <w:t xml:space="preserve">III </w:t>
      </w:r>
      <w:r>
        <w:t>Congresso da Mulher Paulista, realizados, respectivamente em 1980    e 1981, na cidade de São Paulo</w:t>
      </w:r>
      <w:r>
        <w:rPr>
          <w:position w:val="11"/>
          <w:sz w:val="15"/>
        </w:rPr>
        <w:t>5</w:t>
      </w:r>
      <w:r>
        <w:t xml:space="preserve">. Apesar de afirmar </w:t>
      </w:r>
      <w:r>
        <w:rPr>
          <w:spacing w:val="2"/>
        </w:rPr>
        <w:t xml:space="preserve">que </w:t>
      </w:r>
      <w:r>
        <w:t xml:space="preserve">esses dois eventos abalaram o relacionamento entre o movimento feminista e os partidos de esquerda/questões de classe, sabemos que outros fatores contribuíram nesta ruptura, porém, com base </w:t>
      </w:r>
      <w:r>
        <w:rPr>
          <w:spacing w:val="4"/>
        </w:rPr>
        <w:t xml:space="preserve">na </w:t>
      </w:r>
      <w:r>
        <w:t xml:space="preserve">pesquisa bibliográfica e </w:t>
      </w:r>
      <w:r>
        <w:rPr>
          <w:spacing w:val="3"/>
        </w:rPr>
        <w:t xml:space="preserve">em </w:t>
      </w:r>
      <w:r>
        <w:t>entrevistas com lideranças feministas</w:t>
      </w:r>
      <w:r>
        <w:rPr>
          <w:position w:val="11"/>
          <w:sz w:val="15"/>
        </w:rPr>
        <w:t>6</w:t>
      </w:r>
      <w:r>
        <w:t xml:space="preserve">, elegemos o </w:t>
      </w:r>
      <w:r>
        <w:rPr>
          <w:spacing w:val="-3"/>
        </w:rPr>
        <w:t xml:space="preserve">II </w:t>
      </w:r>
      <w:r>
        <w:t xml:space="preserve">e o III Congresso </w:t>
      </w:r>
      <w:r>
        <w:rPr>
          <w:spacing w:val="4"/>
        </w:rPr>
        <w:t xml:space="preserve">da </w:t>
      </w:r>
      <w:r>
        <w:t>Mulher Paulista como ponto chave dessa mudança de postura.</w:t>
      </w:r>
    </w:p>
    <w:p w:rsidR="00CC7D10" w:rsidRDefault="00CC7D10" w:rsidP="00CC7D10">
      <w:pPr>
        <w:pStyle w:val="Corpodetexto"/>
        <w:spacing w:before="21" w:line="364" w:lineRule="auto"/>
        <w:ind w:right="101"/>
        <w:jc w:val="both"/>
      </w:pPr>
      <w:r>
        <w:t xml:space="preserve">O </w:t>
      </w:r>
      <w:r>
        <w:rPr>
          <w:spacing w:val="-3"/>
        </w:rPr>
        <w:t xml:space="preserve">II </w:t>
      </w:r>
      <w:r>
        <w:t xml:space="preserve">Congresso da Mulher Paulista foi cenário de disputa direta entre as lideranças de esquerda e   as feministas. O evento reuniu cerca de 4 </w:t>
      </w:r>
      <w:r>
        <w:rPr>
          <w:spacing w:val="-3"/>
        </w:rPr>
        <w:t xml:space="preserve">mil </w:t>
      </w:r>
      <w:r>
        <w:t xml:space="preserve">mulheres no Tuca, teatro da PUC/São Paulo. A movimentação gigantesca foi vista como momento ideal para os partidos de esquerda (ainda na </w:t>
      </w:r>
      <w:r>
        <w:lastRenderedPageBreak/>
        <w:t xml:space="preserve">clandestinidade)  conquistarem  força  política  e  convencerem  as  mulheres  de  </w:t>
      </w:r>
      <w:r>
        <w:rPr>
          <w:spacing w:val="2"/>
        </w:rPr>
        <w:t xml:space="preserve">que  </w:t>
      </w:r>
      <w:r>
        <w:t xml:space="preserve">o  feminismo     </w:t>
      </w:r>
      <w:r>
        <w:rPr>
          <w:spacing w:val="2"/>
        </w:rPr>
        <w:t xml:space="preserve"> </w:t>
      </w:r>
      <w:r>
        <w:t>era</w:t>
      </w:r>
    </w:p>
    <w:p w:rsidR="00CC7D10" w:rsidRDefault="00CC7D10" w:rsidP="00CC7D10">
      <w:pPr>
        <w:spacing w:before="11"/>
        <w:rPr>
          <w:rFonts w:ascii="Times New Roman" w:eastAsia="Times New Roman" w:hAnsi="Times New Roman"/>
        </w:rPr>
      </w:pPr>
      <w:r w:rsidRPr="00CC7D10">
        <w:rPr>
          <w:lang w:val="en-US"/>
        </w:rPr>
        <w:pict>
          <v:group id="_x0000_s1043" style="position:absolute;left:0;text-align:left;margin-left:68.9pt;margin-top:14.55pt;width:140.2pt;height:.1pt;z-index:251624960;mso-wrap-distance-left:0;mso-wrap-distance-right:0;mso-position-horizontal-relative:page" coordorigin="1378,291" coordsize="2804,2">
            <v:shape id="_x0000_s1044" style="position:absolute;left:1378;top:291;width:2804;height:2" coordorigin="1378,291" coordsize="2804,0" path="m1378,291r2803,e" filled="f" strokeweight=".25367mm">
              <v:path arrowok="t"/>
            </v:shape>
            <w10:wrap type="topAndBottom" anchorx="page"/>
          </v:group>
        </w:pict>
      </w:r>
    </w:p>
    <w:p w:rsidR="00CC7D10" w:rsidRDefault="00CC7D10" w:rsidP="00CC7D10">
      <w:pPr>
        <w:spacing w:before="66" w:line="249" w:lineRule="auto"/>
        <w:ind w:left="116" w:right="104"/>
        <w:rPr>
          <w:rFonts w:ascii="Times New Roman" w:eastAsia="Times New Roman" w:hAnsi="Times New Roman"/>
          <w:sz w:val="15"/>
          <w:szCs w:val="15"/>
        </w:rPr>
      </w:pPr>
      <w:r>
        <w:rPr>
          <w:rFonts w:ascii="Times New Roman" w:hAnsi="Times New Roman"/>
          <w:w w:val="105"/>
          <w:position w:val="7"/>
          <w:sz w:val="10"/>
        </w:rPr>
        <w:t xml:space="preserve">5 </w:t>
      </w:r>
      <w:r>
        <w:rPr>
          <w:rFonts w:ascii="Times New Roman" w:hAnsi="Times New Roman"/>
          <w:w w:val="105"/>
          <w:sz w:val="15"/>
        </w:rPr>
        <w:t xml:space="preserve">A escolha desses Congressos, como marco para a divisão entre as duas gerações, funciona como a construção de um exemplo que englobe a situação nacional </w:t>
      </w:r>
      <w:r>
        <w:rPr>
          <w:rFonts w:ascii="Times New Roman" w:hAnsi="Times New Roman"/>
          <w:spacing w:val="-3"/>
          <w:w w:val="105"/>
          <w:sz w:val="15"/>
        </w:rPr>
        <w:t xml:space="preserve">do </w:t>
      </w:r>
      <w:r>
        <w:rPr>
          <w:rFonts w:ascii="Times New Roman" w:hAnsi="Times New Roman"/>
          <w:w w:val="105"/>
          <w:sz w:val="15"/>
        </w:rPr>
        <w:t xml:space="preserve">feminismo </w:t>
      </w:r>
      <w:r>
        <w:rPr>
          <w:rFonts w:ascii="Times New Roman" w:hAnsi="Times New Roman"/>
          <w:spacing w:val="-3"/>
          <w:w w:val="105"/>
          <w:sz w:val="15"/>
        </w:rPr>
        <w:t xml:space="preserve">no </w:t>
      </w:r>
      <w:r>
        <w:rPr>
          <w:rFonts w:ascii="Times New Roman" w:hAnsi="Times New Roman"/>
          <w:w w:val="105"/>
          <w:sz w:val="15"/>
        </w:rPr>
        <w:t xml:space="preserve">Brasil. Ou seja, os Congressos paulistas refletiram, anteciparam ou repetiram o que havia acontecido </w:t>
      </w:r>
      <w:r>
        <w:rPr>
          <w:rFonts w:ascii="Times New Roman" w:hAnsi="Times New Roman"/>
          <w:spacing w:val="-3"/>
          <w:w w:val="105"/>
          <w:sz w:val="15"/>
        </w:rPr>
        <w:t xml:space="preserve">no </w:t>
      </w:r>
      <w:r>
        <w:rPr>
          <w:rFonts w:ascii="Times New Roman" w:hAnsi="Times New Roman"/>
          <w:w w:val="105"/>
          <w:sz w:val="15"/>
        </w:rPr>
        <w:t xml:space="preserve">movimento feminista de outras cidades brasileiras. Não </w:t>
      </w:r>
      <w:r>
        <w:rPr>
          <w:rFonts w:ascii="Times New Roman" w:hAnsi="Times New Roman"/>
          <w:spacing w:val="-3"/>
          <w:w w:val="105"/>
          <w:sz w:val="15"/>
        </w:rPr>
        <w:t xml:space="preserve">há </w:t>
      </w:r>
      <w:r>
        <w:rPr>
          <w:rFonts w:ascii="Times New Roman" w:hAnsi="Times New Roman"/>
          <w:w w:val="105"/>
          <w:sz w:val="15"/>
        </w:rPr>
        <w:t xml:space="preserve">aqui </w:t>
      </w:r>
      <w:r>
        <w:rPr>
          <w:rFonts w:ascii="Times New Roman" w:hAnsi="Times New Roman"/>
          <w:spacing w:val="-3"/>
          <w:w w:val="105"/>
          <w:sz w:val="15"/>
        </w:rPr>
        <w:t xml:space="preserve">um </w:t>
      </w:r>
      <w:r>
        <w:rPr>
          <w:rFonts w:ascii="Times New Roman" w:hAnsi="Times New Roman"/>
          <w:w w:val="105"/>
          <w:sz w:val="15"/>
        </w:rPr>
        <w:t xml:space="preserve">julgamento de onde o movimento era mais ou menos expressivo, </w:t>
      </w:r>
      <w:r>
        <w:rPr>
          <w:rFonts w:ascii="Times New Roman" w:hAnsi="Times New Roman"/>
          <w:spacing w:val="-3"/>
          <w:w w:val="105"/>
          <w:sz w:val="15"/>
        </w:rPr>
        <w:t xml:space="preserve">há </w:t>
      </w:r>
      <w:r>
        <w:rPr>
          <w:rFonts w:ascii="Times New Roman" w:hAnsi="Times New Roman"/>
          <w:w w:val="105"/>
          <w:sz w:val="15"/>
        </w:rPr>
        <w:t>apenas a expressão de um exemplo para entendimento</w:t>
      </w:r>
      <w:r>
        <w:rPr>
          <w:rFonts w:ascii="Times New Roman" w:hAnsi="Times New Roman"/>
          <w:spacing w:val="-10"/>
          <w:w w:val="105"/>
          <w:sz w:val="15"/>
        </w:rPr>
        <w:t xml:space="preserve"> </w:t>
      </w:r>
      <w:r>
        <w:rPr>
          <w:rFonts w:ascii="Times New Roman" w:hAnsi="Times New Roman"/>
          <w:w w:val="105"/>
          <w:sz w:val="15"/>
        </w:rPr>
        <w:t>de</w:t>
      </w:r>
      <w:r>
        <w:rPr>
          <w:rFonts w:ascii="Times New Roman" w:hAnsi="Times New Roman"/>
          <w:spacing w:val="-7"/>
          <w:w w:val="105"/>
          <w:sz w:val="15"/>
        </w:rPr>
        <w:t xml:space="preserve"> </w:t>
      </w:r>
      <w:r>
        <w:rPr>
          <w:rFonts w:ascii="Times New Roman" w:hAnsi="Times New Roman"/>
          <w:w w:val="105"/>
          <w:sz w:val="15"/>
        </w:rPr>
        <w:t>um</w:t>
      </w:r>
      <w:r>
        <w:rPr>
          <w:rFonts w:ascii="Times New Roman" w:hAnsi="Times New Roman"/>
          <w:spacing w:val="-10"/>
          <w:w w:val="105"/>
          <w:sz w:val="15"/>
        </w:rPr>
        <w:t xml:space="preserve"> </w:t>
      </w:r>
      <w:r>
        <w:rPr>
          <w:rFonts w:ascii="Times New Roman" w:hAnsi="Times New Roman"/>
          <w:w w:val="105"/>
          <w:sz w:val="15"/>
        </w:rPr>
        <w:t>fato</w:t>
      </w:r>
      <w:r>
        <w:rPr>
          <w:rFonts w:ascii="Times New Roman" w:hAnsi="Times New Roman"/>
          <w:spacing w:val="-6"/>
          <w:w w:val="105"/>
          <w:sz w:val="15"/>
        </w:rPr>
        <w:t xml:space="preserve"> </w:t>
      </w:r>
      <w:r>
        <w:rPr>
          <w:rFonts w:ascii="Times New Roman" w:hAnsi="Times New Roman"/>
          <w:w w:val="105"/>
          <w:sz w:val="15"/>
        </w:rPr>
        <w:t>maior:</w:t>
      </w:r>
      <w:r>
        <w:rPr>
          <w:rFonts w:ascii="Times New Roman" w:hAnsi="Times New Roman"/>
          <w:spacing w:val="-6"/>
          <w:w w:val="105"/>
          <w:sz w:val="15"/>
        </w:rPr>
        <w:t xml:space="preserve"> </w:t>
      </w:r>
      <w:r>
        <w:rPr>
          <w:rFonts w:ascii="Times New Roman" w:hAnsi="Times New Roman"/>
          <w:w w:val="105"/>
          <w:sz w:val="15"/>
        </w:rPr>
        <w:t>a</w:t>
      </w:r>
      <w:r>
        <w:rPr>
          <w:rFonts w:ascii="Times New Roman" w:hAnsi="Times New Roman"/>
          <w:spacing w:val="-15"/>
          <w:w w:val="105"/>
          <w:sz w:val="15"/>
        </w:rPr>
        <w:t xml:space="preserve"> </w:t>
      </w:r>
      <w:r>
        <w:rPr>
          <w:rFonts w:ascii="Times New Roman" w:hAnsi="Times New Roman"/>
          <w:w w:val="105"/>
          <w:sz w:val="15"/>
        </w:rPr>
        <w:t>tendência</w:t>
      </w:r>
      <w:r>
        <w:rPr>
          <w:rFonts w:ascii="Times New Roman" w:hAnsi="Times New Roman"/>
          <w:spacing w:val="-11"/>
          <w:w w:val="105"/>
          <w:sz w:val="15"/>
        </w:rPr>
        <w:t xml:space="preserve"> </w:t>
      </w:r>
      <w:r>
        <w:rPr>
          <w:rFonts w:ascii="Times New Roman" w:hAnsi="Times New Roman"/>
          <w:w w:val="105"/>
          <w:sz w:val="15"/>
        </w:rPr>
        <w:t>de</w:t>
      </w:r>
      <w:r>
        <w:rPr>
          <w:rFonts w:ascii="Times New Roman" w:hAnsi="Times New Roman"/>
          <w:spacing w:val="-15"/>
          <w:w w:val="105"/>
          <w:sz w:val="15"/>
        </w:rPr>
        <w:t xml:space="preserve"> </w:t>
      </w:r>
      <w:r>
        <w:rPr>
          <w:rFonts w:ascii="Times New Roman" w:hAnsi="Times New Roman"/>
          <w:w w:val="105"/>
          <w:sz w:val="15"/>
        </w:rPr>
        <w:t>independência</w:t>
      </w:r>
      <w:r>
        <w:rPr>
          <w:rFonts w:ascii="Times New Roman" w:hAnsi="Times New Roman"/>
          <w:spacing w:val="-11"/>
          <w:w w:val="105"/>
          <w:sz w:val="15"/>
        </w:rPr>
        <w:t xml:space="preserve"> </w:t>
      </w:r>
      <w:r>
        <w:rPr>
          <w:rFonts w:ascii="Times New Roman" w:hAnsi="Times New Roman"/>
          <w:w w:val="105"/>
          <w:sz w:val="15"/>
        </w:rPr>
        <w:t>do</w:t>
      </w:r>
      <w:r>
        <w:rPr>
          <w:rFonts w:ascii="Times New Roman" w:hAnsi="Times New Roman"/>
          <w:spacing w:val="-6"/>
          <w:w w:val="105"/>
          <w:sz w:val="15"/>
        </w:rPr>
        <w:t xml:space="preserve"> </w:t>
      </w:r>
      <w:r>
        <w:rPr>
          <w:rFonts w:ascii="Times New Roman" w:hAnsi="Times New Roman"/>
          <w:w w:val="105"/>
          <w:sz w:val="15"/>
        </w:rPr>
        <w:t>movimento</w:t>
      </w:r>
      <w:r>
        <w:rPr>
          <w:rFonts w:ascii="Times New Roman" w:hAnsi="Times New Roman"/>
          <w:spacing w:val="-6"/>
          <w:w w:val="105"/>
          <w:sz w:val="15"/>
        </w:rPr>
        <w:t xml:space="preserve"> </w:t>
      </w:r>
      <w:r>
        <w:rPr>
          <w:rFonts w:ascii="Times New Roman" w:hAnsi="Times New Roman"/>
          <w:w w:val="105"/>
          <w:sz w:val="15"/>
        </w:rPr>
        <w:t>feministas</w:t>
      </w:r>
      <w:r>
        <w:rPr>
          <w:rFonts w:ascii="Times New Roman" w:hAnsi="Times New Roman"/>
          <w:spacing w:val="-8"/>
          <w:w w:val="105"/>
          <w:sz w:val="15"/>
        </w:rPr>
        <w:t xml:space="preserve"> </w:t>
      </w:r>
      <w:r>
        <w:rPr>
          <w:rFonts w:ascii="Times New Roman" w:hAnsi="Times New Roman"/>
          <w:w w:val="105"/>
          <w:sz w:val="15"/>
        </w:rPr>
        <w:t>das</w:t>
      </w:r>
      <w:r>
        <w:rPr>
          <w:rFonts w:ascii="Times New Roman" w:hAnsi="Times New Roman"/>
          <w:spacing w:val="-12"/>
          <w:w w:val="105"/>
          <w:sz w:val="15"/>
        </w:rPr>
        <w:t xml:space="preserve"> </w:t>
      </w:r>
      <w:r>
        <w:rPr>
          <w:rFonts w:ascii="Times New Roman" w:hAnsi="Times New Roman"/>
          <w:w w:val="105"/>
          <w:sz w:val="15"/>
        </w:rPr>
        <w:t>forças</w:t>
      </w:r>
      <w:r>
        <w:rPr>
          <w:rFonts w:ascii="Times New Roman" w:hAnsi="Times New Roman"/>
          <w:spacing w:val="-12"/>
          <w:w w:val="105"/>
          <w:sz w:val="15"/>
        </w:rPr>
        <w:t xml:space="preserve"> </w:t>
      </w:r>
      <w:r>
        <w:rPr>
          <w:rFonts w:ascii="Times New Roman" w:hAnsi="Times New Roman"/>
          <w:w w:val="105"/>
          <w:sz w:val="15"/>
        </w:rPr>
        <w:t>de</w:t>
      </w:r>
      <w:r>
        <w:rPr>
          <w:rFonts w:ascii="Times New Roman" w:hAnsi="Times New Roman"/>
          <w:spacing w:val="-7"/>
          <w:w w:val="105"/>
          <w:sz w:val="15"/>
        </w:rPr>
        <w:t xml:space="preserve"> </w:t>
      </w:r>
      <w:r>
        <w:rPr>
          <w:rFonts w:ascii="Times New Roman" w:hAnsi="Times New Roman"/>
          <w:w w:val="105"/>
          <w:sz w:val="15"/>
        </w:rPr>
        <w:t>esquerda.</w:t>
      </w:r>
    </w:p>
    <w:p w:rsidR="00CC7D10" w:rsidRDefault="00CC7D10" w:rsidP="00CC7D10">
      <w:pPr>
        <w:spacing w:before="1" w:line="178" w:lineRule="exact"/>
        <w:ind w:left="116" w:right="108"/>
        <w:rPr>
          <w:rFonts w:ascii="Times New Roman" w:eastAsia="Times New Roman" w:hAnsi="Times New Roman"/>
          <w:sz w:val="15"/>
          <w:szCs w:val="15"/>
        </w:rPr>
      </w:pPr>
      <w:r>
        <w:rPr>
          <w:rFonts w:ascii="Times New Roman" w:hAnsi="Times New Roman"/>
          <w:w w:val="105"/>
          <w:position w:val="7"/>
          <w:sz w:val="10"/>
        </w:rPr>
        <w:t xml:space="preserve">6 </w:t>
      </w:r>
      <w:r>
        <w:rPr>
          <w:rFonts w:ascii="Times New Roman" w:hAnsi="Times New Roman"/>
          <w:w w:val="105"/>
          <w:sz w:val="15"/>
        </w:rPr>
        <w:t xml:space="preserve">Para a confecção da pesquisa entrevistamos Danda Prado, militante e editora </w:t>
      </w:r>
      <w:r>
        <w:rPr>
          <w:rFonts w:ascii="Times New Roman" w:hAnsi="Times New Roman"/>
          <w:spacing w:val="-3"/>
          <w:w w:val="105"/>
          <w:sz w:val="15"/>
        </w:rPr>
        <w:t xml:space="preserve">do </w:t>
      </w:r>
      <w:r>
        <w:rPr>
          <w:rFonts w:ascii="Times New Roman" w:hAnsi="Times New Roman"/>
          <w:w w:val="105"/>
          <w:sz w:val="15"/>
        </w:rPr>
        <w:t xml:space="preserve">jornal </w:t>
      </w:r>
      <w:r>
        <w:rPr>
          <w:rFonts w:ascii="Times New Roman" w:hAnsi="Times New Roman"/>
          <w:i/>
          <w:w w:val="105"/>
          <w:sz w:val="15"/>
        </w:rPr>
        <w:t>Nosotras</w:t>
      </w:r>
      <w:r>
        <w:rPr>
          <w:rFonts w:ascii="Times New Roman" w:hAnsi="Times New Roman"/>
          <w:w w:val="105"/>
          <w:sz w:val="15"/>
        </w:rPr>
        <w:t xml:space="preserve">, Joana Lopes, militante e editora do jornal </w:t>
      </w:r>
      <w:r>
        <w:rPr>
          <w:rFonts w:ascii="Times New Roman" w:hAnsi="Times New Roman"/>
          <w:i/>
          <w:w w:val="105"/>
          <w:sz w:val="15"/>
        </w:rPr>
        <w:t>Brasil Mulher</w:t>
      </w:r>
      <w:r>
        <w:rPr>
          <w:rFonts w:ascii="Times New Roman" w:hAnsi="Times New Roman"/>
          <w:w w:val="105"/>
          <w:sz w:val="15"/>
        </w:rPr>
        <w:t>, Miriam</w:t>
      </w:r>
      <w:r>
        <w:rPr>
          <w:rFonts w:ascii="Times New Roman" w:hAnsi="Times New Roman"/>
          <w:spacing w:val="-5"/>
          <w:w w:val="105"/>
          <w:sz w:val="15"/>
        </w:rPr>
        <w:t xml:space="preserve"> </w:t>
      </w:r>
      <w:r>
        <w:rPr>
          <w:rFonts w:ascii="Times New Roman" w:hAnsi="Times New Roman"/>
          <w:w w:val="105"/>
          <w:sz w:val="15"/>
        </w:rPr>
        <w:t>Martinho,</w:t>
      </w:r>
      <w:r>
        <w:rPr>
          <w:rFonts w:ascii="Times New Roman" w:hAnsi="Times New Roman"/>
          <w:spacing w:val="-5"/>
          <w:w w:val="105"/>
          <w:sz w:val="15"/>
        </w:rPr>
        <w:t xml:space="preserve"> </w:t>
      </w:r>
      <w:r>
        <w:rPr>
          <w:rFonts w:ascii="Times New Roman" w:hAnsi="Times New Roman"/>
          <w:w w:val="105"/>
          <w:sz w:val="15"/>
        </w:rPr>
        <w:t>militante</w:t>
      </w:r>
      <w:r>
        <w:rPr>
          <w:rFonts w:ascii="Times New Roman" w:hAnsi="Times New Roman"/>
          <w:spacing w:val="-6"/>
          <w:w w:val="105"/>
          <w:sz w:val="15"/>
        </w:rPr>
        <w:t xml:space="preserve"> </w:t>
      </w:r>
      <w:r>
        <w:rPr>
          <w:rFonts w:ascii="Times New Roman" w:hAnsi="Times New Roman"/>
          <w:w w:val="105"/>
          <w:sz w:val="15"/>
        </w:rPr>
        <w:t>e</w:t>
      </w:r>
      <w:r>
        <w:rPr>
          <w:rFonts w:ascii="Times New Roman" w:hAnsi="Times New Roman"/>
          <w:spacing w:val="-6"/>
          <w:w w:val="105"/>
          <w:sz w:val="15"/>
        </w:rPr>
        <w:t xml:space="preserve"> </w:t>
      </w:r>
      <w:r>
        <w:rPr>
          <w:rFonts w:ascii="Times New Roman" w:hAnsi="Times New Roman"/>
          <w:w w:val="105"/>
          <w:sz w:val="15"/>
        </w:rPr>
        <w:t>editora</w:t>
      </w:r>
      <w:r>
        <w:rPr>
          <w:rFonts w:ascii="Times New Roman" w:hAnsi="Times New Roman"/>
          <w:spacing w:val="-2"/>
          <w:w w:val="105"/>
          <w:sz w:val="15"/>
        </w:rPr>
        <w:t xml:space="preserve"> </w:t>
      </w:r>
      <w:r>
        <w:rPr>
          <w:rFonts w:ascii="Times New Roman" w:hAnsi="Times New Roman"/>
          <w:w w:val="105"/>
          <w:sz w:val="15"/>
        </w:rPr>
        <w:t>do</w:t>
      </w:r>
      <w:r>
        <w:rPr>
          <w:rFonts w:ascii="Times New Roman" w:hAnsi="Times New Roman"/>
          <w:spacing w:val="-5"/>
          <w:w w:val="105"/>
          <w:sz w:val="15"/>
        </w:rPr>
        <w:t xml:space="preserve"> </w:t>
      </w:r>
      <w:r>
        <w:rPr>
          <w:rFonts w:ascii="Times New Roman" w:hAnsi="Times New Roman"/>
          <w:w w:val="105"/>
          <w:sz w:val="15"/>
        </w:rPr>
        <w:t>jornal</w:t>
      </w:r>
      <w:r>
        <w:rPr>
          <w:rFonts w:ascii="Times New Roman" w:hAnsi="Times New Roman"/>
          <w:spacing w:val="-6"/>
          <w:w w:val="105"/>
          <w:sz w:val="15"/>
        </w:rPr>
        <w:t xml:space="preserve"> </w:t>
      </w:r>
      <w:r>
        <w:rPr>
          <w:rFonts w:ascii="Times New Roman" w:hAnsi="Times New Roman"/>
          <w:i/>
          <w:w w:val="105"/>
          <w:sz w:val="15"/>
        </w:rPr>
        <w:t>Chanacomchana</w:t>
      </w:r>
      <w:r>
        <w:rPr>
          <w:rFonts w:ascii="Times New Roman" w:hAnsi="Times New Roman"/>
          <w:w w:val="105"/>
          <w:sz w:val="15"/>
        </w:rPr>
        <w:t>,</w:t>
      </w:r>
      <w:r>
        <w:rPr>
          <w:rFonts w:ascii="Times New Roman" w:hAnsi="Times New Roman"/>
          <w:spacing w:val="-5"/>
          <w:w w:val="105"/>
          <w:sz w:val="15"/>
        </w:rPr>
        <w:t xml:space="preserve"> </w:t>
      </w:r>
      <w:r>
        <w:rPr>
          <w:rFonts w:ascii="Times New Roman" w:hAnsi="Times New Roman"/>
          <w:w w:val="105"/>
          <w:sz w:val="15"/>
        </w:rPr>
        <w:t>e</w:t>
      </w:r>
      <w:r>
        <w:rPr>
          <w:rFonts w:ascii="Times New Roman" w:hAnsi="Times New Roman"/>
          <w:spacing w:val="-6"/>
          <w:w w:val="105"/>
          <w:sz w:val="15"/>
        </w:rPr>
        <w:t xml:space="preserve"> </w:t>
      </w:r>
      <w:r>
        <w:rPr>
          <w:rFonts w:ascii="Times New Roman" w:hAnsi="Times New Roman"/>
          <w:w w:val="105"/>
          <w:sz w:val="15"/>
        </w:rPr>
        <w:t>Michelle</w:t>
      </w:r>
      <w:r>
        <w:rPr>
          <w:rFonts w:ascii="Times New Roman" w:hAnsi="Times New Roman"/>
          <w:spacing w:val="-2"/>
          <w:w w:val="105"/>
          <w:sz w:val="15"/>
        </w:rPr>
        <w:t xml:space="preserve"> </w:t>
      </w:r>
      <w:r>
        <w:rPr>
          <w:rFonts w:ascii="Times New Roman" w:hAnsi="Times New Roman"/>
          <w:w w:val="105"/>
          <w:sz w:val="15"/>
        </w:rPr>
        <w:t>Lopes,</w:t>
      </w:r>
      <w:r>
        <w:rPr>
          <w:rFonts w:ascii="Times New Roman" w:hAnsi="Times New Roman"/>
          <w:spacing w:val="-5"/>
          <w:w w:val="105"/>
          <w:sz w:val="15"/>
        </w:rPr>
        <w:t xml:space="preserve"> </w:t>
      </w:r>
      <w:r>
        <w:rPr>
          <w:rFonts w:ascii="Times New Roman" w:hAnsi="Times New Roman"/>
          <w:w w:val="105"/>
          <w:sz w:val="15"/>
        </w:rPr>
        <w:t>militante</w:t>
      </w:r>
      <w:r>
        <w:rPr>
          <w:rFonts w:ascii="Times New Roman" w:hAnsi="Times New Roman"/>
          <w:spacing w:val="-2"/>
          <w:w w:val="105"/>
          <w:sz w:val="15"/>
        </w:rPr>
        <w:t xml:space="preserve"> </w:t>
      </w:r>
      <w:r>
        <w:rPr>
          <w:rFonts w:ascii="Times New Roman" w:hAnsi="Times New Roman"/>
          <w:w w:val="105"/>
          <w:sz w:val="15"/>
        </w:rPr>
        <w:t>e</w:t>
      </w:r>
      <w:r>
        <w:rPr>
          <w:rFonts w:ascii="Times New Roman" w:hAnsi="Times New Roman"/>
          <w:spacing w:val="-6"/>
          <w:w w:val="105"/>
          <w:sz w:val="15"/>
        </w:rPr>
        <w:t xml:space="preserve"> </w:t>
      </w:r>
      <w:r>
        <w:rPr>
          <w:rFonts w:ascii="Times New Roman" w:hAnsi="Times New Roman"/>
          <w:w w:val="105"/>
          <w:sz w:val="15"/>
        </w:rPr>
        <w:t>editora</w:t>
      </w:r>
      <w:r>
        <w:rPr>
          <w:rFonts w:ascii="Times New Roman" w:hAnsi="Times New Roman"/>
          <w:spacing w:val="-10"/>
          <w:w w:val="105"/>
          <w:sz w:val="15"/>
        </w:rPr>
        <w:t xml:space="preserve"> </w:t>
      </w:r>
      <w:r>
        <w:rPr>
          <w:rFonts w:ascii="Times New Roman" w:hAnsi="Times New Roman"/>
          <w:w w:val="105"/>
          <w:sz w:val="15"/>
        </w:rPr>
        <w:t>do</w:t>
      </w:r>
      <w:r>
        <w:rPr>
          <w:rFonts w:ascii="Times New Roman" w:hAnsi="Times New Roman"/>
          <w:spacing w:val="-9"/>
          <w:w w:val="105"/>
          <w:sz w:val="15"/>
        </w:rPr>
        <w:t xml:space="preserve"> </w:t>
      </w:r>
      <w:r>
        <w:rPr>
          <w:rFonts w:ascii="Times New Roman" w:hAnsi="Times New Roman"/>
          <w:w w:val="105"/>
          <w:sz w:val="15"/>
        </w:rPr>
        <w:t>jornal</w:t>
      </w:r>
      <w:r>
        <w:rPr>
          <w:rFonts w:ascii="Times New Roman" w:hAnsi="Times New Roman"/>
          <w:spacing w:val="-6"/>
          <w:w w:val="105"/>
          <w:sz w:val="15"/>
        </w:rPr>
        <w:t xml:space="preserve"> </w:t>
      </w:r>
      <w:r>
        <w:rPr>
          <w:rFonts w:ascii="Times New Roman" w:hAnsi="Times New Roman"/>
          <w:i/>
          <w:w w:val="105"/>
          <w:sz w:val="15"/>
        </w:rPr>
        <w:t>Fêmea</w:t>
      </w:r>
      <w:r>
        <w:rPr>
          <w:rFonts w:ascii="Times New Roman" w:hAnsi="Times New Roman"/>
          <w:w w:val="105"/>
          <w:sz w:val="15"/>
        </w:rPr>
        <w:t>.</w:t>
      </w:r>
      <w:r>
        <w:rPr>
          <w:rFonts w:ascii="Times New Roman" w:hAnsi="Times New Roman"/>
          <w:spacing w:val="-5"/>
          <w:w w:val="105"/>
          <w:sz w:val="15"/>
        </w:rPr>
        <w:t xml:space="preserve"> </w:t>
      </w:r>
      <w:r>
        <w:rPr>
          <w:rFonts w:ascii="Times New Roman" w:hAnsi="Times New Roman"/>
          <w:w w:val="105"/>
          <w:sz w:val="15"/>
        </w:rPr>
        <w:t>Às</w:t>
      </w:r>
      <w:r>
        <w:rPr>
          <w:rFonts w:ascii="Times New Roman" w:hAnsi="Times New Roman"/>
          <w:spacing w:val="-3"/>
          <w:w w:val="105"/>
          <w:sz w:val="15"/>
        </w:rPr>
        <w:t xml:space="preserve"> </w:t>
      </w:r>
      <w:r>
        <w:rPr>
          <w:rFonts w:ascii="Times New Roman" w:hAnsi="Times New Roman"/>
          <w:w w:val="105"/>
          <w:sz w:val="15"/>
        </w:rPr>
        <w:t>quais</w:t>
      </w:r>
      <w:r>
        <w:rPr>
          <w:rFonts w:ascii="Times New Roman" w:hAnsi="Times New Roman"/>
          <w:spacing w:val="-3"/>
          <w:w w:val="105"/>
          <w:sz w:val="15"/>
        </w:rPr>
        <w:t xml:space="preserve"> </w:t>
      </w:r>
      <w:r>
        <w:rPr>
          <w:rFonts w:ascii="Times New Roman" w:hAnsi="Times New Roman"/>
          <w:w w:val="105"/>
          <w:sz w:val="15"/>
        </w:rPr>
        <w:t>mais</w:t>
      </w:r>
      <w:r>
        <w:rPr>
          <w:rFonts w:ascii="Times New Roman" w:hAnsi="Times New Roman"/>
          <w:spacing w:val="-3"/>
          <w:w w:val="105"/>
          <w:sz w:val="15"/>
        </w:rPr>
        <w:t xml:space="preserve"> </w:t>
      </w:r>
      <w:r>
        <w:rPr>
          <w:rFonts w:ascii="Times New Roman" w:hAnsi="Times New Roman"/>
          <w:w w:val="105"/>
          <w:sz w:val="15"/>
        </w:rPr>
        <w:t>uma</w:t>
      </w:r>
      <w:r>
        <w:rPr>
          <w:rFonts w:ascii="Times New Roman" w:hAnsi="Times New Roman"/>
          <w:spacing w:val="-2"/>
          <w:w w:val="105"/>
          <w:sz w:val="15"/>
        </w:rPr>
        <w:t xml:space="preserve"> </w:t>
      </w:r>
      <w:r>
        <w:rPr>
          <w:rFonts w:ascii="Times New Roman" w:hAnsi="Times New Roman"/>
          <w:w w:val="105"/>
          <w:sz w:val="15"/>
        </w:rPr>
        <w:t>vez</w:t>
      </w:r>
      <w:r>
        <w:rPr>
          <w:rFonts w:ascii="Times New Roman" w:hAnsi="Times New Roman"/>
          <w:spacing w:val="-2"/>
          <w:w w:val="105"/>
          <w:sz w:val="15"/>
        </w:rPr>
        <w:t xml:space="preserve"> </w:t>
      </w:r>
      <w:r>
        <w:rPr>
          <w:rFonts w:ascii="Times New Roman" w:hAnsi="Times New Roman"/>
          <w:w w:val="105"/>
          <w:sz w:val="15"/>
        </w:rPr>
        <w:t>agradecemos a</w:t>
      </w:r>
      <w:r>
        <w:rPr>
          <w:rFonts w:ascii="Times New Roman" w:hAnsi="Times New Roman"/>
          <w:spacing w:val="-25"/>
          <w:w w:val="105"/>
          <w:sz w:val="15"/>
        </w:rPr>
        <w:t xml:space="preserve"> </w:t>
      </w:r>
      <w:r>
        <w:rPr>
          <w:rFonts w:ascii="Times New Roman" w:hAnsi="Times New Roman"/>
          <w:w w:val="105"/>
          <w:sz w:val="15"/>
        </w:rPr>
        <w:t>colaboração.</w:t>
      </w:r>
    </w:p>
    <w:p w:rsidR="00CC7D10" w:rsidRDefault="00CC7D10" w:rsidP="00CC7D10">
      <w:pPr>
        <w:spacing w:line="178" w:lineRule="exact"/>
        <w:rPr>
          <w:rFonts w:ascii="Times New Roman" w:eastAsia="Times New Roman" w:hAnsi="Times New Roman"/>
          <w:sz w:val="15"/>
          <w:szCs w:val="15"/>
        </w:rPr>
        <w:sectPr w:rsidR="00CC7D10">
          <w:pgSz w:w="11900" w:h="16840"/>
          <w:pgMar w:top="1600" w:right="126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spacing w:before="9"/>
        <w:rPr>
          <w:rFonts w:ascii="Times New Roman" w:eastAsia="Times New Roman" w:hAnsi="Times New Roman"/>
          <w:sz w:val="15"/>
          <w:szCs w:val="15"/>
        </w:rPr>
      </w:pPr>
    </w:p>
    <w:p w:rsidR="00CC7D10" w:rsidRDefault="00CC7D10" w:rsidP="001431E7">
      <w:pPr>
        <w:pStyle w:val="Corpodetexto"/>
        <w:spacing w:before="73" w:line="364" w:lineRule="auto"/>
        <w:ind w:right="101" w:firstLine="0"/>
        <w:jc w:val="both"/>
        <w:rPr>
          <w:sz w:val="20"/>
          <w:szCs w:val="20"/>
        </w:rPr>
      </w:pPr>
      <w:r>
        <w:t xml:space="preserve">separativista e não contribuía para os ideais de uma sociedade mais justa para todos  (homens  e  mulheres). </w:t>
      </w:r>
      <w:r>
        <w:rPr>
          <w:spacing w:val="-3"/>
        </w:rPr>
        <w:t xml:space="preserve">As </w:t>
      </w:r>
      <w:r>
        <w:t xml:space="preserve">feministas, </w:t>
      </w:r>
      <w:r>
        <w:rPr>
          <w:spacing w:val="2"/>
        </w:rPr>
        <w:t xml:space="preserve">por </w:t>
      </w:r>
      <w:r>
        <w:t xml:space="preserve">sua vez, chegavam a 1980 com cinco anos de ativismo no feminismo, já estavam ensaiando a adoção da categoria “gênero” e se distanciando da questão de classe, de modo a perceberem que o Congresso deveria ser apartidário e voltado para as questões específicas das mulheres (Nehring, 1981). Prevendo o impasse, a comissão organizadora tomou todos </w:t>
      </w:r>
      <w:r>
        <w:rPr>
          <w:spacing w:val="4"/>
        </w:rPr>
        <w:t xml:space="preserve">os </w:t>
      </w:r>
      <w:r>
        <w:t xml:space="preserve">cuidados possíveis para garantir a legitimidade das propostas feministas e impedir que o Congresso fosse usado como palanque político. Mas os acontecimentos não saíram como o esperado. Lideranças do </w:t>
      </w:r>
      <w:r>
        <w:rPr>
          <w:spacing w:val="2"/>
        </w:rPr>
        <w:t xml:space="preserve">PC, </w:t>
      </w:r>
      <w:r>
        <w:t xml:space="preserve">do PC do  B e  do  PMDB usaram  até  de  agressão  física para  fazer valer seus  pontos de  vista. </w:t>
      </w:r>
      <w:r>
        <w:rPr>
          <w:spacing w:val="-3"/>
        </w:rPr>
        <w:t xml:space="preserve">As  </w:t>
      </w:r>
      <w:r>
        <w:t>feministas  se  uniram</w:t>
      </w:r>
      <w:r>
        <w:rPr>
          <w:spacing w:val="10"/>
        </w:rPr>
        <w:t xml:space="preserve"> </w:t>
      </w:r>
      <w:r>
        <w:t>e</w:t>
      </w:r>
      <w:r w:rsidR="001431E7">
        <w:t xml:space="preserve"> </w:t>
      </w:r>
      <w:r>
        <w:t xml:space="preserve">redigiram </w:t>
      </w:r>
      <w:r>
        <w:rPr>
          <w:spacing w:val="4"/>
        </w:rPr>
        <w:t xml:space="preserve">um </w:t>
      </w:r>
      <w:r>
        <w:t xml:space="preserve">documento execrando as atitudes presenciadas por todas </w:t>
      </w:r>
      <w:r>
        <w:rPr>
          <w:spacing w:val="-4"/>
        </w:rPr>
        <w:t xml:space="preserve">as  </w:t>
      </w:r>
      <w:r>
        <w:t xml:space="preserve">presentes,  e  o  Congresso entrou para a história do feminismo como um momento de cisão do </w:t>
      </w:r>
      <w:r>
        <w:rPr>
          <w:spacing w:val="34"/>
        </w:rPr>
        <w:t xml:space="preserve"> </w:t>
      </w:r>
      <w:r>
        <w:t>movimento.</w:t>
      </w:r>
      <w:r>
        <w:rPr>
          <w:position w:val="11"/>
          <w:sz w:val="15"/>
        </w:rPr>
        <w:t>7</w:t>
      </w:r>
      <w:r w:rsidR="001431E7">
        <w:rPr>
          <w:position w:val="11"/>
          <w:sz w:val="15"/>
        </w:rPr>
        <w:t xml:space="preserve">  </w:t>
      </w:r>
      <w:r>
        <w:t xml:space="preserve">Confirmando a tendência apontada pelo </w:t>
      </w:r>
      <w:r>
        <w:rPr>
          <w:spacing w:val="-3"/>
        </w:rPr>
        <w:t xml:space="preserve">II </w:t>
      </w:r>
      <w:r>
        <w:t xml:space="preserve">Congresso </w:t>
      </w:r>
      <w:r>
        <w:rPr>
          <w:spacing w:val="4"/>
        </w:rPr>
        <w:t xml:space="preserve">da </w:t>
      </w:r>
      <w:r>
        <w:t xml:space="preserve">Mulher Paulista, no </w:t>
      </w:r>
      <w:r>
        <w:rPr>
          <w:spacing w:val="-3"/>
        </w:rPr>
        <w:t xml:space="preserve">III </w:t>
      </w:r>
      <w:r>
        <w:t xml:space="preserve">Congresso da Mulher Paulista, em 1981, também no Tuca, PUC/SP, o racha </w:t>
      </w:r>
      <w:r>
        <w:rPr>
          <w:spacing w:val="-3"/>
        </w:rPr>
        <w:t xml:space="preserve">se </w:t>
      </w:r>
      <w:r>
        <w:t xml:space="preserve">aprofundou. Maria Amélia Teles, em </w:t>
      </w:r>
      <w:r>
        <w:rPr>
          <w:i/>
        </w:rPr>
        <w:t xml:space="preserve">Breve história do feminismo no Brasil </w:t>
      </w:r>
      <w:r>
        <w:t xml:space="preserve">(1993), conta que já na reunião preparatória do evento o grupo de esquerda MR-8 defendeu  a proibição da entrada de  lésbicas no Congresso. O PC do B convocou um  outro Congresso na mesma data </w:t>
      </w:r>
      <w:r>
        <w:rPr>
          <w:spacing w:val="-6"/>
        </w:rPr>
        <w:t xml:space="preserve">(7 </w:t>
      </w:r>
      <w:r>
        <w:t xml:space="preserve">e 8 de março, de 1981) para tentar esvaziar o evento feminista e pressionar a </w:t>
      </w:r>
      <w:r>
        <w:rPr>
          <w:spacing w:val="2"/>
        </w:rPr>
        <w:t xml:space="preserve">dupla </w:t>
      </w:r>
      <w:r>
        <w:t xml:space="preserve">militância a se posicionar ao lado do </w:t>
      </w:r>
      <w:r>
        <w:rPr>
          <w:spacing w:val="12"/>
        </w:rPr>
        <w:t xml:space="preserve"> </w:t>
      </w:r>
      <w:r>
        <w:t>partido.</w:t>
      </w:r>
    </w:p>
    <w:p w:rsidR="00CC7D10" w:rsidRDefault="00CC7D10" w:rsidP="00CC7D10">
      <w:pPr>
        <w:spacing w:line="247" w:lineRule="auto"/>
        <w:ind w:left="1340" w:right="111"/>
        <w:rPr>
          <w:rFonts w:ascii="Times New Roman" w:eastAsia="Times New Roman" w:hAnsi="Times New Roman"/>
          <w:sz w:val="19"/>
          <w:szCs w:val="19"/>
        </w:rPr>
      </w:pPr>
      <w:r>
        <w:rPr>
          <w:rFonts w:ascii="Times New Roman" w:eastAsia="Times New Roman" w:hAnsi="Times New Roman"/>
          <w:w w:val="105"/>
          <w:sz w:val="19"/>
          <w:szCs w:val="19"/>
        </w:rPr>
        <w:t xml:space="preserve">“O motivo principal da divisão foi, sem dúvida, a participação dos partidos políticos e a sua disputa pela hegemonia do movimento, sem respeitar a dinâmica, a organização, o funcionamento e </w:t>
      </w:r>
      <w:r>
        <w:rPr>
          <w:rFonts w:ascii="Times New Roman" w:eastAsia="Times New Roman" w:hAnsi="Times New Roman"/>
          <w:spacing w:val="-3"/>
          <w:w w:val="105"/>
          <w:sz w:val="19"/>
          <w:szCs w:val="19"/>
        </w:rPr>
        <w:t xml:space="preserve">as </w:t>
      </w:r>
      <w:r>
        <w:rPr>
          <w:rFonts w:ascii="Times New Roman" w:eastAsia="Times New Roman" w:hAnsi="Times New Roman"/>
          <w:w w:val="105"/>
          <w:sz w:val="19"/>
          <w:szCs w:val="19"/>
        </w:rPr>
        <w:t xml:space="preserve">decisões do conjunto das mulheres. [...] </w:t>
      </w:r>
      <w:r>
        <w:rPr>
          <w:rFonts w:ascii="Times New Roman" w:eastAsia="Times New Roman" w:hAnsi="Times New Roman"/>
          <w:spacing w:val="-3"/>
          <w:w w:val="105"/>
          <w:sz w:val="19"/>
          <w:szCs w:val="19"/>
        </w:rPr>
        <w:t xml:space="preserve">Mas </w:t>
      </w:r>
      <w:r>
        <w:rPr>
          <w:rFonts w:ascii="Times New Roman" w:eastAsia="Times New Roman" w:hAnsi="Times New Roman"/>
          <w:w w:val="105"/>
          <w:sz w:val="19"/>
          <w:szCs w:val="19"/>
        </w:rPr>
        <w:t>havia também, por parte desses partidos, a não-aceitação de bandeiras específicas,</w:t>
      </w:r>
      <w:r>
        <w:rPr>
          <w:rFonts w:ascii="Times New Roman" w:eastAsia="Times New Roman" w:hAnsi="Times New Roman"/>
          <w:spacing w:val="-5"/>
          <w:w w:val="105"/>
          <w:sz w:val="19"/>
          <w:szCs w:val="19"/>
        </w:rPr>
        <w:t xml:space="preserve"> </w:t>
      </w:r>
      <w:r>
        <w:rPr>
          <w:rFonts w:ascii="Times New Roman" w:eastAsia="Times New Roman" w:hAnsi="Times New Roman"/>
          <w:w w:val="105"/>
          <w:sz w:val="19"/>
          <w:szCs w:val="19"/>
        </w:rPr>
        <w:t>como</w:t>
      </w:r>
      <w:r>
        <w:rPr>
          <w:rFonts w:ascii="Times New Roman" w:eastAsia="Times New Roman" w:hAnsi="Times New Roman"/>
          <w:spacing w:val="-6"/>
          <w:w w:val="105"/>
          <w:sz w:val="19"/>
          <w:szCs w:val="19"/>
        </w:rPr>
        <w:t xml:space="preserve"> </w:t>
      </w:r>
      <w:r>
        <w:rPr>
          <w:rFonts w:ascii="Times New Roman" w:eastAsia="Times New Roman" w:hAnsi="Times New Roman"/>
          <w:w w:val="105"/>
          <w:sz w:val="19"/>
          <w:szCs w:val="19"/>
        </w:rPr>
        <w:t>por</w:t>
      </w:r>
      <w:r>
        <w:rPr>
          <w:rFonts w:ascii="Times New Roman" w:eastAsia="Times New Roman" w:hAnsi="Times New Roman"/>
          <w:spacing w:val="-11"/>
          <w:w w:val="105"/>
          <w:sz w:val="19"/>
          <w:szCs w:val="19"/>
        </w:rPr>
        <w:t xml:space="preserve"> </w:t>
      </w:r>
      <w:r>
        <w:rPr>
          <w:rFonts w:ascii="Times New Roman" w:eastAsia="Times New Roman" w:hAnsi="Times New Roman"/>
          <w:w w:val="105"/>
          <w:sz w:val="19"/>
          <w:szCs w:val="19"/>
        </w:rPr>
        <w:t>exemplo,</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a</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que</w:t>
      </w:r>
      <w:r>
        <w:rPr>
          <w:rFonts w:ascii="Times New Roman" w:eastAsia="Times New Roman" w:hAnsi="Times New Roman"/>
          <w:spacing w:val="-13"/>
          <w:w w:val="105"/>
          <w:sz w:val="19"/>
          <w:szCs w:val="19"/>
        </w:rPr>
        <w:t xml:space="preserve"> </w:t>
      </w:r>
      <w:r>
        <w:rPr>
          <w:rFonts w:ascii="Times New Roman" w:eastAsia="Times New Roman" w:hAnsi="Times New Roman"/>
          <w:w w:val="105"/>
          <w:sz w:val="19"/>
          <w:szCs w:val="19"/>
        </w:rPr>
        <w:t>se</w:t>
      </w:r>
      <w:r>
        <w:rPr>
          <w:rFonts w:ascii="Times New Roman" w:eastAsia="Times New Roman" w:hAnsi="Times New Roman"/>
          <w:spacing w:val="-13"/>
          <w:w w:val="105"/>
          <w:sz w:val="19"/>
          <w:szCs w:val="19"/>
        </w:rPr>
        <w:t xml:space="preserve"> </w:t>
      </w:r>
      <w:r>
        <w:rPr>
          <w:rFonts w:ascii="Times New Roman" w:eastAsia="Times New Roman" w:hAnsi="Times New Roman"/>
          <w:w w:val="105"/>
          <w:sz w:val="19"/>
          <w:szCs w:val="19"/>
        </w:rPr>
        <w:t>refere</w:t>
      </w:r>
      <w:r>
        <w:rPr>
          <w:rFonts w:ascii="Times New Roman" w:eastAsia="Times New Roman" w:hAnsi="Times New Roman"/>
          <w:spacing w:val="-9"/>
          <w:w w:val="105"/>
          <w:sz w:val="19"/>
          <w:szCs w:val="19"/>
        </w:rPr>
        <w:t xml:space="preserve"> </w:t>
      </w:r>
      <w:r>
        <w:rPr>
          <w:rFonts w:ascii="Times New Roman" w:eastAsia="Times New Roman" w:hAnsi="Times New Roman"/>
          <w:spacing w:val="-3"/>
          <w:w w:val="105"/>
          <w:sz w:val="19"/>
          <w:szCs w:val="19"/>
        </w:rPr>
        <w:t>ao</w:t>
      </w:r>
      <w:r>
        <w:rPr>
          <w:rFonts w:ascii="Times New Roman" w:eastAsia="Times New Roman" w:hAnsi="Times New Roman"/>
          <w:spacing w:val="-6"/>
          <w:w w:val="105"/>
          <w:sz w:val="19"/>
          <w:szCs w:val="19"/>
        </w:rPr>
        <w:t xml:space="preserve"> </w:t>
      </w:r>
      <w:r>
        <w:rPr>
          <w:rFonts w:ascii="Times New Roman" w:eastAsia="Times New Roman" w:hAnsi="Times New Roman"/>
          <w:w w:val="105"/>
          <w:sz w:val="19"/>
          <w:szCs w:val="19"/>
        </w:rPr>
        <w:t>direito</w:t>
      </w:r>
      <w:r>
        <w:rPr>
          <w:rFonts w:ascii="Times New Roman" w:eastAsia="Times New Roman" w:hAnsi="Times New Roman"/>
          <w:spacing w:val="-6"/>
          <w:w w:val="105"/>
          <w:sz w:val="19"/>
          <w:szCs w:val="19"/>
        </w:rPr>
        <w:t xml:space="preserve"> </w:t>
      </w:r>
      <w:r>
        <w:rPr>
          <w:rFonts w:ascii="Times New Roman" w:eastAsia="Times New Roman" w:hAnsi="Times New Roman"/>
          <w:w w:val="105"/>
          <w:sz w:val="19"/>
          <w:szCs w:val="19"/>
        </w:rPr>
        <w:t>de</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a</w:t>
      </w:r>
      <w:r>
        <w:rPr>
          <w:rFonts w:ascii="Times New Roman" w:eastAsia="Times New Roman" w:hAnsi="Times New Roman"/>
          <w:spacing w:val="-13"/>
          <w:w w:val="105"/>
          <w:sz w:val="19"/>
          <w:szCs w:val="19"/>
        </w:rPr>
        <w:t xml:space="preserve"> </w:t>
      </w:r>
      <w:r>
        <w:rPr>
          <w:rFonts w:ascii="Times New Roman" w:eastAsia="Times New Roman" w:hAnsi="Times New Roman"/>
          <w:w w:val="105"/>
          <w:sz w:val="19"/>
          <w:szCs w:val="19"/>
        </w:rPr>
        <w:t>mulher</w:t>
      </w:r>
      <w:r>
        <w:rPr>
          <w:rFonts w:ascii="Times New Roman" w:eastAsia="Times New Roman" w:hAnsi="Times New Roman"/>
          <w:spacing w:val="-7"/>
          <w:w w:val="105"/>
          <w:sz w:val="19"/>
          <w:szCs w:val="19"/>
        </w:rPr>
        <w:t xml:space="preserve"> </w:t>
      </w:r>
      <w:r>
        <w:rPr>
          <w:rFonts w:ascii="Times New Roman" w:eastAsia="Times New Roman" w:hAnsi="Times New Roman"/>
          <w:w w:val="105"/>
          <w:sz w:val="19"/>
          <w:szCs w:val="19"/>
        </w:rPr>
        <w:t>decidir</w:t>
      </w:r>
      <w:r>
        <w:rPr>
          <w:rFonts w:ascii="Times New Roman" w:eastAsia="Times New Roman" w:hAnsi="Times New Roman"/>
          <w:spacing w:val="-7"/>
          <w:w w:val="105"/>
          <w:sz w:val="19"/>
          <w:szCs w:val="19"/>
        </w:rPr>
        <w:t xml:space="preserve"> </w:t>
      </w:r>
      <w:r>
        <w:rPr>
          <w:rFonts w:ascii="Times New Roman" w:eastAsia="Times New Roman" w:hAnsi="Times New Roman"/>
          <w:w w:val="105"/>
          <w:sz w:val="19"/>
          <w:szCs w:val="19"/>
        </w:rPr>
        <w:t>sobre</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seu</w:t>
      </w:r>
      <w:r>
        <w:rPr>
          <w:rFonts w:ascii="Times New Roman" w:eastAsia="Times New Roman" w:hAnsi="Times New Roman"/>
          <w:spacing w:val="-10"/>
          <w:w w:val="105"/>
          <w:sz w:val="19"/>
          <w:szCs w:val="19"/>
        </w:rPr>
        <w:t xml:space="preserve"> </w:t>
      </w:r>
      <w:r>
        <w:rPr>
          <w:rFonts w:ascii="Times New Roman" w:eastAsia="Times New Roman" w:hAnsi="Times New Roman"/>
          <w:w w:val="105"/>
          <w:sz w:val="19"/>
          <w:szCs w:val="19"/>
        </w:rPr>
        <w:t>próprio</w:t>
      </w:r>
      <w:r>
        <w:rPr>
          <w:rFonts w:ascii="Times New Roman" w:eastAsia="Times New Roman" w:hAnsi="Times New Roman"/>
          <w:spacing w:val="-10"/>
          <w:w w:val="105"/>
          <w:sz w:val="19"/>
          <w:szCs w:val="19"/>
        </w:rPr>
        <w:t xml:space="preserve"> </w:t>
      </w:r>
      <w:r>
        <w:rPr>
          <w:rFonts w:ascii="Times New Roman" w:eastAsia="Times New Roman" w:hAnsi="Times New Roman"/>
          <w:w w:val="105"/>
          <w:sz w:val="19"/>
          <w:szCs w:val="19"/>
        </w:rPr>
        <w:t>corpo”</w:t>
      </w:r>
      <w:r>
        <w:rPr>
          <w:rFonts w:ascii="Times New Roman" w:eastAsia="Times New Roman" w:hAnsi="Times New Roman"/>
          <w:spacing w:val="-15"/>
          <w:w w:val="105"/>
          <w:sz w:val="19"/>
          <w:szCs w:val="19"/>
        </w:rPr>
        <w:t xml:space="preserve"> </w:t>
      </w:r>
      <w:r>
        <w:rPr>
          <w:rFonts w:ascii="Times New Roman" w:eastAsia="Times New Roman" w:hAnsi="Times New Roman"/>
          <w:w w:val="105"/>
          <w:sz w:val="19"/>
          <w:szCs w:val="19"/>
        </w:rPr>
        <w:t>(Teles, 1993, p</w:t>
      </w:r>
      <w:r>
        <w:rPr>
          <w:rFonts w:ascii="Times New Roman" w:eastAsia="Times New Roman" w:hAnsi="Times New Roman"/>
          <w:spacing w:val="-28"/>
          <w:w w:val="105"/>
          <w:sz w:val="19"/>
          <w:szCs w:val="19"/>
        </w:rPr>
        <w:t xml:space="preserve"> </w:t>
      </w:r>
      <w:r>
        <w:rPr>
          <w:rFonts w:ascii="Times New Roman" w:eastAsia="Times New Roman" w:hAnsi="Times New Roman"/>
          <w:w w:val="105"/>
          <w:sz w:val="19"/>
          <w:szCs w:val="19"/>
        </w:rPr>
        <w:t>126).</w:t>
      </w:r>
    </w:p>
    <w:p w:rsidR="00CC7D10" w:rsidRDefault="00CC7D10" w:rsidP="00CC7D10">
      <w:pPr>
        <w:pStyle w:val="Corpodetexto"/>
        <w:spacing w:line="364" w:lineRule="auto"/>
        <w:ind w:right="98"/>
        <w:jc w:val="both"/>
      </w:pPr>
      <w:r>
        <w:t xml:space="preserve">Com o afastamento dos partidos de esquerda, </w:t>
      </w:r>
      <w:r>
        <w:rPr>
          <w:spacing w:val="-4"/>
        </w:rPr>
        <w:t xml:space="preserve">já </w:t>
      </w:r>
      <w:r>
        <w:t xml:space="preserve">a partir </w:t>
      </w:r>
      <w:r>
        <w:rPr>
          <w:spacing w:val="4"/>
        </w:rPr>
        <w:t xml:space="preserve">de </w:t>
      </w:r>
      <w:r>
        <w:t xml:space="preserve">1981, e o processo de abertura democrática, a fisionomia do movimento feminista é outra. Proliferaram dezenas de entidades feministas ligadas a Universidades, ONGs ou Conselhos Estaduais e Municipais da Mulher. Neste mesmo ano, acontece a fundação do </w:t>
      </w:r>
      <w:r>
        <w:rPr>
          <w:i/>
        </w:rPr>
        <w:t xml:space="preserve">Mulherio </w:t>
      </w:r>
      <w:r>
        <w:t xml:space="preserve">(uma das publicações feministas com maior tempo de existência, </w:t>
      </w:r>
      <w:r>
        <w:rPr>
          <w:spacing w:val="4"/>
        </w:rPr>
        <w:t xml:space="preserve">36 </w:t>
      </w:r>
      <w:r>
        <w:t xml:space="preserve">edições), periódico com posição feminista definida. Cada nova entidade feminista que surgia achou por bem fundar uma publicação para divulgar e debater suas idéias. A principal </w:t>
      </w:r>
      <w:r>
        <w:lastRenderedPageBreak/>
        <w:t xml:space="preserve">característica  dessas  entidades e desses jornais é a especialidade </w:t>
      </w:r>
      <w:r>
        <w:rPr>
          <w:spacing w:val="4"/>
        </w:rPr>
        <w:t xml:space="preserve">na </w:t>
      </w:r>
      <w:r>
        <w:t xml:space="preserve">questão de gênero </w:t>
      </w:r>
      <w:r>
        <w:rPr>
          <w:spacing w:val="3"/>
        </w:rPr>
        <w:t xml:space="preserve">e, </w:t>
      </w:r>
      <w:r>
        <w:t>dentro disso, a escolha de um tema específico:  violência,  saúde,  sexualidade,  educação,  pressão  política  para  as  causas  feministas,</w:t>
      </w:r>
      <w:r>
        <w:rPr>
          <w:spacing w:val="50"/>
        </w:rPr>
        <w:t xml:space="preserve"> </w:t>
      </w:r>
      <w:r>
        <w:t>entre</w:t>
      </w: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16"/>
          <w:szCs w:val="16"/>
        </w:rPr>
      </w:pPr>
      <w:r w:rsidRPr="00CC7D10">
        <w:rPr>
          <w:lang w:val="en-US"/>
        </w:rPr>
        <w:pict>
          <v:group id="_x0000_s1045" style="position:absolute;left:0;text-align:left;margin-left:68.9pt;margin-top:10.55pt;width:140.2pt;height:.1pt;z-index:251625984;mso-wrap-distance-left:0;mso-wrap-distance-right:0;mso-position-horizontal-relative:page" coordorigin="1378,211" coordsize="2804,2">
            <v:shape id="_x0000_s1046" style="position:absolute;left:1378;top:211;width:2804;height:2" coordorigin="1378,211" coordsize="2804,0" path="m1378,211r2803,e" filled="f" strokeweight=".25367mm">
              <v:path arrowok="t"/>
            </v:shape>
            <w10:wrap type="topAndBottom" anchorx="page"/>
          </v:group>
        </w:pict>
      </w:r>
    </w:p>
    <w:p w:rsidR="00CC7D10" w:rsidRDefault="00CC7D10" w:rsidP="00CC7D10">
      <w:pPr>
        <w:spacing w:before="66"/>
        <w:ind w:left="116"/>
        <w:rPr>
          <w:rFonts w:ascii="Times New Roman" w:eastAsia="Times New Roman" w:hAnsi="Times New Roman"/>
          <w:sz w:val="15"/>
          <w:szCs w:val="15"/>
        </w:rPr>
      </w:pPr>
      <w:r>
        <w:rPr>
          <w:rFonts w:ascii="Times New Roman"/>
          <w:w w:val="105"/>
          <w:position w:val="7"/>
          <w:sz w:val="10"/>
        </w:rPr>
        <w:t>7</w:t>
      </w:r>
      <w:r>
        <w:rPr>
          <w:rFonts w:ascii="Times New Roman"/>
          <w:spacing w:val="3"/>
          <w:w w:val="105"/>
          <w:position w:val="7"/>
          <w:sz w:val="10"/>
        </w:rPr>
        <w:t xml:space="preserve"> </w:t>
      </w:r>
      <w:r>
        <w:rPr>
          <w:rFonts w:ascii="Times New Roman"/>
          <w:w w:val="105"/>
          <w:sz w:val="15"/>
        </w:rPr>
        <w:t>Para</w:t>
      </w:r>
      <w:r>
        <w:rPr>
          <w:rFonts w:ascii="Times New Roman"/>
          <w:spacing w:val="-7"/>
          <w:w w:val="105"/>
          <w:sz w:val="15"/>
        </w:rPr>
        <w:t xml:space="preserve"> </w:t>
      </w:r>
      <w:r>
        <w:rPr>
          <w:rFonts w:ascii="Times New Roman"/>
          <w:w w:val="105"/>
          <w:sz w:val="15"/>
        </w:rPr>
        <w:t>saber mais</w:t>
      </w:r>
      <w:r>
        <w:rPr>
          <w:rFonts w:ascii="Times New Roman"/>
          <w:spacing w:val="-7"/>
          <w:w w:val="105"/>
          <w:sz w:val="15"/>
        </w:rPr>
        <w:t xml:space="preserve"> </w:t>
      </w:r>
      <w:r>
        <w:rPr>
          <w:rFonts w:ascii="Times New Roman"/>
          <w:w w:val="105"/>
          <w:sz w:val="15"/>
        </w:rPr>
        <w:t>sobre</w:t>
      </w:r>
      <w:r>
        <w:rPr>
          <w:rFonts w:ascii="Times New Roman"/>
          <w:spacing w:val="-7"/>
          <w:w w:val="105"/>
          <w:sz w:val="15"/>
        </w:rPr>
        <w:t xml:space="preserve"> </w:t>
      </w:r>
      <w:r>
        <w:rPr>
          <w:rFonts w:ascii="Times New Roman"/>
          <w:w w:val="105"/>
          <w:sz w:val="15"/>
        </w:rPr>
        <w:t>o</w:t>
      </w:r>
      <w:r>
        <w:rPr>
          <w:rFonts w:ascii="Times New Roman"/>
          <w:spacing w:val="-14"/>
          <w:w w:val="105"/>
          <w:sz w:val="15"/>
        </w:rPr>
        <w:t xml:space="preserve"> </w:t>
      </w:r>
      <w:r>
        <w:rPr>
          <w:rFonts w:ascii="Times New Roman"/>
          <w:spacing w:val="3"/>
          <w:w w:val="105"/>
          <w:sz w:val="15"/>
        </w:rPr>
        <w:t>II</w:t>
      </w:r>
      <w:r>
        <w:rPr>
          <w:rFonts w:ascii="Times New Roman"/>
          <w:spacing w:val="-12"/>
          <w:w w:val="105"/>
          <w:sz w:val="15"/>
        </w:rPr>
        <w:t xml:space="preserve"> </w:t>
      </w:r>
      <w:r>
        <w:rPr>
          <w:rFonts w:ascii="Times New Roman"/>
          <w:w w:val="105"/>
          <w:sz w:val="15"/>
        </w:rPr>
        <w:t>Congresso</w:t>
      </w:r>
      <w:r>
        <w:rPr>
          <w:rFonts w:ascii="Times New Roman"/>
          <w:spacing w:val="-6"/>
          <w:w w:val="105"/>
          <w:sz w:val="15"/>
        </w:rPr>
        <w:t xml:space="preserve"> </w:t>
      </w:r>
      <w:r>
        <w:rPr>
          <w:rFonts w:ascii="Times New Roman"/>
          <w:w w:val="105"/>
          <w:sz w:val="15"/>
        </w:rPr>
        <w:t>da</w:t>
      </w:r>
      <w:r>
        <w:rPr>
          <w:rFonts w:ascii="Times New Roman"/>
          <w:spacing w:val="-11"/>
          <w:w w:val="105"/>
          <w:sz w:val="15"/>
        </w:rPr>
        <w:t xml:space="preserve"> </w:t>
      </w:r>
      <w:r>
        <w:rPr>
          <w:rFonts w:ascii="Times New Roman"/>
          <w:w w:val="105"/>
          <w:sz w:val="15"/>
        </w:rPr>
        <w:t>Mulher</w:t>
      </w:r>
      <w:r>
        <w:rPr>
          <w:rFonts w:ascii="Times New Roman"/>
          <w:spacing w:val="-8"/>
          <w:w w:val="105"/>
          <w:sz w:val="15"/>
        </w:rPr>
        <w:t xml:space="preserve"> </w:t>
      </w:r>
      <w:r>
        <w:rPr>
          <w:rFonts w:ascii="Times New Roman"/>
          <w:w w:val="105"/>
          <w:sz w:val="15"/>
        </w:rPr>
        <w:t>Paulista,</w:t>
      </w:r>
      <w:r>
        <w:rPr>
          <w:rFonts w:ascii="Times New Roman"/>
          <w:spacing w:val="-10"/>
          <w:w w:val="105"/>
          <w:sz w:val="15"/>
        </w:rPr>
        <w:t xml:space="preserve"> </w:t>
      </w:r>
      <w:r>
        <w:rPr>
          <w:rFonts w:ascii="Times New Roman"/>
          <w:w w:val="105"/>
          <w:sz w:val="15"/>
        </w:rPr>
        <w:t>consultar</w:t>
      </w:r>
      <w:r>
        <w:rPr>
          <w:rFonts w:ascii="Times New Roman"/>
          <w:spacing w:val="-8"/>
          <w:w w:val="105"/>
          <w:sz w:val="15"/>
        </w:rPr>
        <w:t xml:space="preserve"> </w:t>
      </w:r>
      <w:r>
        <w:rPr>
          <w:rFonts w:ascii="Times New Roman"/>
          <w:w w:val="105"/>
          <w:sz w:val="15"/>
        </w:rPr>
        <w:t>Nehring,</w:t>
      </w:r>
      <w:r>
        <w:rPr>
          <w:rFonts w:ascii="Times New Roman"/>
          <w:spacing w:val="-13"/>
          <w:w w:val="105"/>
          <w:sz w:val="15"/>
        </w:rPr>
        <w:t xml:space="preserve"> </w:t>
      </w:r>
      <w:r>
        <w:rPr>
          <w:rFonts w:ascii="Times New Roman"/>
          <w:w w:val="105"/>
          <w:sz w:val="15"/>
        </w:rPr>
        <w:t>1981.</w:t>
      </w:r>
    </w:p>
    <w:p w:rsidR="00CC7D10" w:rsidRDefault="00CC7D10" w:rsidP="00CC7D10">
      <w:pPr>
        <w:rPr>
          <w:rFonts w:ascii="Times New Roman" w:eastAsia="Times New Roman" w:hAnsi="Times New Roman"/>
          <w:sz w:val="15"/>
          <w:szCs w:val="15"/>
        </w:rPr>
        <w:sectPr w:rsidR="00CC7D10">
          <w:pgSz w:w="11900" w:h="16840"/>
          <w:pgMar w:top="1600" w:right="126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spacing w:before="9"/>
        <w:rPr>
          <w:rFonts w:ascii="Times New Roman" w:eastAsia="Times New Roman" w:hAnsi="Times New Roman"/>
          <w:sz w:val="15"/>
          <w:szCs w:val="15"/>
        </w:rPr>
      </w:pPr>
    </w:p>
    <w:p w:rsidR="00CC7D10" w:rsidRDefault="00CC7D10" w:rsidP="00CC7D10">
      <w:pPr>
        <w:pStyle w:val="Corpodetexto"/>
        <w:spacing w:before="73" w:line="338" w:lineRule="auto"/>
        <w:ind w:firstLine="0"/>
      </w:pPr>
      <w:r>
        <w:t>outros. Fenômeno que explica o surgimento de inúmeros títulos feministas durante o período da segunda geração</w:t>
      </w:r>
      <w:r>
        <w:rPr>
          <w:position w:val="11"/>
          <w:sz w:val="15"/>
        </w:rPr>
        <w:t>8</w:t>
      </w:r>
      <w:r>
        <w:t>.</w:t>
      </w:r>
    </w:p>
    <w:p w:rsidR="00CC7D10" w:rsidRDefault="00CC7D10" w:rsidP="00CC7D10">
      <w:pPr>
        <w:spacing w:before="8"/>
        <w:rPr>
          <w:rFonts w:ascii="Times New Roman" w:eastAsia="Times New Roman" w:hAnsi="Times New Roman"/>
          <w:sz w:val="36"/>
          <w:szCs w:val="36"/>
        </w:rPr>
      </w:pPr>
    </w:p>
    <w:p w:rsidR="00CC7D10" w:rsidRDefault="00CC7D10" w:rsidP="00CC7D10">
      <w:pPr>
        <w:pStyle w:val="Ttulo1"/>
        <w:rPr>
          <w:b w:val="0"/>
          <w:bCs w:val="0"/>
        </w:rPr>
      </w:pPr>
      <w:r>
        <w:t xml:space="preserve">Imprensa feminista: um fenômeno </w:t>
      </w:r>
      <w:r>
        <w:rPr>
          <w:spacing w:val="5"/>
        </w:rPr>
        <w:t xml:space="preserve"> </w:t>
      </w:r>
      <w:r>
        <w:t>nacional</w:t>
      </w:r>
    </w:p>
    <w:p w:rsidR="00CC7D10" w:rsidRDefault="00CC7D10" w:rsidP="00CC7D10">
      <w:pPr>
        <w:pStyle w:val="Corpodetexto"/>
        <w:spacing w:before="25" w:line="404" w:lineRule="exact"/>
        <w:ind w:right="100"/>
        <w:jc w:val="both"/>
      </w:pPr>
      <w:r>
        <w:t xml:space="preserve">Do total de 75 títulos feministas, nenhum foi sediado na região Norte; sete títulos foram editados  na região Sul (cinco no Paraná e dois no Rio Grande do Sul); oito títulos originários </w:t>
      </w:r>
      <w:r>
        <w:rPr>
          <w:spacing w:val="4"/>
        </w:rPr>
        <w:t xml:space="preserve">da </w:t>
      </w:r>
      <w:r>
        <w:t xml:space="preserve">região Centro- Oeste (cinco do Distrito Federal, um do </w:t>
      </w:r>
      <w:r>
        <w:rPr>
          <w:spacing w:val="-3"/>
        </w:rPr>
        <w:t xml:space="preserve">Mato </w:t>
      </w:r>
      <w:r>
        <w:t xml:space="preserve">Grosso e dois de Goiás);  foram  encontradas  12  publicações feministas editadas na região Nordeste (cinco em Pernambuco, três na Bahia, uma em Piauí, uma </w:t>
      </w:r>
      <w:r>
        <w:rPr>
          <w:spacing w:val="4"/>
        </w:rPr>
        <w:t xml:space="preserve">na </w:t>
      </w:r>
      <w:r>
        <w:t xml:space="preserve">Paraíba e duas no Rio Grande do Norte); e 46 títulos feministas foram publicados na região Sudeste (29 </w:t>
      </w:r>
      <w:r>
        <w:rPr>
          <w:spacing w:val="4"/>
        </w:rPr>
        <w:t xml:space="preserve">na </w:t>
      </w:r>
      <w:r>
        <w:t>capital paulista</w:t>
      </w:r>
      <w:r>
        <w:rPr>
          <w:position w:val="11"/>
          <w:sz w:val="15"/>
        </w:rPr>
        <w:t>9</w:t>
      </w:r>
      <w:r>
        <w:t xml:space="preserve">, seis </w:t>
      </w:r>
      <w:r>
        <w:rPr>
          <w:spacing w:val="4"/>
        </w:rPr>
        <w:t xml:space="preserve">na </w:t>
      </w:r>
      <w:r>
        <w:t xml:space="preserve">região do ABCD, três no interior de São Paulo, quatro no </w:t>
      </w:r>
      <w:r>
        <w:rPr>
          <w:spacing w:val="-2"/>
        </w:rPr>
        <w:t xml:space="preserve">Rio </w:t>
      </w:r>
      <w:r>
        <w:t xml:space="preserve">de Janeiro e quatro </w:t>
      </w:r>
      <w:r>
        <w:rPr>
          <w:spacing w:val="3"/>
        </w:rPr>
        <w:t xml:space="preserve">em </w:t>
      </w:r>
      <w:r>
        <w:t xml:space="preserve">Belo Horizonte). Além de </w:t>
      </w:r>
      <w:r>
        <w:rPr>
          <w:spacing w:val="4"/>
        </w:rPr>
        <w:t xml:space="preserve">um </w:t>
      </w:r>
      <w:r>
        <w:t>jornal editado em Paris, França, e outro sem procedência declarada. Ver gráficos 1 e</w:t>
      </w:r>
      <w:r>
        <w:rPr>
          <w:spacing w:val="54"/>
        </w:rPr>
        <w:t xml:space="preserve"> </w:t>
      </w:r>
      <w:r>
        <w:t>2.</w:t>
      </w:r>
    </w:p>
    <w:p w:rsidR="00CC7D10" w:rsidRDefault="00CC7D10" w:rsidP="00CC7D10">
      <w:pPr>
        <w:pStyle w:val="Corpodetexto"/>
        <w:spacing w:before="103" w:line="364" w:lineRule="auto"/>
        <w:ind w:right="100"/>
        <w:jc w:val="both"/>
      </w:pPr>
      <w:r>
        <w:t xml:space="preserve">Segundo o acervo aqui estudado, São Paulo, Minas Gerais, Paraná e Pernambuco tiveram publicações fora de suas capitais. Em </w:t>
      </w:r>
      <w:r>
        <w:rPr>
          <w:spacing w:val="-3"/>
        </w:rPr>
        <w:t xml:space="preserve">São  </w:t>
      </w:r>
      <w:r>
        <w:t xml:space="preserve">Paulo, a cidade de Campinas editou dois periódicos; a cidade   de Lins, </w:t>
      </w:r>
      <w:r>
        <w:rPr>
          <w:spacing w:val="2"/>
        </w:rPr>
        <w:t xml:space="preserve">um; </w:t>
      </w:r>
      <w:r>
        <w:t xml:space="preserve">São Bernardo, três; Santo André, dois, Diadema, um. Em Minas Gerais, a cidade de Juiz de Fora editou um periódico feminista. </w:t>
      </w:r>
      <w:r>
        <w:rPr>
          <w:spacing w:val="-3"/>
        </w:rPr>
        <w:t xml:space="preserve">No </w:t>
      </w:r>
      <w:r>
        <w:t xml:space="preserve">Paraná, a cidade de Londrina sediou </w:t>
      </w:r>
      <w:r>
        <w:rPr>
          <w:spacing w:val="4"/>
        </w:rPr>
        <w:t xml:space="preserve">um </w:t>
      </w:r>
      <w:r>
        <w:t xml:space="preserve">jornal feminista. E, em Pernambuco, a cidade do Cabo editou um periódico </w:t>
      </w:r>
      <w:r>
        <w:rPr>
          <w:spacing w:val="14"/>
        </w:rPr>
        <w:t xml:space="preserve"> </w:t>
      </w:r>
      <w:r>
        <w:t>feminista.</w:t>
      </w:r>
    </w:p>
    <w:p w:rsidR="00CC7D10" w:rsidRDefault="00CC7D10" w:rsidP="001431E7">
      <w:pPr>
        <w:pStyle w:val="Corpodetexto"/>
        <w:spacing w:before="11" w:line="364" w:lineRule="auto"/>
        <w:ind w:right="101"/>
        <w:jc w:val="both"/>
        <w:rPr>
          <w:sz w:val="20"/>
          <w:szCs w:val="20"/>
        </w:rPr>
      </w:pPr>
      <w:r>
        <w:t xml:space="preserve">Podemos concluir destes resultados que </w:t>
      </w:r>
      <w:r>
        <w:rPr>
          <w:spacing w:val="-3"/>
        </w:rPr>
        <w:t xml:space="preserve">se </w:t>
      </w:r>
      <w:r>
        <w:t xml:space="preserve">de um lado eles confirmam a concentração </w:t>
      </w:r>
      <w:r>
        <w:rPr>
          <w:spacing w:val="4"/>
        </w:rPr>
        <w:t xml:space="preserve">de  </w:t>
      </w:r>
      <w:r>
        <w:t xml:space="preserve">periódicos </w:t>
      </w:r>
      <w:r>
        <w:rPr>
          <w:spacing w:val="4"/>
        </w:rPr>
        <w:t xml:space="preserve">na </w:t>
      </w:r>
      <w:r>
        <w:t xml:space="preserve">região Sudeste, São Paulo, </w:t>
      </w:r>
      <w:r>
        <w:rPr>
          <w:spacing w:val="2"/>
        </w:rPr>
        <w:t xml:space="preserve">por </w:t>
      </w:r>
      <w:r>
        <w:t xml:space="preserve">outro lado revelam </w:t>
      </w:r>
      <w:r>
        <w:rPr>
          <w:spacing w:val="4"/>
        </w:rPr>
        <w:t xml:space="preserve">um </w:t>
      </w:r>
      <w:r>
        <w:t xml:space="preserve">número considerável de publicações no interior do Brasil e, principalmente, </w:t>
      </w:r>
      <w:r>
        <w:rPr>
          <w:spacing w:val="-3"/>
        </w:rPr>
        <w:t xml:space="preserve">fora </w:t>
      </w:r>
      <w:r>
        <w:t>das capitais nacionais, mostrando uma importante ação feminista no interior e nas cidades</w:t>
      </w:r>
      <w:r>
        <w:rPr>
          <w:spacing w:val="53"/>
        </w:rPr>
        <w:t xml:space="preserve"> </w:t>
      </w:r>
      <w:r>
        <w:t>menores.</w:t>
      </w: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spacing w:before="6"/>
        <w:rPr>
          <w:rFonts w:ascii="Times New Roman" w:eastAsia="Times New Roman" w:hAnsi="Times New Roman"/>
          <w:sz w:val="10"/>
          <w:szCs w:val="10"/>
        </w:rPr>
      </w:pPr>
      <w:r w:rsidRPr="00CC7D10">
        <w:rPr>
          <w:lang w:val="en-US"/>
        </w:rPr>
        <w:pict>
          <v:group id="_x0000_s1047" style="position:absolute;left:0;text-align:left;margin-left:68.9pt;margin-top:7.4pt;width:140.2pt;height:.1pt;z-index:251627008;mso-wrap-distance-left:0;mso-wrap-distance-right:0;mso-position-horizontal-relative:page" coordorigin="1378,148" coordsize="2804,2">
            <v:shape id="_x0000_s1048" style="position:absolute;left:1378;top:148;width:2804;height:2" coordorigin="1378,148" coordsize="2804,0" path="m1378,148r2803,e" filled="f" strokeweight=".25367mm">
              <v:path arrowok="t"/>
            </v:shape>
            <w10:wrap type="topAndBottom" anchorx="page"/>
          </v:group>
        </w:pict>
      </w:r>
    </w:p>
    <w:p w:rsidR="00CC7D10" w:rsidRDefault="00CC7D10" w:rsidP="00CC7D10">
      <w:pPr>
        <w:spacing w:before="66" w:line="252" w:lineRule="auto"/>
        <w:ind w:left="116"/>
        <w:rPr>
          <w:rFonts w:ascii="Times New Roman" w:eastAsia="Times New Roman" w:hAnsi="Times New Roman"/>
          <w:sz w:val="15"/>
          <w:szCs w:val="15"/>
        </w:rPr>
      </w:pPr>
      <w:r>
        <w:rPr>
          <w:rFonts w:ascii="Times New Roman" w:hAnsi="Times New Roman"/>
          <w:w w:val="105"/>
          <w:position w:val="7"/>
          <w:sz w:val="10"/>
        </w:rPr>
        <w:lastRenderedPageBreak/>
        <w:t xml:space="preserve">8 </w:t>
      </w:r>
      <w:r>
        <w:rPr>
          <w:rFonts w:ascii="Times New Roman" w:hAnsi="Times New Roman"/>
          <w:w w:val="105"/>
          <w:sz w:val="15"/>
        </w:rPr>
        <w:t xml:space="preserve">As características </w:t>
      </w:r>
      <w:r>
        <w:rPr>
          <w:rFonts w:ascii="Times New Roman" w:hAnsi="Times New Roman"/>
          <w:spacing w:val="-3"/>
          <w:w w:val="105"/>
          <w:sz w:val="15"/>
        </w:rPr>
        <w:t xml:space="preserve">da </w:t>
      </w:r>
      <w:r>
        <w:rPr>
          <w:rFonts w:ascii="Times New Roman" w:hAnsi="Times New Roman"/>
          <w:w w:val="105"/>
          <w:sz w:val="15"/>
        </w:rPr>
        <w:t xml:space="preserve">primeira e da segunda geração são mais discutidas </w:t>
      </w:r>
      <w:r>
        <w:rPr>
          <w:rFonts w:ascii="Times New Roman" w:hAnsi="Times New Roman"/>
          <w:spacing w:val="-3"/>
          <w:w w:val="105"/>
          <w:sz w:val="15"/>
        </w:rPr>
        <w:t xml:space="preserve">na </w:t>
      </w:r>
      <w:r>
        <w:rPr>
          <w:rFonts w:ascii="Times New Roman" w:hAnsi="Times New Roman"/>
          <w:w w:val="105"/>
          <w:sz w:val="15"/>
        </w:rPr>
        <w:t>dissertação de mestrado, onde há quatro estudos de casos envolvendo duas publicações</w:t>
      </w:r>
      <w:r>
        <w:rPr>
          <w:rFonts w:ascii="Times New Roman" w:hAnsi="Times New Roman"/>
          <w:spacing w:val="-12"/>
          <w:w w:val="105"/>
          <w:sz w:val="15"/>
        </w:rPr>
        <w:t xml:space="preserve"> </w:t>
      </w:r>
      <w:r>
        <w:rPr>
          <w:rFonts w:ascii="Times New Roman" w:hAnsi="Times New Roman"/>
          <w:w w:val="105"/>
          <w:sz w:val="15"/>
        </w:rPr>
        <w:t>de</w:t>
      </w:r>
      <w:r>
        <w:rPr>
          <w:rFonts w:ascii="Times New Roman" w:hAnsi="Times New Roman"/>
          <w:spacing w:val="-11"/>
          <w:w w:val="105"/>
          <w:sz w:val="15"/>
        </w:rPr>
        <w:t xml:space="preserve"> </w:t>
      </w:r>
      <w:r>
        <w:rPr>
          <w:rFonts w:ascii="Times New Roman" w:hAnsi="Times New Roman"/>
          <w:w w:val="105"/>
          <w:sz w:val="15"/>
        </w:rPr>
        <w:t>cada</w:t>
      </w:r>
      <w:r>
        <w:rPr>
          <w:rFonts w:ascii="Times New Roman" w:hAnsi="Times New Roman"/>
          <w:spacing w:val="-7"/>
          <w:w w:val="105"/>
          <w:sz w:val="15"/>
        </w:rPr>
        <w:t xml:space="preserve"> </w:t>
      </w:r>
      <w:r>
        <w:rPr>
          <w:rFonts w:ascii="Times New Roman" w:hAnsi="Times New Roman"/>
          <w:w w:val="105"/>
          <w:sz w:val="15"/>
        </w:rPr>
        <w:t>geração,</w:t>
      </w:r>
      <w:r>
        <w:rPr>
          <w:rFonts w:ascii="Times New Roman" w:hAnsi="Times New Roman"/>
          <w:spacing w:val="-14"/>
          <w:w w:val="105"/>
          <w:sz w:val="15"/>
        </w:rPr>
        <w:t xml:space="preserve"> </w:t>
      </w:r>
      <w:r>
        <w:rPr>
          <w:rFonts w:ascii="Times New Roman" w:hAnsi="Times New Roman"/>
          <w:i/>
          <w:w w:val="105"/>
          <w:sz w:val="15"/>
        </w:rPr>
        <w:t>Nosotras</w:t>
      </w:r>
      <w:r>
        <w:rPr>
          <w:rFonts w:ascii="Times New Roman" w:hAnsi="Times New Roman"/>
          <w:w w:val="105"/>
          <w:sz w:val="15"/>
        </w:rPr>
        <w:t>,</w:t>
      </w:r>
      <w:r>
        <w:rPr>
          <w:rFonts w:ascii="Times New Roman" w:hAnsi="Times New Roman"/>
          <w:spacing w:val="-14"/>
          <w:w w:val="105"/>
          <w:sz w:val="15"/>
        </w:rPr>
        <w:t xml:space="preserve"> </w:t>
      </w:r>
      <w:r>
        <w:rPr>
          <w:rFonts w:ascii="Times New Roman" w:hAnsi="Times New Roman"/>
          <w:i/>
          <w:w w:val="105"/>
          <w:sz w:val="15"/>
        </w:rPr>
        <w:t>Brasil</w:t>
      </w:r>
      <w:r>
        <w:rPr>
          <w:rFonts w:ascii="Times New Roman" w:hAnsi="Times New Roman"/>
          <w:i/>
          <w:spacing w:val="-13"/>
          <w:w w:val="105"/>
          <w:sz w:val="15"/>
        </w:rPr>
        <w:t xml:space="preserve"> </w:t>
      </w:r>
      <w:r>
        <w:rPr>
          <w:rFonts w:ascii="Times New Roman" w:hAnsi="Times New Roman"/>
          <w:i/>
          <w:w w:val="105"/>
          <w:sz w:val="15"/>
        </w:rPr>
        <w:t>Mulher</w:t>
      </w:r>
      <w:r>
        <w:rPr>
          <w:rFonts w:ascii="Times New Roman" w:hAnsi="Times New Roman"/>
          <w:w w:val="105"/>
          <w:sz w:val="15"/>
        </w:rPr>
        <w:t>,</w:t>
      </w:r>
      <w:r>
        <w:rPr>
          <w:rFonts w:ascii="Times New Roman" w:hAnsi="Times New Roman"/>
          <w:spacing w:val="-10"/>
          <w:w w:val="105"/>
          <w:sz w:val="15"/>
        </w:rPr>
        <w:t xml:space="preserve"> </w:t>
      </w:r>
      <w:r>
        <w:rPr>
          <w:rFonts w:ascii="Times New Roman" w:hAnsi="Times New Roman"/>
          <w:i/>
          <w:w w:val="105"/>
          <w:sz w:val="15"/>
        </w:rPr>
        <w:t>Chanacomchana</w:t>
      </w:r>
      <w:r>
        <w:rPr>
          <w:rFonts w:ascii="Times New Roman" w:hAnsi="Times New Roman"/>
          <w:i/>
          <w:spacing w:val="-14"/>
          <w:w w:val="105"/>
          <w:sz w:val="15"/>
        </w:rPr>
        <w:t xml:space="preserve"> </w:t>
      </w:r>
      <w:r>
        <w:rPr>
          <w:rFonts w:ascii="Times New Roman" w:hAnsi="Times New Roman"/>
          <w:w w:val="105"/>
          <w:sz w:val="15"/>
        </w:rPr>
        <w:t>e</w:t>
      </w:r>
      <w:r>
        <w:rPr>
          <w:rFonts w:ascii="Times New Roman" w:hAnsi="Times New Roman"/>
          <w:spacing w:val="-14"/>
          <w:w w:val="105"/>
          <w:sz w:val="15"/>
        </w:rPr>
        <w:t xml:space="preserve"> </w:t>
      </w:r>
      <w:r>
        <w:rPr>
          <w:rFonts w:ascii="Times New Roman" w:hAnsi="Times New Roman"/>
          <w:i/>
          <w:w w:val="105"/>
          <w:sz w:val="15"/>
        </w:rPr>
        <w:t>Fêmea</w:t>
      </w:r>
      <w:r>
        <w:rPr>
          <w:rFonts w:ascii="Times New Roman" w:hAnsi="Times New Roman"/>
          <w:w w:val="105"/>
          <w:sz w:val="15"/>
        </w:rPr>
        <w:t>.</w:t>
      </w:r>
    </w:p>
    <w:p w:rsidR="00CC7D10" w:rsidRDefault="00CC7D10" w:rsidP="00CC7D10">
      <w:pPr>
        <w:spacing w:before="2"/>
        <w:rPr>
          <w:rFonts w:ascii="Times New Roman" w:eastAsia="Times New Roman" w:hAnsi="Times New Roman"/>
          <w:sz w:val="13"/>
          <w:szCs w:val="13"/>
        </w:rPr>
      </w:pPr>
    </w:p>
    <w:p w:rsidR="00CC7D10" w:rsidRDefault="00CC7D10" w:rsidP="00CC7D10">
      <w:pPr>
        <w:ind w:left="116"/>
        <w:rPr>
          <w:rFonts w:ascii="Times New Roman" w:eastAsia="Times New Roman" w:hAnsi="Times New Roman"/>
          <w:sz w:val="15"/>
          <w:szCs w:val="15"/>
        </w:rPr>
      </w:pPr>
      <w:r>
        <w:rPr>
          <w:rFonts w:ascii="Times New Roman" w:hAnsi="Times New Roman"/>
          <w:w w:val="105"/>
          <w:position w:val="7"/>
          <w:sz w:val="10"/>
        </w:rPr>
        <w:t>9</w:t>
      </w:r>
      <w:r>
        <w:rPr>
          <w:rFonts w:ascii="Times New Roman" w:hAnsi="Times New Roman"/>
          <w:spacing w:val="4"/>
          <w:w w:val="105"/>
          <w:position w:val="7"/>
          <w:sz w:val="10"/>
        </w:rPr>
        <w:t xml:space="preserve"> </w:t>
      </w:r>
      <w:r>
        <w:rPr>
          <w:rFonts w:ascii="Times New Roman" w:hAnsi="Times New Roman"/>
          <w:w w:val="105"/>
          <w:sz w:val="15"/>
        </w:rPr>
        <w:t>O</w:t>
      </w:r>
      <w:r>
        <w:rPr>
          <w:rFonts w:ascii="Times New Roman" w:hAnsi="Times New Roman"/>
          <w:spacing w:val="-9"/>
          <w:w w:val="105"/>
          <w:sz w:val="15"/>
        </w:rPr>
        <w:t xml:space="preserve"> </w:t>
      </w:r>
      <w:r>
        <w:rPr>
          <w:rFonts w:ascii="Times New Roman" w:hAnsi="Times New Roman"/>
          <w:w w:val="105"/>
          <w:sz w:val="15"/>
        </w:rPr>
        <w:t>jornal</w:t>
      </w:r>
      <w:r>
        <w:rPr>
          <w:rFonts w:ascii="Times New Roman" w:hAnsi="Times New Roman"/>
          <w:spacing w:val="-5"/>
          <w:w w:val="105"/>
          <w:sz w:val="15"/>
        </w:rPr>
        <w:t xml:space="preserve"> </w:t>
      </w:r>
      <w:r>
        <w:rPr>
          <w:rFonts w:ascii="Times New Roman" w:hAnsi="Times New Roman"/>
          <w:i/>
          <w:w w:val="105"/>
          <w:sz w:val="15"/>
        </w:rPr>
        <w:t>Brasil</w:t>
      </w:r>
      <w:r>
        <w:rPr>
          <w:rFonts w:ascii="Times New Roman" w:hAnsi="Times New Roman"/>
          <w:i/>
          <w:spacing w:val="-8"/>
          <w:w w:val="105"/>
          <w:sz w:val="15"/>
        </w:rPr>
        <w:t xml:space="preserve"> </w:t>
      </w:r>
      <w:r>
        <w:rPr>
          <w:rFonts w:ascii="Times New Roman" w:hAnsi="Times New Roman"/>
          <w:i/>
          <w:w w:val="105"/>
          <w:sz w:val="15"/>
        </w:rPr>
        <w:t>Mulher</w:t>
      </w:r>
      <w:r>
        <w:rPr>
          <w:rFonts w:ascii="Times New Roman" w:hAnsi="Times New Roman"/>
          <w:i/>
          <w:spacing w:val="-11"/>
          <w:w w:val="105"/>
          <w:sz w:val="15"/>
        </w:rPr>
        <w:t xml:space="preserve"> </w:t>
      </w:r>
      <w:r>
        <w:rPr>
          <w:rFonts w:ascii="Times New Roman" w:hAnsi="Times New Roman"/>
          <w:w w:val="105"/>
          <w:sz w:val="15"/>
        </w:rPr>
        <w:t>foi</w:t>
      </w:r>
      <w:r>
        <w:rPr>
          <w:rFonts w:ascii="Times New Roman" w:hAnsi="Times New Roman"/>
          <w:spacing w:val="-8"/>
          <w:w w:val="105"/>
          <w:sz w:val="15"/>
        </w:rPr>
        <w:t xml:space="preserve"> </w:t>
      </w:r>
      <w:r>
        <w:rPr>
          <w:rFonts w:ascii="Times New Roman" w:hAnsi="Times New Roman"/>
          <w:w w:val="105"/>
          <w:sz w:val="15"/>
        </w:rPr>
        <w:t>contabilizado</w:t>
      </w:r>
      <w:r>
        <w:rPr>
          <w:rFonts w:ascii="Times New Roman" w:hAnsi="Times New Roman"/>
          <w:spacing w:val="-9"/>
          <w:w w:val="105"/>
          <w:sz w:val="15"/>
        </w:rPr>
        <w:t xml:space="preserve"> </w:t>
      </w:r>
      <w:r>
        <w:rPr>
          <w:rFonts w:ascii="Times New Roman" w:hAnsi="Times New Roman"/>
          <w:w w:val="105"/>
          <w:sz w:val="15"/>
        </w:rPr>
        <w:t>na</w:t>
      </w:r>
      <w:r>
        <w:rPr>
          <w:rFonts w:ascii="Times New Roman" w:hAnsi="Times New Roman"/>
          <w:spacing w:val="-6"/>
          <w:w w:val="105"/>
          <w:sz w:val="15"/>
        </w:rPr>
        <w:t xml:space="preserve"> </w:t>
      </w:r>
      <w:r>
        <w:rPr>
          <w:rFonts w:ascii="Times New Roman" w:hAnsi="Times New Roman"/>
          <w:w w:val="105"/>
          <w:sz w:val="15"/>
        </w:rPr>
        <w:t>capital</w:t>
      </w:r>
      <w:r>
        <w:rPr>
          <w:rFonts w:ascii="Times New Roman" w:hAnsi="Times New Roman"/>
          <w:spacing w:val="-8"/>
          <w:w w:val="105"/>
          <w:sz w:val="15"/>
        </w:rPr>
        <w:t xml:space="preserve"> </w:t>
      </w:r>
      <w:r>
        <w:rPr>
          <w:rFonts w:ascii="Times New Roman" w:hAnsi="Times New Roman"/>
          <w:w w:val="105"/>
          <w:sz w:val="15"/>
        </w:rPr>
        <w:t>paulista</w:t>
      </w:r>
      <w:r>
        <w:rPr>
          <w:rFonts w:ascii="Times New Roman" w:hAnsi="Times New Roman"/>
          <w:spacing w:val="-10"/>
          <w:w w:val="105"/>
          <w:sz w:val="15"/>
        </w:rPr>
        <w:t xml:space="preserve"> </w:t>
      </w:r>
      <w:r>
        <w:rPr>
          <w:rFonts w:ascii="Times New Roman" w:hAnsi="Times New Roman"/>
          <w:w w:val="105"/>
          <w:sz w:val="15"/>
        </w:rPr>
        <w:t>e</w:t>
      </w:r>
      <w:r>
        <w:rPr>
          <w:rFonts w:ascii="Times New Roman" w:hAnsi="Times New Roman"/>
          <w:spacing w:val="-6"/>
          <w:w w:val="105"/>
          <w:sz w:val="15"/>
        </w:rPr>
        <w:t xml:space="preserve"> </w:t>
      </w:r>
      <w:r>
        <w:rPr>
          <w:rFonts w:ascii="Times New Roman" w:hAnsi="Times New Roman"/>
          <w:w w:val="105"/>
          <w:sz w:val="15"/>
        </w:rPr>
        <w:t>em</w:t>
      </w:r>
      <w:r>
        <w:rPr>
          <w:rFonts w:ascii="Times New Roman" w:hAnsi="Times New Roman"/>
          <w:spacing w:val="-5"/>
          <w:w w:val="105"/>
          <w:sz w:val="15"/>
        </w:rPr>
        <w:t xml:space="preserve"> </w:t>
      </w:r>
      <w:r>
        <w:rPr>
          <w:rFonts w:ascii="Times New Roman" w:hAnsi="Times New Roman"/>
          <w:w w:val="105"/>
          <w:sz w:val="15"/>
        </w:rPr>
        <w:t>Londrina</w:t>
      </w:r>
      <w:r>
        <w:rPr>
          <w:rFonts w:ascii="Times New Roman" w:hAnsi="Times New Roman"/>
          <w:spacing w:val="-10"/>
          <w:w w:val="105"/>
          <w:sz w:val="15"/>
        </w:rPr>
        <w:t xml:space="preserve"> </w:t>
      </w:r>
      <w:r>
        <w:rPr>
          <w:rFonts w:ascii="Times New Roman" w:hAnsi="Times New Roman"/>
          <w:w w:val="105"/>
          <w:sz w:val="15"/>
        </w:rPr>
        <w:t>(PR),</w:t>
      </w:r>
      <w:r>
        <w:rPr>
          <w:rFonts w:ascii="Times New Roman" w:hAnsi="Times New Roman"/>
          <w:spacing w:val="-5"/>
          <w:w w:val="105"/>
          <w:sz w:val="15"/>
        </w:rPr>
        <w:t xml:space="preserve"> </w:t>
      </w:r>
      <w:r>
        <w:rPr>
          <w:rFonts w:ascii="Times New Roman" w:hAnsi="Times New Roman"/>
          <w:spacing w:val="2"/>
          <w:w w:val="105"/>
          <w:sz w:val="15"/>
        </w:rPr>
        <w:t>já</w:t>
      </w:r>
      <w:r>
        <w:rPr>
          <w:rFonts w:ascii="Times New Roman" w:hAnsi="Times New Roman"/>
          <w:spacing w:val="-10"/>
          <w:w w:val="105"/>
          <w:sz w:val="15"/>
        </w:rPr>
        <w:t xml:space="preserve"> </w:t>
      </w:r>
      <w:r>
        <w:rPr>
          <w:rFonts w:ascii="Times New Roman" w:hAnsi="Times New Roman"/>
          <w:w w:val="105"/>
          <w:sz w:val="15"/>
        </w:rPr>
        <w:t>que</w:t>
      </w:r>
      <w:r>
        <w:rPr>
          <w:rFonts w:ascii="Times New Roman" w:hAnsi="Times New Roman"/>
          <w:spacing w:val="-6"/>
          <w:w w:val="105"/>
          <w:sz w:val="15"/>
        </w:rPr>
        <w:t xml:space="preserve"> </w:t>
      </w:r>
      <w:r>
        <w:rPr>
          <w:rFonts w:ascii="Times New Roman" w:hAnsi="Times New Roman"/>
          <w:w w:val="105"/>
          <w:sz w:val="15"/>
        </w:rPr>
        <w:t>as</w:t>
      </w:r>
      <w:r>
        <w:rPr>
          <w:rFonts w:ascii="Times New Roman" w:hAnsi="Times New Roman"/>
          <w:spacing w:val="-7"/>
          <w:w w:val="105"/>
          <w:sz w:val="15"/>
        </w:rPr>
        <w:t xml:space="preserve"> </w:t>
      </w:r>
      <w:r>
        <w:rPr>
          <w:rFonts w:ascii="Times New Roman" w:hAnsi="Times New Roman"/>
          <w:w w:val="105"/>
          <w:sz w:val="15"/>
        </w:rPr>
        <w:t>duas</w:t>
      </w:r>
      <w:r>
        <w:rPr>
          <w:rFonts w:ascii="Times New Roman" w:hAnsi="Times New Roman"/>
          <w:spacing w:val="-7"/>
          <w:w w:val="105"/>
          <w:sz w:val="15"/>
        </w:rPr>
        <w:t xml:space="preserve"> </w:t>
      </w:r>
      <w:r>
        <w:rPr>
          <w:rFonts w:ascii="Times New Roman" w:hAnsi="Times New Roman"/>
          <w:w w:val="105"/>
          <w:sz w:val="15"/>
        </w:rPr>
        <w:t>cidades</w:t>
      </w:r>
      <w:r>
        <w:rPr>
          <w:rFonts w:ascii="Times New Roman" w:hAnsi="Times New Roman"/>
          <w:spacing w:val="-7"/>
          <w:w w:val="105"/>
          <w:sz w:val="15"/>
        </w:rPr>
        <w:t xml:space="preserve"> </w:t>
      </w:r>
      <w:r>
        <w:rPr>
          <w:rFonts w:ascii="Times New Roman" w:hAnsi="Times New Roman"/>
          <w:w w:val="105"/>
          <w:sz w:val="15"/>
        </w:rPr>
        <w:t>o</w:t>
      </w:r>
      <w:r>
        <w:rPr>
          <w:rFonts w:ascii="Times New Roman" w:hAnsi="Times New Roman"/>
          <w:spacing w:val="-9"/>
          <w:w w:val="105"/>
          <w:sz w:val="15"/>
        </w:rPr>
        <w:t xml:space="preserve"> </w:t>
      </w:r>
      <w:r>
        <w:rPr>
          <w:rFonts w:ascii="Times New Roman" w:hAnsi="Times New Roman"/>
          <w:w w:val="105"/>
          <w:sz w:val="15"/>
        </w:rPr>
        <w:t>sediaram.</w:t>
      </w:r>
    </w:p>
    <w:p w:rsidR="00CC7D10" w:rsidRDefault="00CC7D10" w:rsidP="00CC7D10">
      <w:pPr>
        <w:rPr>
          <w:rFonts w:ascii="Times New Roman" w:eastAsia="Times New Roman" w:hAnsi="Times New Roman"/>
          <w:sz w:val="15"/>
          <w:szCs w:val="15"/>
        </w:rPr>
        <w:sectPr w:rsidR="00CC7D10">
          <w:pgSz w:w="11900" w:h="16840"/>
          <w:pgMar w:top="1600" w:right="126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ind w:left="3332"/>
        <w:rPr>
          <w:rFonts w:ascii="Arial" w:eastAsia="Arial" w:hAnsi="Arial" w:cs="Arial"/>
          <w:sz w:val="15"/>
          <w:szCs w:val="15"/>
        </w:rPr>
      </w:pPr>
      <w:r>
        <w:rPr>
          <w:rFonts w:ascii="Arial" w:hAnsi="Arial"/>
          <w:b/>
          <w:sz w:val="15"/>
        </w:rPr>
        <w:t>Gráfico 1: Cidades de fundação dos</w:t>
      </w:r>
      <w:r>
        <w:rPr>
          <w:rFonts w:ascii="Arial" w:hAnsi="Arial"/>
          <w:b/>
          <w:spacing w:val="-8"/>
          <w:sz w:val="15"/>
        </w:rPr>
        <w:t xml:space="preserve"> </w:t>
      </w:r>
      <w:r>
        <w:rPr>
          <w:rFonts w:ascii="Arial" w:hAnsi="Arial"/>
          <w:b/>
          <w:sz w:val="15"/>
        </w:rPr>
        <w:t>periódicos</w:t>
      </w:r>
    </w:p>
    <w:p w:rsidR="00CC7D10" w:rsidRDefault="00CC7D10" w:rsidP="00CC7D10">
      <w:pPr>
        <w:spacing w:before="11"/>
        <w:rPr>
          <w:rFonts w:ascii="Arial" w:eastAsia="Arial" w:hAnsi="Arial" w:cs="Arial"/>
          <w:b/>
          <w:bCs/>
          <w:sz w:val="18"/>
          <w:szCs w:val="18"/>
        </w:rPr>
      </w:pPr>
    </w:p>
    <w:p w:rsidR="00CC7D10" w:rsidRDefault="00CC7D10" w:rsidP="00CC7D10">
      <w:pPr>
        <w:spacing w:before="89"/>
        <w:ind w:left="1470"/>
        <w:rPr>
          <w:rFonts w:ascii="Arial" w:eastAsia="Arial" w:hAnsi="Arial" w:cs="Arial"/>
          <w:sz w:val="12"/>
          <w:szCs w:val="12"/>
        </w:rPr>
      </w:pPr>
      <w:r w:rsidRPr="00CC7D10">
        <w:rPr>
          <w:lang w:val="en-US"/>
        </w:rPr>
        <w:pict>
          <v:group id="_x0000_s1049" style="position:absolute;left:0;text-align:left;margin-left:111pt;margin-top:7.4pt;width:370.75pt;height:181.4pt;z-index:251628032;mso-position-horizontal-relative:page" coordorigin="2220,148" coordsize="7415,3628">
            <v:group id="_x0000_s1050" style="position:absolute;left:8894;top:3139;width:735;height:2" coordorigin="8894,3139" coordsize="735,2">
              <v:shape id="_x0000_s1051" style="position:absolute;left:8894;top:3139;width:735;height:2" coordorigin="8894,3139" coordsize="735,0" path="m8894,3139r735,e" filled="f" strokeweight=".24pt">
                <v:path arrowok="t"/>
              </v:shape>
            </v:group>
            <v:group id="_x0000_s1052" style="position:absolute;left:2261;top:3139;width:6504;height:2" coordorigin="2261,3139" coordsize="6504,2">
              <v:shape id="_x0000_s1053" style="position:absolute;left:2261;top:3139;width:6504;height:2" coordorigin="2261,3139" coordsize="6504,0" path="m2261,3139r6504,e" filled="f" strokeweight=".24pt">
                <v:path arrowok="t"/>
              </v:shape>
            </v:group>
            <v:group id="_x0000_s1054" style="position:absolute;left:8894;top:2539;width:735;height:2" coordorigin="8894,2539" coordsize="735,2">
              <v:shape id="_x0000_s1055" style="position:absolute;left:8894;top:2539;width:735;height:2" coordorigin="8894,2539" coordsize="735,0" path="m8894,2539r735,e" filled="f" strokeweight=".24pt">
                <v:path arrowok="t"/>
              </v:shape>
            </v:group>
            <v:group id="_x0000_s1056" style="position:absolute;left:2261;top:2539;width:6504;height:2" coordorigin="2261,2539" coordsize="6504,2">
              <v:shape id="_x0000_s1057" style="position:absolute;left:2261;top:2539;width:6504;height:2" coordorigin="2261,2539" coordsize="6504,0" path="m2261,2539r6504,e" filled="f" strokeweight=".24pt">
                <v:path arrowok="t"/>
              </v:shape>
            </v:group>
            <v:group id="_x0000_s1058" style="position:absolute;left:8894;top:1944;width:735;height:2" coordorigin="8894,1944" coordsize="735,2">
              <v:shape id="_x0000_s1059" style="position:absolute;left:8894;top:1944;width:735;height:2" coordorigin="8894,1944" coordsize="735,0" path="m8894,1944r735,e" filled="f" strokeweight=".24pt">
                <v:path arrowok="t"/>
              </v:shape>
            </v:group>
            <v:group id="_x0000_s1060" style="position:absolute;left:2261;top:1944;width:6504;height:2" coordorigin="2261,1944" coordsize="6504,2">
              <v:shape id="_x0000_s1061" style="position:absolute;left:2261;top:1944;width:6504;height:2" coordorigin="2261,1944" coordsize="6504,0" path="m2261,1944r6504,e" filled="f" strokeweight=".24pt">
                <v:path arrowok="t"/>
              </v:shape>
            </v:group>
            <v:group id="_x0000_s1062" style="position:absolute;left:8894;top:1349;width:735;height:2" coordorigin="8894,1349" coordsize="735,2">
              <v:shape id="_x0000_s1063" style="position:absolute;left:8894;top:1349;width:735;height:2" coordorigin="8894,1349" coordsize="735,0" path="m8894,1349r735,e" filled="f" strokeweight=".24pt">
                <v:path arrowok="t"/>
              </v:shape>
            </v:group>
            <v:group id="_x0000_s1064" style="position:absolute;left:2261;top:1349;width:6504;height:2" coordorigin="2261,1349" coordsize="6504,2">
              <v:shape id="_x0000_s1065" style="position:absolute;left:2261;top:1349;width:6504;height:2" coordorigin="2261,1349" coordsize="6504,0" path="m2261,1349r6504,e" filled="f" strokeweight=".24pt">
                <v:path arrowok="t"/>
              </v:shape>
            </v:group>
            <v:group id="_x0000_s1066" style="position:absolute;left:8894;top:749;width:735;height:2" coordorigin="8894,749" coordsize="735,2">
              <v:shape id="_x0000_s1067" style="position:absolute;left:8894;top:749;width:735;height:2" coordorigin="8894,749" coordsize="735,0" path="m8894,749r735,e" filled="f" strokeweight=".24pt">
                <v:path arrowok="t"/>
              </v:shape>
            </v:group>
            <v:group id="_x0000_s1068" style="position:absolute;left:2261;top:749;width:6504;height:2" coordorigin="2261,749" coordsize="6504,2">
              <v:shape id="_x0000_s1069" style="position:absolute;left:2261;top:749;width:6504;height:2" coordorigin="2261,749" coordsize="6504,0" path="m2261,749r6504,e" filled="f" strokeweight=".24pt">
                <v:path arrowok="t"/>
              </v:shape>
            </v:group>
            <v:group id="_x0000_s1070" style="position:absolute;left:2261;top:154;width:7368;height:2" coordorigin="2261,154" coordsize="7368,2">
              <v:shape id="_x0000_s1071" style="position:absolute;left:2261;top:154;width:7368;height:2" coordorigin="2261,154" coordsize="7368,0" path="m2261,154r7368,e" filled="f" strokeweight=".24pt">
                <v:path arrowok="t"/>
              </v:shape>
            </v:group>
            <v:group id="_x0000_s1072" style="position:absolute;left:2261;top:154;width:7368;height:3581" coordorigin="2261,154" coordsize="7368,3581">
              <v:shape id="_x0000_s1073" style="position:absolute;left:2261;top:154;width:7368;height:3581" coordorigin="2261,154" coordsize="7368,3581" path="m2261,154r7368,l9629,3734r-7368,l2261,154e" filled="f" strokecolor="#7f7f7f" strokeweight=".21031mm">
                <v:path arrowok="t"/>
              </v:shape>
            </v:group>
            <v:group id="_x0000_s1074" style="position:absolute;left:2357;top:3259;width:125;height:476" coordorigin="2357,3259" coordsize="125,476">
              <v:shape id="_x0000_s1075" style="position:absolute;left:2357;top:3259;width:125;height:476" coordorigin="2357,3259" coordsize="125,476" path="m2357,3734r125,l2482,3259r-125,l2357,3734xe" fillcolor="#99f" stroked="f">
                <v:path arrowok="t"/>
              </v:shape>
            </v:group>
            <v:group id="_x0000_s1076" style="position:absolute;left:2357;top:3259;width:125;height:476" coordorigin="2357,3259" coordsize="125,476">
              <v:shape id="_x0000_s1077" style="position:absolute;left:2357;top:3259;width:125;height:476" coordorigin="2357,3259" coordsize="125,476" path="m2357,3734r125,l2482,3259r-125,l2357,3734xe" filled="f" strokeweight=".21031mm">
                <v:path arrowok="t"/>
              </v:shape>
            </v:group>
            <v:group id="_x0000_s1078" style="position:absolute;left:2674;top:3139;width:135;height:596" coordorigin="2674,3139" coordsize="135,596">
              <v:shape id="_x0000_s1079" style="position:absolute;left:2674;top:3139;width:135;height:596" coordorigin="2674,3139" coordsize="135,596" path="m2674,3734r134,l2808,3139r-134,l2674,3734xe" fillcolor="#99f" stroked="f">
                <v:path arrowok="t"/>
              </v:shape>
            </v:group>
            <v:group id="_x0000_s1080" style="position:absolute;left:2674;top:3139;width:135;height:596" coordorigin="2674,3139" coordsize="135,596">
              <v:shape id="_x0000_s1081" style="position:absolute;left:2674;top:3139;width:135;height:596" coordorigin="2674,3139" coordsize="135,596" path="m2674,3734r134,l2808,3139r-134,l2674,3734xe" filled="f" strokeweight=".21031mm">
                <v:path arrowok="t"/>
              </v:shape>
            </v:group>
            <v:group id="_x0000_s1082" style="position:absolute;left:3000;top:3614;width:125;height:120" coordorigin="3000,3614" coordsize="125,120">
              <v:shape id="_x0000_s1083" style="position:absolute;left:3000;top:3614;width:125;height:120" coordorigin="3000,3614" coordsize="125,120" path="m3000,3734r125,l3125,3614r-125,l3000,3734xe" fillcolor="#99f" stroked="f">
                <v:path arrowok="t"/>
              </v:shape>
            </v:group>
            <v:group id="_x0000_s1084" style="position:absolute;left:3000;top:3614;width:125;height:120" coordorigin="3000,3614" coordsize="125,120">
              <v:shape id="_x0000_s1085" style="position:absolute;left:3000;top:3614;width:125;height:120" coordorigin="3000,3614" coordsize="125,120" path="m3000,3734r125,l3125,3614r-125,l3000,3734xe" filled="f" strokeweight=".21031mm">
                <v:path arrowok="t"/>
              </v:shape>
            </v:group>
            <v:group id="_x0000_s1086" style="position:absolute;left:3317;top:3494;width:130;height:240" coordorigin="3317,3494" coordsize="130,240">
              <v:shape id="_x0000_s1087" style="position:absolute;left:3317;top:3494;width:130;height:240" coordorigin="3317,3494" coordsize="130,240" path="m3317,3734r129,l3446,3494r-129,l3317,3734xe" fillcolor="#99f" stroked="f">
                <v:path arrowok="t"/>
              </v:shape>
            </v:group>
            <v:group id="_x0000_s1088" style="position:absolute;left:3317;top:3494;width:130;height:240" coordorigin="3317,3494" coordsize="130,240">
              <v:shape id="_x0000_s1089" style="position:absolute;left:3317;top:3494;width:130;height:240" coordorigin="3317,3494" coordsize="130,240" path="m3317,3734r129,l3446,3494r-129,l3317,3734xe" filled="f" strokeweight=".21031mm">
                <v:path arrowok="t"/>
              </v:shape>
            </v:group>
            <v:group id="_x0000_s1090" style="position:absolute;left:3638;top:3614;width:130;height:120" coordorigin="3638,3614" coordsize="130,120">
              <v:shape id="_x0000_s1091" style="position:absolute;left:3638;top:3614;width:130;height:120" coordorigin="3638,3614" coordsize="130,120" path="m3638,3734r130,l3768,3614r-130,l3638,3734xe" fillcolor="#99f" stroked="f">
                <v:path arrowok="t"/>
              </v:shape>
            </v:group>
            <v:group id="_x0000_s1092" style="position:absolute;left:3638;top:3614;width:130;height:120" coordorigin="3638,3614" coordsize="130,120">
              <v:shape id="_x0000_s1093" style="position:absolute;left:3638;top:3614;width:130;height:120" coordorigin="3638,3614" coordsize="130,120" path="m3638,3734r130,l3768,3614r-130,l3638,3734xe" filled="f" strokeweight=".21031mm">
                <v:path arrowok="t"/>
              </v:shape>
            </v:group>
            <v:group id="_x0000_s1094" style="position:absolute;left:3955;top:3259;width:135;height:476" coordorigin="3955,3259" coordsize="135,476">
              <v:shape id="_x0000_s1095" style="position:absolute;left:3955;top:3259;width:135;height:476" coordorigin="3955,3259" coordsize="135,476" path="m3955,3734r135,l4090,3259r-135,l3955,3734xe" fillcolor="#99f" stroked="f">
                <v:path arrowok="t"/>
              </v:shape>
            </v:group>
            <v:group id="_x0000_s1096" style="position:absolute;left:3955;top:3259;width:135;height:476" coordorigin="3955,3259" coordsize="135,476">
              <v:shape id="_x0000_s1097" style="position:absolute;left:3955;top:3259;width:135;height:476" coordorigin="3955,3259" coordsize="135,476" path="m3955,3734r135,l4090,3259r-135,l3955,3734xe" filled="f" strokeweight=".21031mm">
                <v:path arrowok="t"/>
              </v:shape>
            </v:group>
            <v:group id="_x0000_s1098" style="position:absolute;left:4282;top:3614;width:125;height:120" coordorigin="4282,3614" coordsize="125,120">
              <v:shape id="_x0000_s1099" style="position:absolute;left:4282;top:3614;width:125;height:120" coordorigin="4282,3614" coordsize="125,120" path="m4282,3734r124,l4406,3614r-124,l4282,3734xe" fillcolor="#99f" stroked="f">
                <v:path arrowok="t"/>
              </v:shape>
            </v:group>
            <v:group id="_x0000_s1100" style="position:absolute;left:4282;top:3614;width:125;height:120" coordorigin="4282,3614" coordsize="125,120">
              <v:shape id="_x0000_s1101" style="position:absolute;left:4282;top:3614;width:125;height:120" coordorigin="4282,3614" coordsize="125,120" path="m4282,3734r124,l4406,3614r-124,l4282,3734xe" filled="f" strokeweight=".21031mm">
                <v:path arrowok="t"/>
              </v:shape>
            </v:group>
            <v:group id="_x0000_s1102" style="position:absolute;left:4598;top:3494;width:130;height:240" coordorigin="4598,3494" coordsize="130,240">
              <v:shape id="_x0000_s1103" style="position:absolute;left:4598;top:3494;width:130;height:240" coordorigin="4598,3494" coordsize="130,240" path="m4598,3734r130,l4728,3494r-130,l4598,3734xe" fillcolor="#99f" stroked="f">
                <v:path arrowok="t"/>
              </v:shape>
            </v:group>
            <v:group id="_x0000_s1104" style="position:absolute;left:4598;top:3494;width:130;height:240" coordorigin="4598,3494" coordsize="130,240">
              <v:shape id="_x0000_s1105" style="position:absolute;left:4598;top:3494;width:130;height:240" coordorigin="4598,3494" coordsize="130,240" path="m4598,3734r130,l4728,3494r-130,l4598,3734xe" filled="f" strokeweight=".21031mm">
                <v:path arrowok="t"/>
              </v:shape>
            </v:group>
            <v:group id="_x0000_s1106" style="position:absolute;left:4920;top:3614;width:130;height:120" coordorigin="4920,3614" coordsize="130,120">
              <v:shape id="_x0000_s1107" style="position:absolute;left:4920;top:3614;width:130;height:120" coordorigin="4920,3614" coordsize="130,120" path="m4920,3734r130,l5050,3614r-130,l4920,3734xe" fillcolor="#99f" stroked="f">
                <v:path arrowok="t"/>
              </v:shape>
            </v:group>
            <v:group id="_x0000_s1108" style="position:absolute;left:4920;top:3614;width:130;height:120" coordorigin="4920,3614" coordsize="130,120">
              <v:shape id="_x0000_s1109" style="position:absolute;left:4920;top:3614;width:130;height:120" coordorigin="4920,3614" coordsize="130,120" path="m4920,3734r130,l5050,3614r-130,l4920,3734xe" filled="f" strokeweight=".21031mm">
                <v:path arrowok="t"/>
              </v:shape>
            </v:group>
            <v:group id="_x0000_s1110" style="position:absolute;left:5237;top:3614;width:135;height:120" coordorigin="5237,3614" coordsize="135,120">
              <v:shape id="_x0000_s1111" style="position:absolute;left:5237;top:3614;width:135;height:120" coordorigin="5237,3614" coordsize="135,120" path="m5237,3734r134,l5371,3614r-134,l5237,3734xe" fillcolor="#99f" stroked="f">
                <v:path arrowok="t"/>
              </v:shape>
            </v:group>
            <v:group id="_x0000_s1112" style="position:absolute;left:5237;top:3614;width:135;height:120" coordorigin="5237,3614" coordsize="135,120">
              <v:shape id="_x0000_s1113" style="position:absolute;left:5237;top:3614;width:135;height:120" coordorigin="5237,3614" coordsize="135,120" path="m5237,3734r134,l5371,3614r-134,l5237,3734xe" filled="f" strokeweight=".21031mm">
                <v:path arrowok="t"/>
              </v:shape>
            </v:group>
            <v:group id="_x0000_s1114" style="position:absolute;left:5563;top:3614;width:125;height:120" coordorigin="5563,3614" coordsize="125,120">
              <v:shape id="_x0000_s1115" style="position:absolute;left:5563;top:3614;width:125;height:120" coordorigin="5563,3614" coordsize="125,120" path="m5563,3734r125,l5688,3614r-125,l5563,3734xe" fillcolor="#99f" stroked="f">
                <v:path arrowok="t"/>
              </v:shape>
            </v:group>
            <v:group id="_x0000_s1116" style="position:absolute;left:5563;top:3614;width:125;height:120" coordorigin="5563,3614" coordsize="125,120">
              <v:shape id="_x0000_s1117" style="position:absolute;left:5563;top:3614;width:125;height:120" coordorigin="5563,3614" coordsize="125,120" path="m5563,3734r125,l5688,3614r-125,l5563,3734xe" filled="f" strokeweight=".21031mm">
                <v:path arrowok="t"/>
              </v:shape>
            </v:group>
            <v:group id="_x0000_s1118" style="position:absolute;left:5880;top:3614;width:130;height:120" coordorigin="5880,3614" coordsize="130,120">
              <v:shape id="_x0000_s1119" style="position:absolute;left:5880;top:3614;width:130;height:120" coordorigin="5880,3614" coordsize="130,120" path="m5880,3734r130,l6010,3614r-130,l5880,3734xe" fillcolor="#99f" stroked="f">
                <v:path arrowok="t"/>
              </v:shape>
            </v:group>
            <v:group id="_x0000_s1120" style="position:absolute;left:5880;top:3614;width:130;height:120" coordorigin="5880,3614" coordsize="130,120">
              <v:shape id="_x0000_s1121" style="position:absolute;left:5880;top:3614;width:130;height:120" coordorigin="5880,3614" coordsize="130,120" path="m5880,3734r130,l6010,3614r-130,l5880,3734xe" filled="f" strokeweight=".21031mm">
                <v:path arrowok="t"/>
              </v:shape>
            </v:group>
            <v:group id="_x0000_s1122" style="position:absolute;left:6202;top:3494;width:130;height:240" coordorigin="6202,3494" coordsize="130,240">
              <v:shape id="_x0000_s1123" style="position:absolute;left:6202;top:3494;width:130;height:240" coordorigin="6202,3494" coordsize="130,240" path="m6202,3734r129,l6331,3494r-129,l6202,3734xe" fillcolor="#99f" stroked="f">
                <v:path arrowok="t"/>
              </v:shape>
            </v:group>
            <v:group id="_x0000_s1124" style="position:absolute;left:6202;top:3494;width:130;height:240" coordorigin="6202,3494" coordsize="130,240">
              <v:shape id="_x0000_s1125" style="position:absolute;left:6202;top:3494;width:130;height:240" coordorigin="6202,3494" coordsize="130,240" path="m6202,3734r129,l6331,3494r-129,l6202,3734xe" filled="f" strokeweight=".21031mm">
                <v:path arrowok="t"/>
              </v:shape>
            </v:group>
            <v:group id="_x0000_s1126" style="position:absolute;left:6518;top:3614;width:135;height:120" coordorigin="6518,3614" coordsize="135,120">
              <v:shape id="_x0000_s1127" style="position:absolute;left:6518;top:3614;width:135;height:120" coordorigin="6518,3614" coordsize="135,120" path="m6518,3734r135,l6653,3614r-135,l6518,3734xe" fillcolor="#99f" stroked="f">
                <v:path arrowok="t"/>
              </v:shape>
            </v:group>
            <v:group id="_x0000_s1128" style="position:absolute;left:6518;top:3614;width:135;height:120" coordorigin="6518,3614" coordsize="135,120">
              <v:shape id="_x0000_s1129" style="position:absolute;left:6518;top:3614;width:135;height:120" coordorigin="6518,3614" coordsize="135,120" path="m6518,3734r135,l6653,3614r-135,l6518,3734xe" filled="f" strokeweight=".21031mm">
                <v:path arrowok="t"/>
              </v:shape>
            </v:group>
            <v:group id="_x0000_s1130" style="position:absolute;left:6845;top:3494;width:125;height:240" coordorigin="6845,3494" coordsize="125,240">
              <v:shape id="_x0000_s1131" style="position:absolute;left:6845;top:3494;width:125;height:240" coordorigin="6845,3494" coordsize="125,240" path="m6845,3734r125,l6970,3494r-125,l6845,3734xe" fillcolor="#99f" stroked="f">
                <v:path arrowok="t"/>
              </v:shape>
            </v:group>
            <v:group id="_x0000_s1132" style="position:absolute;left:6845;top:3494;width:125;height:240" coordorigin="6845,3494" coordsize="125,240">
              <v:shape id="_x0000_s1133" style="position:absolute;left:6845;top:3494;width:125;height:240" coordorigin="6845,3494" coordsize="125,240" path="m6845,3734r125,l6970,3494r-125,l6845,3734xe" filled="f" strokeweight=".21031mm">
                <v:path arrowok="t"/>
              </v:shape>
            </v:group>
            <v:group id="_x0000_s1134" style="position:absolute;left:7162;top:3259;width:130;height:476" coordorigin="7162,3259" coordsize="130,476">
              <v:shape id="_x0000_s1135" style="position:absolute;left:7162;top:3259;width:130;height:476" coordorigin="7162,3259" coordsize="130,476" path="m7162,3734r129,l7291,3259r-129,l7162,3734xe" fillcolor="#99f" stroked="f">
                <v:path arrowok="t"/>
              </v:shape>
            </v:group>
            <v:group id="_x0000_s1136" style="position:absolute;left:7162;top:3259;width:130;height:476" coordorigin="7162,3259" coordsize="130,476">
              <v:shape id="_x0000_s1137" style="position:absolute;left:7162;top:3259;width:130;height:476" coordorigin="7162,3259" coordsize="130,476" path="m7162,3734r129,l7291,3259r-129,l7162,3734xe" filled="f" strokeweight=".21031mm">
                <v:path arrowok="t"/>
              </v:shape>
            </v:group>
            <v:group id="_x0000_s1138" style="position:absolute;left:7483;top:3259;width:130;height:476" coordorigin="7483,3259" coordsize="130,476">
              <v:shape id="_x0000_s1139" style="position:absolute;left:7483;top:3259;width:130;height:476" coordorigin="7483,3259" coordsize="130,476" path="m7483,3734r130,l7613,3259r-130,l7483,3734xe" fillcolor="#99f" stroked="f">
                <v:path arrowok="t"/>
              </v:shape>
            </v:group>
            <v:group id="_x0000_s1140" style="position:absolute;left:7483;top:3259;width:130;height:476" coordorigin="7483,3259" coordsize="130,476">
              <v:shape id="_x0000_s1141" style="position:absolute;left:7483;top:3259;width:130;height:476" coordorigin="7483,3259" coordsize="130,476" path="m7483,3734r130,l7613,3259r-130,l7483,3734xe" filled="f" strokeweight=".21031mm">
                <v:path arrowok="t"/>
              </v:shape>
            </v:group>
            <v:group id="_x0000_s1142" style="position:absolute;left:7800;top:3374;width:135;height:360" coordorigin="7800,3374" coordsize="135,360">
              <v:shape id="_x0000_s1143" style="position:absolute;left:7800;top:3374;width:135;height:360" coordorigin="7800,3374" coordsize="135,360" path="m7800,3734r134,l7934,3374r-134,l7800,3734xe" fillcolor="#99f" stroked="f">
                <v:path arrowok="t"/>
              </v:shape>
            </v:group>
            <v:group id="_x0000_s1144" style="position:absolute;left:7800;top:3374;width:135;height:360" coordorigin="7800,3374" coordsize="135,360">
              <v:shape id="_x0000_s1145" style="position:absolute;left:7800;top:3374;width:135;height:360" coordorigin="7800,3374" coordsize="135,360" path="m7800,3734r134,l7934,3374r-134,l7800,3734xe" filled="f" strokeweight=".21031mm">
                <v:path arrowok="t"/>
              </v:shape>
            </v:group>
            <v:group id="_x0000_s1146" style="position:absolute;left:8126;top:3494;width:125;height:240" coordorigin="8126,3494" coordsize="125,240">
              <v:shape id="_x0000_s1147" style="position:absolute;left:8126;top:3494;width:125;height:240" coordorigin="8126,3494" coordsize="125,240" path="m8126,3734r125,l8251,3494r-125,l8126,3734xe" fillcolor="#99f" stroked="f">
                <v:path arrowok="t"/>
              </v:shape>
            </v:group>
            <v:group id="_x0000_s1148" style="position:absolute;left:8126;top:3494;width:125;height:240" coordorigin="8126,3494" coordsize="125,240">
              <v:shape id="_x0000_s1149" style="position:absolute;left:8126;top:3494;width:125;height:240" coordorigin="8126,3494" coordsize="125,240" path="m8126,3734r125,l8251,3494r-125,l8126,3734xe" filled="f" strokeweight=".21031mm">
                <v:path arrowok="t"/>
              </v:shape>
            </v:group>
            <v:group id="_x0000_s1150" style="position:absolute;left:8443;top:3374;width:130;height:360" coordorigin="8443,3374" coordsize="130,360">
              <v:shape id="_x0000_s1151" style="position:absolute;left:8443;top:3374;width:130;height:360" coordorigin="8443,3374" coordsize="130,360" path="m8443,3734r130,l8573,3374r-130,l8443,3734xe" fillcolor="#99f" stroked="f">
                <v:path arrowok="t"/>
              </v:shape>
            </v:group>
            <v:group id="_x0000_s1152" style="position:absolute;left:8443;top:3374;width:130;height:360" coordorigin="8443,3374" coordsize="130,360">
              <v:shape id="_x0000_s1153" style="position:absolute;left:8443;top:3374;width:130;height:360" coordorigin="8443,3374" coordsize="130,360" path="m8443,3734r130,l8573,3374r-130,l8443,3734xe" filled="f" strokeweight=".21031mm">
                <v:path arrowok="t"/>
              </v:shape>
            </v:group>
            <v:group id="_x0000_s1154" style="position:absolute;left:8765;top:394;width:130;height:3341" coordorigin="8765,394" coordsize="130,3341">
              <v:shape id="_x0000_s1155" style="position:absolute;left:8765;top:394;width:130;height:3341" coordorigin="8765,394" coordsize="130,3341" path="m8765,3734r129,l8894,394r-129,l8765,3734xe" fillcolor="#99f" stroked="f">
                <v:path arrowok="t"/>
              </v:shape>
            </v:group>
            <v:group id="_x0000_s1156" style="position:absolute;left:8765;top:394;width:130;height:3341" coordorigin="8765,394" coordsize="130,3341">
              <v:shape id="_x0000_s1157" style="position:absolute;left:8765;top:394;width:130;height:3341" coordorigin="8765,394" coordsize="130,3341" path="m8765,3734r129,l8894,394r-129,l8765,3734xe" filled="f" strokeweight=".21031mm">
                <v:path arrowok="t"/>
              </v:shape>
            </v:group>
            <v:group id="_x0000_s1158" style="position:absolute;left:9082;top:3614;width:135;height:120" coordorigin="9082,3614" coordsize="135,120">
              <v:shape id="_x0000_s1159" style="position:absolute;left:9082;top:3614;width:135;height:120" coordorigin="9082,3614" coordsize="135,120" path="m9082,3734r134,l9216,3614r-134,l9082,3734xe" fillcolor="#99f" stroked="f">
                <v:path arrowok="t"/>
              </v:shape>
            </v:group>
            <v:group id="_x0000_s1160" style="position:absolute;left:9082;top:3614;width:135;height:120" coordorigin="9082,3614" coordsize="135,120">
              <v:shape id="_x0000_s1161" style="position:absolute;left:9082;top:3614;width:135;height:120" coordorigin="9082,3614" coordsize="135,120" path="m9082,3734r134,l9216,3614r-134,l9082,3734xe" filled="f" strokeweight=".21031mm">
                <v:path arrowok="t"/>
              </v:shape>
            </v:group>
            <v:group id="_x0000_s1162" style="position:absolute;left:9408;top:3614;width:125;height:120" coordorigin="9408,3614" coordsize="125,120">
              <v:shape id="_x0000_s1163" style="position:absolute;left:9408;top:3614;width:125;height:120" coordorigin="9408,3614" coordsize="125,120" path="m9408,3734r125,l9533,3614r-125,l9408,3734xe" fillcolor="#99f" stroked="f">
                <v:path arrowok="t"/>
              </v:shape>
            </v:group>
            <v:group id="_x0000_s1164" style="position:absolute;left:9408;top:3614;width:125;height:120" coordorigin="9408,3614" coordsize="125,120">
              <v:shape id="_x0000_s1165" style="position:absolute;left:9408;top:3614;width:125;height:120" coordorigin="9408,3614" coordsize="125,120" path="m9408,3734r125,l9533,3614r-125,l9408,3734xe" filled="f" strokeweight=".21031mm">
                <v:path arrowok="t"/>
              </v:shape>
            </v:group>
            <v:group id="_x0000_s1166" style="position:absolute;left:2261;top:154;width:2;height:3581" coordorigin="2261,154" coordsize="2,3581">
              <v:shape id="_x0000_s1167" style="position:absolute;left:2261;top:154;width:2;height:3581" coordorigin="2261,154" coordsize="0,3581" path="m2261,154r,3580e" filled="f" strokeweight=".24pt">
                <v:path arrowok="t"/>
              </v:shape>
            </v:group>
            <v:group id="_x0000_s1168" style="position:absolute;left:2222;top:3734;width:39;height:2" coordorigin="2222,3734" coordsize="39,2">
              <v:shape id="_x0000_s1169" style="position:absolute;left:2222;top:3734;width:39;height:2" coordorigin="2222,3734" coordsize="39,0" path="m2222,3734r39,e" filled="f" strokeweight=".24pt">
                <v:path arrowok="t"/>
              </v:shape>
            </v:group>
            <v:group id="_x0000_s1170" style="position:absolute;left:2222;top:3139;width:39;height:2" coordorigin="2222,3139" coordsize="39,2">
              <v:shape id="_x0000_s1171" style="position:absolute;left:2222;top:3139;width:39;height:2" coordorigin="2222,3139" coordsize="39,0" path="m2222,3139r39,e" filled="f" strokeweight=".24pt">
                <v:path arrowok="t"/>
              </v:shape>
            </v:group>
            <v:group id="_x0000_s1172" style="position:absolute;left:2222;top:2539;width:39;height:2" coordorigin="2222,2539" coordsize="39,2">
              <v:shape id="_x0000_s1173" style="position:absolute;left:2222;top:2539;width:39;height:2" coordorigin="2222,2539" coordsize="39,0" path="m2222,2539r39,e" filled="f" strokeweight=".24pt">
                <v:path arrowok="t"/>
              </v:shape>
            </v:group>
            <v:group id="_x0000_s1174" style="position:absolute;left:2222;top:1944;width:39;height:2" coordorigin="2222,1944" coordsize="39,2">
              <v:shape id="_x0000_s1175" style="position:absolute;left:2222;top:1944;width:39;height:2" coordorigin="2222,1944" coordsize="39,0" path="m2222,1944r39,e" filled="f" strokeweight=".24pt">
                <v:path arrowok="t"/>
              </v:shape>
            </v:group>
            <v:group id="_x0000_s1176" style="position:absolute;left:2222;top:1349;width:39;height:2" coordorigin="2222,1349" coordsize="39,2">
              <v:shape id="_x0000_s1177" style="position:absolute;left:2222;top:1349;width:39;height:2" coordorigin="2222,1349" coordsize="39,0" path="m2222,1349r39,e" filled="f" strokeweight=".24pt">
                <v:path arrowok="t"/>
              </v:shape>
            </v:group>
            <v:group id="_x0000_s1178" style="position:absolute;left:2222;top:749;width:39;height:2" coordorigin="2222,749" coordsize="39,2">
              <v:shape id="_x0000_s1179" style="position:absolute;left:2222;top:749;width:39;height:2" coordorigin="2222,749" coordsize="39,0" path="m2222,749r39,e" filled="f" strokeweight=".24pt">
                <v:path arrowok="t"/>
              </v:shape>
            </v:group>
            <v:group id="_x0000_s1180" style="position:absolute;left:2222;top:154;width:39;height:2" coordorigin="2222,154" coordsize="39,2">
              <v:shape id="_x0000_s1181" style="position:absolute;left:2222;top:154;width:39;height:2" coordorigin="2222,154" coordsize="39,0" path="m2222,154r39,e" filled="f" strokeweight=".24pt">
                <v:path arrowok="t"/>
              </v:shape>
            </v:group>
            <v:group id="_x0000_s1182" style="position:absolute;left:2261;top:3734;width:7368;height:2" coordorigin="2261,3734" coordsize="7368,2">
              <v:shape id="_x0000_s1183" style="position:absolute;left:2261;top:3734;width:7368;height:2" coordorigin="2261,3734" coordsize="7368,0" path="m2261,3734r7368,e" filled="f" strokeweight=".24pt">
                <v:path arrowok="t"/>
              </v:shape>
            </v:group>
            <v:group id="_x0000_s1184" style="position:absolute;left:2261;top:3734;width:2;height:39" coordorigin="2261,3734" coordsize="2,39">
              <v:shape id="_x0000_s1185" style="position:absolute;left:2261;top:3734;width:2;height:39" coordorigin="2261,3734" coordsize="0,39" path="m2261,3773r,-39e" filled="f" strokeweight=".24pt">
                <v:path arrowok="t"/>
              </v:shape>
            </v:group>
            <v:group id="_x0000_s1186" style="position:absolute;left:2578;top:3734;width:2;height:39" coordorigin="2578,3734" coordsize="2,39">
              <v:shape id="_x0000_s1187" style="position:absolute;left:2578;top:3734;width:2;height:39" coordorigin="2578,3734" coordsize="0,39" path="m2578,3773r,-39e" filled="f" strokeweight=".24pt">
                <v:path arrowok="t"/>
              </v:shape>
            </v:group>
            <v:group id="_x0000_s1188" style="position:absolute;left:2904;top:3734;width:2;height:39" coordorigin="2904,3734" coordsize="2,39">
              <v:shape id="_x0000_s1189" style="position:absolute;left:2904;top:3734;width:2;height:39" coordorigin="2904,3734" coordsize="0,39" path="m2904,3773r,-39e" filled="f" strokeweight=".24pt">
                <v:path arrowok="t"/>
              </v:shape>
            </v:group>
            <v:group id="_x0000_s1190" style="position:absolute;left:3221;top:3734;width:2;height:39" coordorigin="3221,3734" coordsize="2,39">
              <v:shape id="_x0000_s1191" style="position:absolute;left:3221;top:3734;width:2;height:39" coordorigin="3221,3734" coordsize="0,39" path="m3221,3773r,-39e" filled="f" strokeweight=".24pt">
                <v:path arrowok="t"/>
              </v:shape>
            </v:group>
            <v:group id="_x0000_s1192" style="position:absolute;left:3542;top:3734;width:2;height:39" coordorigin="3542,3734" coordsize="2,39">
              <v:shape id="_x0000_s1193" style="position:absolute;left:3542;top:3734;width:2;height:39" coordorigin="3542,3734" coordsize="0,39" path="m3542,3773r,-39e" filled="f" strokeweight=".24pt">
                <v:path arrowok="t"/>
              </v:shape>
            </v:group>
            <v:group id="_x0000_s1194" style="position:absolute;left:3859;top:3734;width:2;height:39" coordorigin="3859,3734" coordsize="2,39">
              <v:shape id="_x0000_s1195" style="position:absolute;left:3859;top:3734;width:2;height:39" coordorigin="3859,3734" coordsize="0,39" path="m3859,3773r,-39e" filled="f" strokeweight=".24pt">
                <v:path arrowok="t"/>
              </v:shape>
            </v:group>
            <v:group id="_x0000_s1196" style="position:absolute;left:4186;top:3734;width:2;height:39" coordorigin="4186,3734" coordsize="2,39">
              <v:shape id="_x0000_s1197" style="position:absolute;left:4186;top:3734;width:2;height:39" coordorigin="4186,3734" coordsize="0,39" path="m4186,3773r,-39e" filled="f" strokeweight=".24pt">
                <v:path arrowok="t"/>
              </v:shape>
            </v:group>
            <v:group id="_x0000_s1198" style="position:absolute;left:4502;top:3734;width:2;height:39" coordorigin="4502,3734" coordsize="2,39">
              <v:shape id="_x0000_s1199" style="position:absolute;left:4502;top:3734;width:2;height:39" coordorigin="4502,3734" coordsize="0,39" path="m4502,3773r,-39e" filled="f" strokeweight=".24pt">
                <v:path arrowok="t"/>
              </v:shape>
            </v:group>
            <v:group id="_x0000_s1200" style="position:absolute;left:4824;top:3734;width:2;height:39" coordorigin="4824,3734" coordsize="2,39">
              <v:shape id="_x0000_s1201" style="position:absolute;left:4824;top:3734;width:2;height:39" coordorigin="4824,3734" coordsize="0,39" path="m4824,3773r,-39e" filled="f" strokeweight=".24pt">
                <v:path arrowok="t"/>
              </v:shape>
            </v:group>
            <v:group id="_x0000_s1202" style="position:absolute;left:5141;top:3734;width:2;height:39" coordorigin="5141,3734" coordsize="2,39">
              <v:shape id="_x0000_s1203" style="position:absolute;left:5141;top:3734;width:2;height:39" coordorigin="5141,3734" coordsize="0,39" path="m5141,3773r,-39e" filled="f" strokeweight=".24pt">
                <v:path arrowok="t"/>
              </v:shape>
            </v:group>
            <v:group id="_x0000_s1204" style="position:absolute;left:5467;top:3734;width:2;height:39" coordorigin="5467,3734" coordsize="2,39">
              <v:shape id="_x0000_s1205" style="position:absolute;left:5467;top:3734;width:2;height:39" coordorigin="5467,3734" coordsize="0,39" path="m5467,3773r,-39e" filled="f" strokeweight=".24pt">
                <v:path arrowok="t"/>
              </v:shape>
            </v:group>
            <v:group id="_x0000_s1206" style="position:absolute;left:5784;top:3734;width:2;height:39" coordorigin="5784,3734" coordsize="2,39">
              <v:shape id="_x0000_s1207" style="position:absolute;left:5784;top:3734;width:2;height:39" coordorigin="5784,3734" coordsize="0,39" path="m5784,3773r,-39e" filled="f" strokeweight=".24pt">
                <v:path arrowok="t"/>
              </v:shape>
            </v:group>
            <v:group id="_x0000_s1208" style="position:absolute;left:6106;top:3734;width:2;height:39" coordorigin="6106,3734" coordsize="2,39">
              <v:shape id="_x0000_s1209" style="position:absolute;left:6106;top:3734;width:2;height:39" coordorigin="6106,3734" coordsize="0,39" path="m6106,3773r,-39e" filled="f" strokeweight=".24pt">
                <v:path arrowok="t"/>
              </v:shape>
            </v:group>
            <v:group id="_x0000_s1210" style="position:absolute;left:6422;top:3734;width:2;height:39" coordorigin="6422,3734" coordsize="2,39">
              <v:shape id="_x0000_s1211" style="position:absolute;left:6422;top:3734;width:2;height:39" coordorigin="6422,3734" coordsize="0,39" path="m6422,3773r,-39e" filled="f" strokeweight=".24pt">
                <v:path arrowok="t"/>
              </v:shape>
            </v:group>
            <v:group id="_x0000_s1212" style="position:absolute;left:6749;top:3734;width:2;height:39" coordorigin="6749,3734" coordsize="2,39">
              <v:shape id="_x0000_s1213" style="position:absolute;left:6749;top:3734;width:2;height:39" coordorigin="6749,3734" coordsize="0,39" path="m6749,3773r,-39e" filled="f" strokeweight=".24pt">
                <v:path arrowok="t"/>
              </v:shape>
            </v:group>
            <v:group id="_x0000_s1214" style="position:absolute;left:7066;top:3734;width:2;height:39" coordorigin="7066,3734" coordsize="2,39">
              <v:shape id="_x0000_s1215" style="position:absolute;left:7066;top:3734;width:2;height:39" coordorigin="7066,3734" coordsize="0,39" path="m7066,3773r,-39e" filled="f" strokeweight=".24pt">
                <v:path arrowok="t"/>
              </v:shape>
            </v:group>
            <v:group id="_x0000_s1216" style="position:absolute;left:7387;top:3734;width:2;height:39" coordorigin="7387,3734" coordsize="2,39">
              <v:shape id="_x0000_s1217" style="position:absolute;left:7387;top:3734;width:2;height:39" coordorigin="7387,3734" coordsize="0,39" path="m7387,3773r,-39e" filled="f" strokeweight=".24pt">
                <v:path arrowok="t"/>
              </v:shape>
            </v:group>
            <v:group id="_x0000_s1218" style="position:absolute;left:7709;top:3734;width:2;height:39" coordorigin="7709,3734" coordsize="2,39">
              <v:shape id="_x0000_s1219" style="position:absolute;left:7709;top:3734;width:2;height:39" coordorigin="7709,3734" coordsize="0,39" path="m7709,3773r,-39e" filled="f" strokeweight=".24pt">
                <v:path arrowok="t"/>
              </v:shape>
            </v:group>
            <v:group id="_x0000_s1220" style="position:absolute;left:8030;top:3734;width:2;height:39" coordorigin="8030,3734" coordsize="2,39">
              <v:shape id="_x0000_s1221" style="position:absolute;left:8030;top:3734;width:2;height:39" coordorigin="8030,3734" coordsize="0,39" path="m8030,3773r,-39e" filled="f" strokeweight=".24pt">
                <v:path arrowok="t"/>
              </v:shape>
            </v:group>
            <v:group id="_x0000_s1222" style="position:absolute;left:8347;top:3734;width:2;height:39" coordorigin="8347,3734" coordsize="2,39">
              <v:shape id="_x0000_s1223" style="position:absolute;left:8347;top:3734;width:2;height:39" coordorigin="8347,3734" coordsize="0,39" path="m8347,3773r,-39e" filled="f" strokeweight=".24pt">
                <v:path arrowok="t"/>
              </v:shape>
            </v:group>
            <v:group id="_x0000_s1224" style="position:absolute;left:8669;top:3734;width:2;height:39" coordorigin="8669,3734" coordsize="2,39">
              <v:shape id="_x0000_s1225" style="position:absolute;left:8669;top:3734;width:2;height:39" coordorigin="8669,3734" coordsize="0,39" path="m8669,3773r,-39e" filled="f" strokeweight=".24pt">
                <v:path arrowok="t"/>
              </v:shape>
            </v:group>
            <v:group id="_x0000_s1226" style="position:absolute;left:8990;top:3734;width:2;height:39" coordorigin="8990,3734" coordsize="2,39">
              <v:shape id="_x0000_s1227" style="position:absolute;left:8990;top:3734;width:2;height:39" coordorigin="8990,3734" coordsize="0,39" path="m8990,3773r,-39e" filled="f" strokeweight=".24pt">
                <v:path arrowok="t"/>
              </v:shape>
            </v:group>
            <v:group id="_x0000_s1228" style="position:absolute;left:9312;top:3734;width:2;height:39" coordorigin="9312,3734" coordsize="2,39">
              <v:shape id="_x0000_s1229" style="position:absolute;left:9312;top:3734;width:2;height:39" coordorigin="9312,3734" coordsize="0,39" path="m9312,3773r,-39e" filled="f" strokeweight=".24pt">
                <v:path arrowok="t"/>
              </v:shape>
            </v:group>
            <v:group id="_x0000_s1230" style="position:absolute;left:9629;top:3734;width:2;height:39" coordorigin="9629,3734" coordsize="2,39">
              <v:shape id="_x0000_s1231" style="position:absolute;left:9629;top:3734;width:2;height:39" coordorigin="9629,3734" coordsize="0,39" path="m9629,3773r,-39e" filled="f" strokeweight=".24pt">
                <v:path arrowok="t"/>
              </v:shape>
            </v:group>
            <w10:wrap anchorx="page"/>
          </v:group>
        </w:pict>
      </w:r>
      <w:r>
        <w:rPr>
          <w:rFonts w:ascii="Arial"/>
          <w:w w:val="105"/>
          <w:sz w:val="12"/>
        </w:rPr>
        <w:t>30</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2"/>
          <w:szCs w:val="12"/>
        </w:rPr>
      </w:pPr>
    </w:p>
    <w:p w:rsidR="00CC7D10" w:rsidRDefault="00CC7D10" w:rsidP="00CC7D10">
      <w:pPr>
        <w:spacing w:before="89"/>
        <w:ind w:left="1470"/>
        <w:rPr>
          <w:rFonts w:ascii="Arial" w:eastAsia="Arial" w:hAnsi="Arial" w:cs="Arial"/>
          <w:sz w:val="12"/>
          <w:szCs w:val="12"/>
        </w:rPr>
      </w:pPr>
      <w:r>
        <w:rPr>
          <w:rFonts w:ascii="Arial"/>
          <w:w w:val="105"/>
          <w:sz w:val="12"/>
        </w:rPr>
        <w:t>25</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2"/>
          <w:szCs w:val="12"/>
        </w:rPr>
      </w:pPr>
    </w:p>
    <w:p w:rsidR="00CC7D10" w:rsidRDefault="00CC7D10" w:rsidP="00CC7D10">
      <w:pPr>
        <w:spacing w:before="94"/>
        <w:ind w:left="1470"/>
        <w:rPr>
          <w:rFonts w:ascii="Arial" w:eastAsia="Arial" w:hAnsi="Arial" w:cs="Arial"/>
          <w:sz w:val="12"/>
          <w:szCs w:val="12"/>
        </w:rPr>
      </w:pPr>
      <w:r>
        <w:rPr>
          <w:rFonts w:ascii="Arial"/>
          <w:w w:val="105"/>
          <w:sz w:val="12"/>
        </w:rPr>
        <w:t>20</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2"/>
          <w:szCs w:val="12"/>
        </w:rPr>
      </w:pPr>
    </w:p>
    <w:p w:rsidR="00CC7D10" w:rsidRDefault="00CC7D10" w:rsidP="00CC7D10">
      <w:pPr>
        <w:spacing w:before="89"/>
        <w:ind w:left="1470"/>
        <w:rPr>
          <w:rFonts w:ascii="Arial" w:eastAsia="Arial" w:hAnsi="Arial" w:cs="Arial"/>
          <w:sz w:val="12"/>
          <w:szCs w:val="12"/>
        </w:rPr>
      </w:pPr>
      <w:r>
        <w:rPr>
          <w:rFonts w:ascii="Arial"/>
          <w:w w:val="105"/>
          <w:sz w:val="12"/>
        </w:rPr>
        <w:t>15</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2"/>
          <w:szCs w:val="12"/>
        </w:rPr>
      </w:pPr>
    </w:p>
    <w:p w:rsidR="00CC7D10" w:rsidRDefault="00CC7D10" w:rsidP="00CC7D10">
      <w:pPr>
        <w:spacing w:before="89"/>
        <w:ind w:left="1470"/>
        <w:rPr>
          <w:rFonts w:ascii="Arial" w:eastAsia="Arial" w:hAnsi="Arial" w:cs="Arial"/>
          <w:sz w:val="12"/>
          <w:szCs w:val="12"/>
        </w:rPr>
      </w:pPr>
      <w:r>
        <w:rPr>
          <w:rFonts w:ascii="Arial"/>
          <w:w w:val="105"/>
          <w:sz w:val="12"/>
        </w:rPr>
        <w:t>10</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2"/>
          <w:szCs w:val="12"/>
        </w:rPr>
      </w:pPr>
    </w:p>
    <w:p w:rsidR="00CC7D10" w:rsidRDefault="00CC7D10" w:rsidP="00CC7D10">
      <w:pPr>
        <w:spacing w:before="94"/>
        <w:ind w:left="1537"/>
        <w:rPr>
          <w:rFonts w:ascii="Arial" w:eastAsia="Arial" w:hAnsi="Arial" w:cs="Arial"/>
          <w:sz w:val="12"/>
          <w:szCs w:val="12"/>
        </w:rPr>
      </w:pPr>
      <w:r>
        <w:rPr>
          <w:rFonts w:ascii="Arial"/>
          <w:w w:val="104"/>
          <w:sz w:val="12"/>
        </w:rPr>
        <w:t>5</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2"/>
          <w:szCs w:val="12"/>
        </w:rPr>
      </w:pPr>
    </w:p>
    <w:p w:rsidR="00CC7D10" w:rsidRDefault="00CC7D10" w:rsidP="00CC7D10">
      <w:pPr>
        <w:spacing w:before="89"/>
        <w:ind w:left="1537"/>
        <w:rPr>
          <w:rFonts w:ascii="Arial" w:eastAsia="Arial" w:hAnsi="Arial" w:cs="Arial"/>
          <w:sz w:val="12"/>
          <w:szCs w:val="12"/>
        </w:rPr>
      </w:pPr>
      <w:r w:rsidRPr="00CC7D10">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7" type="#_x0000_t136" style="position:absolute;left:0;text-align:left;margin-left:72.75pt;margin-top:32.25pt;width:52.95pt;height:6.3pt;rotation:315;z-index:251630080;mso-position-horizontal-relative:page" fillcolor="black" stroked="f">
            <o:extrusion v:ext="view" autorotationcenter="t"/>
            <v:textpath style="font-family:&quot;&amp;quot&quot;;font-size:6pt;v-text-kern:t;mso-text-shadow:auto" string="Belo Horizonte/MG"/>
            <w10:wrap anchorx="page"/>
          </v:shape>
        </w:pict>
      </w:r>
      <w:r w:rsidRPr="00CC7D10">
        <w:rPr>
          <w:lang w:val="en-US"/>
        </w:rPr>
        <w:pict>
          <v:shape id="_x0000_s1348" type="#_x0000_t136" style="position:absolute;left:0;text-align:left;margin-left:107.3pt;margin-top:24.5pt;width:31.2pt;height:6.3pt;rotation:315;z-index:251631104;mso-position-horizontal-relative:page" fillcolor="black" stroked="f">
            <o:extrusion v:ext="view" autorotationcenter="t"/>
            <v:textpath style="font-family:&quot;&amp;quot&quot;;font-size:6pt;v-text-kern:t;mso-text-shadow:auto" string="Brasília/DF"/>
            <w10:wrap anchorx="page"/>
          </v:shape>
        </w:pict>
      </w:r>
      <w:r w:rsidRPr="00CC7D10">
        <w:rPr>
          <w:lang w:val="en-US"/>
        </w:rPr>
        <w:pict>
          <v:shape id="_x0000_s1349" type="#_x0000_t136" style="position:absolute;left:0;text-align:left;margin-left:128.7pt;margin-top:22.2pt;width:25.1pt;height:6.3pt;rotation:315;z-index:251632128;mso-position-horizontal-relative:page" fillcolor="black" stroked="f">
            <o:extrusion v:ext="view" autorotationcenter="t"/>
            <v:textpath style="font-family:&quot;&amp;quot&quot;;font-size:6pt;v-text-kern:t;mso-text-shadow:auto" string="Cabo/PE"/>
            <w10:wrap anchorx="page"/>
          </v:shape>
        </w:pict>
      </w:r>
      <w:r w:rsidRPr="00CC7D10">
        <w:rPr>
          <w:lang w:val="en-US"/>
        </w:rPr>
        <w:pict>
          <v:shape id="_x0000_s1350" type="#_x0000_t136" style="position:absolute;left:0;text-align:left;margin-left:133.2pt;margin-top:27.05pt;width:38.5pt;height:6.3pt;rotation:315;z-index:251633152;mso-position-horizontal-relative:page" fillcolor="black" stroked="f">
            <o:extrusion v:ext="view" autorotationcenter="t"/>
            <v:textpath style="font-family:&quot;&amp;quot&quot;;font-size:6pt;v-text-kern:t;mso-text-shadow:auto" string="Campinas/SP"/>
            <w10:wrap anchorx="page"/>
          </v:shape>
        </w:pict>
      </w:r>
      <w:r w:rsidRPr="00CC7D10">
        <w:rPr>
          <w:lang w:val="en-US"/>
        </w:rPr>
        <w:pict>
          <v:shape id="_x0000_s1351" type="#_x0000_t136" style="position:absolute;left:0;text-align:left;margin-left:155.95pt;margin-top:24.3pt;width:30.7pt;height:6.3pt;rotation:315;z-index:251634176;mso-position-horizontal-relative:page" fillcolor="black" stroked="f">
            <o:extrusion v:ext="view" autorotationcenter="t"/>
            <v:textpath style="font-family:&quot;&amp;quot&quot;;font-size:6pt;v-text-kern:t;mso-text-shadow:auto" string="Cuiabá/MT"/>
            <w10:wrap anchorx="page"/>
          </v:shape>
        </w:pict>
      </w:r>
      <w:r w:rsidRPr="00CC7D10">
        <w:rPr>
          <w:lang w:val="en-US"/>
        </w:rPr>
        <w:pict>
          <v:shape id="_x0000_s1352" type="#_x0000_t136" style="position:absolute;left:0;text-align:left;margin-left:170.5pt;margin-top:24.9pt;width:32.05pt;height:6.3pt;rotation:315;z-index:251635200;mso-position-horizontal-relative:page" fillcolor="black" stroked="f">
            <o:extrusion v:ext="view" autorotationcenter="t"/>
            <v:textpath style="font-family:&quot;&amp;quot&quot;;font-size:6pt;v-text-kern:t;mso-text-shadow:auto" string="Curitiba/PR"/>
            <w10:wrap anchorx="page"/>
          </v:shape>
        </w:pict>
      </w:r>
      <w:r w:rsidRPr="00CC7D10">
        <w:rPr>
          <w:lang w:val="en-US"/>
        </w:rPr>
        <w:pict>
          <v:shape id="_x0000_s1353" type="#_x0000_t136" style="position:absolute;left:0;text-align:left;margin-left:183.8pt;margin-top:26pt;width:35.45pt;height:6.3pt;rotation:315;z-index:251636224;mso-position-horizontal-relative:page" fillcolor="black" stroked="f">
            <o:extrusion v:ext="view" autorotationcenter="t"/>
            <v:textpath style="font-family:&quot;&amp;quot&quot;;font-size:6pt;v-text-kern:t;mso-text-shadow:auto" string="Diadema/SP"/>
            <w10:wrap anchorx="page"/>
          </v:shape>
        </w:pict>
      </w:r>
      <w:r w:rsidRPr="00CC7D10">
        <w:rPr>
          <w:lang w:val="en-US"/>
        </w:rPr>
        <w:pict>
          <v:shape id="_x0000_s1354" type="#_x0000_t136" style="position:absolute;left:0;text-align:left;margin-left:201.7pt;margin-top:25.35pt;width:33.1pt;height:6.3pt;rotation:315;z-index:251637248;mso-position-horizontal-relative:page" fillcolor="black" stroked="f">
            <o:extrusion v:ext="view" autorotationcenter="t"/>
            <v:textpath style="font-family:&quot;&amp;quot&quot;;font-size:6pt;v-text-kern:t;mso-text-shadow:auto" string="Goiânia/GO"/>
            <w10:wrap anchorx="page"/>
          </v:shape>
        </w:pict>
      </w:r>
      <w:r w:rsidRPr="00CC7D10">
        <w:rPr>
          <w:lang w:val="en-US"/>
        </w:rPr>
        <w:pict>
          <v:shape id="_x0000_s1355" type="#_x0000_t136" style="position:absolute;left:0;text-align:left;margin-left:206.9pt;margin-top:29.5pt;width:46.45pt;height:6.3pt;rotation:315;z-index:251638272;mso-position-horizontal-relative:page" fillcolor="black" stroked="f">
            <o:extrusion v:ext="view" autorotationcenter="t"/>
            <v:textpath style="font-family:&quot;&amp;quot&quot;;font-size:6pt;v-text-kern:t;mso-text-shadow:auto" string="João Pessoa/PB"/>
            <w10:wrap anchorx="page"/>
          </v:shape>
        </w:pict>
      </w:r>
      <w:r w:rsidRPr="00CC7D10">
        <w:rPr>
          <w:lang w:val="en-US"/>
        </w:rPr>
        <w:pict>
          <v:shape id="_x0000_s1356" type="#_x0000_t136" style="position:absolute;left:0;text-align:left;margin-left:222.5pt;margin-top:30pt;width:46.3pt;height:6.3pt;rotation:315;z-index:251639296;mso-position-horizontal-relative:page" fillcolor="black" stroked="f">
            <o:extrusion v:ext="view" autorotationcenter="t"/>
            <v:textpath style="font-family:&quot;&amp;quot&quot;;font-size:6pt;v-text-kern:t;mso-text-shadow:auto" string="Juiz de Fora/MG"/>
            <w10:wrap anchorx="page"/>
          </v:shape>
        </w:pict>
      </w:r>
      <w:r w:rsidRPr="00CC7D10">
        <w:rPr>
          <w:lang w:val="en-US"/>
        </w:rPr>
        <w:pict>
          <v:shape id="_x0000_s1357" type="#_x0000_t136" style="position:absolute;left:0;text-align:left;margin-left:259.65pt;margin-top:21.1pt;width:21.7pt;height:6.3pt;rotation:315;z-index:251640320;mso-position-horizontal-relative:page" fillcolor="black" stroked="f">
            <o:extrusion v:ext="view" autorotationcenter="t"/>
            <v:textpath style="font-family:&quot;&amp;quot&quot;;font-size:6pt;v-text-kern:t;mso-text-shadow:auto" string="Lins/SP"/>
            <w10:wrap anchorx="page"/>
          </v:shape>
        </w:pict>
      </w:r>
      <w:r w:rsidRPr="00CC7D10">
        <w:rPr>
          <w:lang w:val="en-US"/>
        </w:rPr>
        <w:pict>
          <v:shape id="_x0000_s1359" type="#_x0000_t136" style="position:absolute;left:0;text-align:left;margin-left:288.7pt;margin-top:22.55pt;width:25.25pt;height:6.3pt;rotation:315;z-index:251642368;mso-position-horizontal-relative:page" fillcolor="black" stroked="f">
            <o:extrusion v:ext="view" autorotationcenter="t"/>
            <v:textpath style="font-family:&quot;&amp;quot&quot;;font-size:6pt;v-text-kern:t;mso-text-shadow:auto" string="Natal/RN"/>
            <w10:wrap anchorx="page"/>
          </v:shape>
        </w:pict>
      </w:r>
      <w:r w:rsidRPr="00CC7D10">
        <w:rPr>
          <w:lang w:val="en-US"/>
        </w:rPr>
        <w:pict>
          <v:shape id="_x0000_s1360" type="#_x0000_t136" style="position:absolute;left:0;text-align:left;margin-left:295.95pt;margin-top:26pt;width:35.75pt;height:6.3pt;rotation:315;z-index:251643392;mso-position-horizontal-relative:page" fillcolor="black" stroked="f">
            <o:extrusion v:ext="view" autorotationcenter="t"/>
            <v:textpath style="font-family:&quot;&amp;quot&quot;;font-size:6pt;v-text-kern:t;mso-text-shadow:auto" string="Paris/França"/>
            <w10:wrap anchorx="page"/>
          </v:shape>
        </w:pict>
      </w:r>
      <w:r w:rsidRPr="00CC7D10">
        <w:rPr>
          <w:lang w:val="en-US"/>
        </w:rPr>
        <w:pict>
          <v:shape id="_x0000_s1361" type="#_x0000_t136" style="position:absolute;left:0;text-align:left;margin-left:303.55pt;margin-top:29.4pt;width:45.45pt;height:6.3pt;rotation:315;z-index:251644416;mso-position-horizontal-relative:page" fillcolor="black" stroked="f">
            <o:extrusion v:ext="view" autorotationcenter="t"/>
            <v:textpath style="font-family:&quot;&amp;quot&quot;;font-size:6pt;v-text-kern:t;mso-text-shadow:auto" string="Porto Alegre/RS"/>
            <w10:wrap anchorx="page"/>
          </v:shape>
        </w:pict>
      </w:r>
      <w:r w:rsidRPr="00CC7D10">
        <w:rPr>
          <w:lang w:val="en-US"/>
        </w:rPr>
        <w:pict>
          <v:shape id="_x0000_s1362" type="#_x0000_t136" style="position:absolute;left:0;text-align:left;margin-left:334.3pt;margin-top:23.45pt;width:27.95pt;height:6.3pt;rotation:315;z-index:251645440;mso-position-horizontal-relative:page" fillcolor="black" stroked="f">
            <o:extrusion v:ext="view" autorotationcenter="t"/>
            <v:textpath style="font-family:&quot;&amp;quot&quot;;font-size:6pt;v-text-kern:t;mso-text-shadow:auto" string="Recife/PE"/>
            <w10:wrap anchorx="page"/>
          </v:shape>
        </w:pict>
      </w:r>
      <w:r w:rsidRPr="00CC7D10">
        <w:rPr>
          <w:lang w:val="en-US"/>
        </w:rPr>
        <w:pict>
          <v:shape id="_x0000_s1363" type="#_x0000_t136" style="position:absolute;left:0;text-align:left;margin-left:331.95pt;margin-top:30.95pt;width:49.85pt;height:6.3pt;rotation:315;z-index:251646464;mso-position-horizontal-relative:page" fillcolor="black" stroked="f">
            <o:extrusion v:ext="view" autorotationcenter="t"/>
            <v:textpath style="font-family:&quot;&amp;quot&quot;;font-size:6pt;v-text-kern:t;mso-text-shadow:auto" string="Rio de Janeiro/RJ"/>
            <w10:wrap anchorx="page"/>
          </v:shape>
        </w:pict>
      </w:r>
      <w:r w:rsidRPr="00CC7D10">
        <w:rPr>
          <w:lang w:val="en-US"/>
        </w:rPr>
        <w:pict>
          <v:shape id="_x0000_s1364" type="#_x0000_t136" style="position:absolute;left:0;text-align:left;margin-left:360.5pt;margin-top:25.9pt;width:34.75pt;height:6.3pt;rotation:315;z-index:251647488;mso-position-horizontal-relative:page" fillcolor="black" stroked="f">
            <o:extrusion v:ext="view" autorotationcenter="t"/>
            <v:textpath style="font-family:&quot;&amp;quot&quot;;font-size:6pt;v-text-kern:t;mso-text-shadow:auto" string="Salvador/BA"/>
            <w10:wrap anchorx="page"/>
          </v:shape>
        </w:pict>
      </w:r>
      <w:r w:rsidRPr="00CC7D10">
        <w:rPr>
          <w:lang w:val="en-US"/>
        </w:rPr>
        <w:pict>
          <v:shape id="_x0000_s1365" type="#_x0000_t136" style="position:absolute;left:0;text-align:left;margin-left:368.05pt;margin-top:29.2pt;width:44.95pt;height:6.3pt;rotation:315;z-index:251648512;mso-position-horizontal-relative:page" fillcolor="black" stroked="f">
            <o:extrusion v:ext="view" autorotationcenter="t"/>
            <v:textpath style="font-family:&quot;&amp;quot&quot;;font-size:6pt;v-text-kern:t;mso-text-shadow:auto" string="Santo André/SP"/>
            <w10:wrap anchorx="page"/>
          </v:shape>
        </w:pict>
      </w:r>
      <w:r w:rsidRPr="00CC7D10">
        <w:rPr>
          <w:lang w:val="en-US"/>
        </w:rPr>
        <w:pict>
          <v:shape id="_x0000_s1367" type="#_x0000_t136" style="position:absolute;left:0;text-align:left;margin-left:405.2pt;margin-top:27.25pt;width:39.15pt;height:6.3pt;rotation:315;z-index:251650560;mso-position-horizontal-relative:page" fillcolor="black" stroked="f">
            <o:extrusion v:ext="view" autorotationcenter="t"/>
            <v:textpath style="font-family:&quot;&amp;quot&quot;;font-size:6pt;v-text-kern:t;mso-text-shadow:auto" string="São Paulo/SP"/>
            <w10:wrap anchorx="page"/>
          </v:shape>
        </w:pict>
      </w:r>
      <w:r w:rsidRPr="00CC7D10">
        <w:rPr>
          <w:lang w:val="en-US"/>
        </w:rPr>
        <w:pict>
          <v:shape id="_x0000_s1369" type="#_x0000_t136" style="position:absolute;left:0;text-align:left;margin-left:427.05pt;margin-top:24.85pt;width:32.15pt;height:6.3pt;rotation:315;z-index:251652608;mso-position-horizontal-relative:page" fillcolor="black" stroked="f">
            <o:extrusion v:ext="view" autorotationcenter="t"/>
            <v:textpath style="font-family:&quot;&amp;quot&quot;;font-size:6pt;v-text-kern:t;mso-text-shadow:auto" string="Teresina/PI"/>
            <w10:wrap anchorx="page"/>
          </v:shape>
        </w:pict>
      </w:r>
      <w:r w:rsidRPr="00CC7D10">
        <w:rPr>
          <w:lang w:val="en-US"/>
        </w:rPr>
        <w:pict>
          <v:shape id="_x0000_s1370" type="#_x0000_t136" style="position:absolute;left:0;text-align:left;margin-left:436.6pt;margin-top:27.3pt;width:39.85pt;height:6.3pt;rotation:315;z-index:251653632;mso-position-horizontal-relative:page" fillcolor="black" stroked="f">
            <o:extrusion v:ext="view" autorotationcenter="t"/>
            <v:textpath style="font-family:&quot;&amp;quot&quot;;font-size:6pt;v-text-kern:t;mso-text-shadow:auto" string="não declarada"/>
            <w10:wrap anchorx="page"/>
          </v:shape>
        </w:pict>
      </w:r>
      <w:r>
        <w:rPr>
          <w:rFonts w:ascii="Arial"/>
          <w:w w:val="104"/>
          <w:sz w:val="12"/>
        </w:rPr>
        <w:t>0</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20"/>
          <w:szCs w:val="20"/>
        </w:rPr>
      </w:pPr>
    </w:p>
    <w:p w:rsidR="00CC7D10" w:rsidRDefault="00CC7D10" w:rsidP="00CC7D10">
      <w:pPr>
        <w:spacing w:before="10"/>
        <w:rPr>
          <w:rFonts w:ascii="Arial" w:eastAsia="Arial" w:hAnsi="Arial" w:cs="Arial"/>
          <w:sz w:val="15"/>
          <w:szCs w:val="15"/>
        </w:rPr>
      </w:pPr>
    </w:p>
    <w:p w:rsidR="00CC7D10" w:rsidRDefault="00CC7D10" w:rsidP="00CC7D10">
      <w:pPr>
        <w:spacing w:before="80"/>
        <w:ind w:left="995"/>
        <w:rPr>
          <w:rFonts w:ascii="Arial" w:eastAsia="Arial" w:hAnsi="Arial" w:cs="Arial"/>
          <w:sz w:val="15"/>
          <w:szCs w:val="15"/>
        </w:rPr>
      </w:pPr>
      <w:r w:rsidRPr="00CC7D10">
        <w:rPr>
          <w:lang w:val="en-US"/>
        </w:rPr>
        <w:pict>
          <v:shape id="_x0000_s1358" type="#_x0000_t136" style="position:absolute;left:0;text-align:left;margin-left:226.45pt;margin-top:-25.1pt;width:79.9pt;height:6.3pt;rotation:315;z-index:251641344;mso-position-horizontal-relative:page" fillcolor="black" stroked="f">
            <o:extrusion v:ext="view" autorotationcenter="t"/>
            <v:textpath style="font-family:&quot;&amp;quot&quot;;font-size:6pt;v-text-kern:t;mso-text-shadow:auto" string="Londrina/PR - São Paulo/SP"/>
            <w10:wrap anchorx="page"/>
          </v:shape>
        </w:pict>
      </w:r>
      <w:r w:rsidRPr="00CC7D10">
        <w:rPr>
          <w:lang w:val="en-US"/>
        </w:rPr>
        <w:pict>
          <v:shape id="_x0000_s1366" type="#_x0000_t136" style="position:absolute;left:0;text-align:left;margin-left:354.7pt;margin-top:-25.2pt;width:79.75pt;height:6.3pt;rotation:315;z-index:251649536;mso-position-horizontal-relative:page" fillcolor="black" stroked="f">
            <o:extrusion v:ext="view" autorotationcenter="t"/>
            <v:textpath style="font-family:&quot;&amp;quot&quot;;font-size:6pt;v-text-kern:t;mso-text-shadow:auto" string="São Bernardo do Campo/SP"/>
            <w10:wrap anchorx="page"/>
          </v:shape>
        </w:pict>
      </w:r>
      <w:r>
        <w:rPr>
          <w:rFonts w:ascii="Arial"/>
          <w:sz w:val="15"/>
        </w:rPr>
        <w:t>Fonte: Levantamento realizado pela</w:t>
      </w:r>
      <w:r>
        <w:rPr>
          <w:rFonts w:ascii="Arial"/>
          <w:spacing w:val="-3"/>
          <w:sz w:val="15"/>
        </w:rPr>
        <w:t xml:space="preserve"> </w:t>
      </w:r>
      <w:r>
        <w:rPr>
          <w:rFonts w:ascii="Arial"/>
          <w:sz w:val="15"/>
        </w:rPr>
        <w:t>autora</w:t>
      </w:r>
    </w:p>
    <w:p w:rsidR="00CC7D10" w:rsidRDefault="00CC7D10"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BC7986" w:rsidRDefault="00BC7986" w:rsidP="00CC7D10">
      <w:pPr>
        <w:spacing w:before="9"/>
        <w:rPr>
          <w:rFonts w:ascii="Arial" w:eastAsia="Arial" w:hAnsi="Arial" w:cs="Arial"/>
          <w:sz w:val="28"/>
          <w:szCs w:val="28"/>
        </w:rPr>
      </w:pPr>
    </w:p>
    <w:p w:rsidR="00CC7D10" w:rsidRDefault="00CC7D10" w:rsidP="00CC7D10">
      <w:pPr>
        <w:spacing w:before="86"/>
        <w:ind w:left="3505"/>
        <w:rPr>
          <w:rFonts w:ascii="Arial" w:eastAsia="Arial" w:hAnsi="Arial" w:cs="Arial"/>
          <w:sz w:val="13"/>
          <w:szCs w:val="13"/>
        </w:rPr>
      </w:pPr>
      <w:r>
        <w:rPr>
          <w:rFonts w:ascii="Arial" w:hAnsi="Arial"/>
          <w:b/>
          <w:w w:val="105"/>
          <w:sz w:val="13"/>
        </w:rPr>
        <w:t>Gráfico</w:t>
      </w:r>
      <w:r>
        <w:rPr>
          <w:rFonts w:ascii="Arial" w:hAnsi="Arial"/>
          <w:b/>
          <w:spacing w:val="-18"/>
          <w:w w:val="105"/>
          <w:sz w:val="13"/>
        </w:rPr>
        <w:t xml:space="preserve"> </w:t>
      </w:r>
      <w:r>
        <w:rPr>
          <w:rFonts w:ascii="Arial" w:hAnsi="Arial"/>
          <w:b/>
          <w:w w:val="105"/>
          <w:sz w:val="13"/>
        </w:rPr>
        <w:t>2:</w:t>
      </w:r>
      <w:r>
        <w:rPr>
          <w:rFonts w:ascii="Arial" w:hAnsi="Arial"/>
          <w:b/>
          <w:spacing w:val="-16"/>
          <w:w w:val="105"/>
          <w:sz w:val="13"/>
        </w:rPr>
        <w:t xml:space="preserve"> </w:t>
      </w:r>
      <w:r>
        <w:rPr>
          <w:rFonts w:ascii="Arial" w:hAnsi="Arial"/>
          <w:b/>
          <w:w w:val="105"/>
          <w:sz w:val="13"/>
        </w:rPr>
        <w:t>Disbruição</w:t>
      </w:r>
      <w:r>
        <w:rPr>
          <w:rFonts w:ascii="Arial" w:hAnsi="Arial"/>
          <w:b/>
          <w:spacing w:val="-18"/>
          <w:w w:val="105"/>
          <w:sz w:val="13"/>
        </w:rPr>
        <w:t xml:space="preserve"> </w:t>
      </w:r>
      <w:r>
        <w:rPr>
          <w:rFonts w:ascii="Arial" w:hAnsi="Arial"/>
          <w:b/>
          <w:w w:val="105"/>
          <w:sz w:val="13"/>
        </w:rPr>
        <w:t>dos</w:t>
      </w:r>
      <w:r>
        <w:rPr>
          <w:rFonts w:ascii="Arial" w:hAnsi="Arial"/>
          <w:b/>
          <w:spacing w:val="-17"/>
          <w:w w:val="105"/>
          <w:sz w:val="13"/>
        </w:rPr>
        <w:t xml:space="preserve"> </w:t>
      </w:r>
      <w:r>
        <w:rPr>
          <w:rFonts w:ascii="Arial" w:hAnsi="Arial"/>
          <w:b/>
          <w:w w:val="105"/>
          <w:sz w:val="13"/>
        </w:rPr>
        <w:t>periódicos</w:t>
      </w:r>
      <w:r>
        <w:rPr>
          <w:rFonts w:ascii="Arial" w:hAnsi="Arial"/>
          <w:b/>
          <w:spacing w:val="-17"/>
          <w:w w:val="105"/>
          <w:sz w:val="13"/>
        </w:rPr>
        <w:t xml:space="preserve"> </w:t>
      </w:r>
      <w:r>
        <w:rPr>
          <w:rFonts w:ascii="Arial" w:hAnsi="Arial"/>
          <w:b/>
          <w:w w:val="105"/>
          <w:sz w:val="13"/>
        </w:rPr>
        <w:t>por</w:t>
      </w:r>
      <w:r>
        <w:rPr>
          <w:rFonts w:ascii="Arial" w:hAnsi="Arial"/>
          <w:b/>
          <w:spacing w:val="-14"/>
          <w:w w:val="105"/>
          <w:sz w:val="13"/>
        </w:rPr>
        <w:t xml:space="preserve"> </w:t>
      </w:r>
      <w:r>
        <w:rPr>
          <w:rFonts w:ascii="Arial" w:hAnsi="Arial"/>
          <w:b/>
          <w:w w:val="105"/>
          <w:sz w:val="13"/>
        </w:rPr>
        <w:t>região</w:t>
      </w:r>
    </w:p>
    <w:p w:rsidR="00CC7D10" w:rsidRDefault="00CC7D10" w:rsidP="00CC7D10">
      <w:pPr>
        <w:spacing w:before="3"/>
        <w:rPr>
          <w:rFonts w:ascii="Arial" w:eastAsia="Arial" w:hAnsi="Arial" w:cs="Arial"/>
          <w:b/>
          <w:bCs/>
          <w:sz w:val="15"/>
          <w:szCs w:val="15"/>
        </w:rPr>
      </w:pPr>
    </w:p>
    <w:p w:rsidR="00CC7D10" w:rsidRDefault="00CC7D10" w:rsidP="00CC7D10">
      <w:pPr>
        <w:spacing w:before="87"/>
        <w:ind w:left="971"/>
        <w:rPr>
          <w:rFonts w:ascii="Arial" w:eastAsia="Arial" w:hAnsi="Arial" w:cs="Arial"/>
          <w:sz w:val="11"/>
          <w:szCs w:val="11"/>
        </w:rPr>
      </w:pPr>
      <w:r w:rsidRPr="00CC7D10">
        <w:rPr>
          <w:lang w:val="en-US"/>
        </w:rPr>
        <w:pict>
          <v:group id="_x0000_s1232" style="position:absolute;left:0;text-align:left;margin-left:85.05pt;margin-top:7.55pt;width:397.15pt;height:174.7pt;z-index:251629056;mso-position-horizontal-relative:page" coordorigin="1701,151" coordsize="7943,3494">
            <v:group id="_x0000_s1233" style="position:absolute;left:7042;top:3262;width:2597;height:2" coordorigin="7042,3262" coordsize="2597,2">
              <v:shape id="_x0000_s1234" style="position:absolute;left:7042;top:3262;width:2597;height:2" coordorigin="7042,3262" coordsize="2597,0" path="m7042,3262r2596,e" filled="f" strokeweight=".24pt">
                <v:path arrowok="t"/>
              </v:shape>
            </v:group>
            <v:group id="_x0000_s1235" style="position:absolute;left:5909;top:3262;width:677;height:2" coordorigin="5909,3262" coordsize="677,2">
              <v:shape id="_x0000_s1236" style="position:absolute;left:5909;top:3262;width:677;height:2" coordorigin="5909,3262" coordsize="677,0" path="m5909,3262r677,e" filled="f" strokeweight=".24pt">
                <v:path arrowok="t"/>
              </v:shape>
            </v:group>
            <v:group id="_x0000_s1237" style="position:absolute;left:4786;top:3262;width:672;height:2" coordorigin="4786,3262" coordsize="672,2">
              <v:shape id="_x0000_s1238" style="position:absolute;left:4786;top:3262;width:672;height:2" coordorigin="4786,3262" coordsize="672,0" path="m4786,3262r672,e" filled="f" strokeweight=".24pt">
                <v:path arrowok="t"/>
              </v:shape>
            </v:group>
            <v:group id="_x0000_s1239" style="position:absolute;left:3653;top:3262;width:677;height:2" coordorigin="3653,3262" coordsize="677,2">
              <v:shape id="_x0000_s1240" style="position:absolute;left:3653;top:3262;width:677;height:2" coordorigin="3653,3262" coordsize="677,0" path="m3653,3262r677,e" filled="f" strokeweight=".24pt">
                <v:path arrowok="t"/>
              </v:shape>
            </v:group>
            <v:group id="_x0000_s1241" style="position:absolute;left:1738;top:3262;width:1464;height:2" coordorigin="1738,3262" coordsize="1464,2">
              <v:shape id="_x0000_s1242" style="position:absolute;left:1738;top:3262;width:1464;height:2" coordorigin="1738,3262" coordsize="1464,0" path="m1738,3262r1464,e" filled="f" strokeweight=".24pt">
                <v:path arrowok="t"/>
              </v:shape>
            </v:group>
            <v:group id="_x0000_s1243" style="position:absolute;left:7042;top:2917;width:2597;height:2" coordorigin="7042,2917" coordsize="2597,2">
              <v:shape id="_x0000_s1244" style="position:absolute;left:7042;top:2917;width:2597;height:2" coordorigin="7042,2917" coordsize="2597,0" path="m7042,2917r2596,e" filled="f" strokeweight=".24pt">
                <v:path arrowok="t"/>
              </v:shape>
            </v:group>
            <v:group id="_x0000_s1245" style="position:absolute;left:5909;top:2917;width:677;height:2" coordorigin="5909,2917" coordsize="677,2">
              <v:shape id="_x0000_s1246" style="position:absolute;left:5909;top:2917;width:677;height:2" coordorigin="5909,2917" coordsize="677,0" path="m5909,2917r677,e" filled="f" strokeweight=".24pt">
                <v:path arrowok="t"/>
              </v:shape>
            </v:group>
            <v:group id="_x0000_s1247" style="position:absolute;left:1738;top:2917;width:3720;height:2" coordorigin="1738,2917" coordsize="3720,2">
              <v:shape id="_x0000_s1248" style="position:absolute;left:1738;top:2917;width:3720;height:2" coordorigin="1738,2917" coordsize="3720,0" path="m1738,2917r3720,e" filled="f" strokeweight=".24pt">
                <v:path arrowok="t"/>
              </v:shape>
            </v:group>
            <v:group id="_x0000_s1249" style="position:absolute;left:7042;top:2571;width:2597;height:2" coordorigin="7042,2571" coordsize="2597,2">
              <v:shape id="_x0000_s1250" style="position:absolute;left:7042;top:2571;width:2597;height:2" coordorigin="7042,2571" coordsize="2597,0" path="m7042,2571r2596,e" filled="f" strokeweight=".24pt">
                <v:path arrowok="t"/>
              </v:shape>
            </v:group>
            <v:group id="_x0000_s1251" style="position:absolute;left:1738;top:2571;width:4848;height:2" coordorigin="1738,2571" coordsize="4848,2">
              <v:shape id="_x0000_s1252" style="position:absolute;left:1738;top:2571;width:4848;height:2" coordorigin="1738,2571" coordsize="4848,0" path="m1738,2571r4848,e" filled="f" strokeweight=".24pt">
                <v:path arrowok="t"/>
              </v:shape>
            </v:group>
            <v:group id="_x0000_s1253" style="position:absolute;left:7042;top:2225;width:2597;height:2" coordorigin="7042,2225" coordsize="2597,2">
              <v:shape id="_x0000_s1254" style="position:absolute;left:7042;top:2225;width:2597;height:2" coordorigin="7042,2225" coordsize="2597,0" path="m7042,2225r2596,e" filled="f" strokeweight=".24pt">
                <v:path arrowok="t"/>
              </v:shape>
            </v:group>
            <v:group id="_x0000_s1255" style="position:absolute;left:1738;top:2225;width:4848;height:2" coordorigin="1738,2225" coordsize="4848,2">
              <v:shape id="_x0000_s1256" style="position:absolute;left:1738;top:2225;width:4848;height:2" coordorigin="1738,2225" coordsize="4848,0" path="m1738,2225r4848,e" filled="f" strokeweight=".24pt">
                <v:path arrowok="t"/>
              </v:shape>
            </v:group>
            <v:group id="_x0000_s1257" style="position:absolute;left:7042;top:1885;width:2597;height:2" coordorigin="7042,1885" coordsize="2597,2">
              <v:shape id="_x0000_s1258" style="position:absolute;left:7042;top:1885;width:2597;height:2" coordorigin="7042,1885" coordsize="2597,0" path="m7042,1885r2596,e" filled="f" strokeweight=".24pt">
                <v:path arrowok="t"/>
              </v:shape>
            </v:group>
            <v:group id="_x0000_s1259" style="position:absolute;left:1738;top:1885;width:4848;height:2" coordorigin="1738,1885" coordsize="4848,2">
              <v:shape id="_x0000_s1260" style="position:absolute;left:1738;top:1885;width:4848;height:2" coordorigin="1738,1885" coordsize="4848,0" path="m1738,1885r4848,e" filled="f" strokeweight=".24pt">
                <v:path arrowok="t"/>
              </v:shape>
            </v:group>
            <v:group id="_x0000_s1261" style="position:absolute;left:7042;top:1539;width:2597;height:2" coordorigin="7042,1539" coordsize="2597,2">
              <v:shape id="_x0000_s1262" style="position:absolute;left:7042;top:1539;width:2597;height:2" coordorigin="7042,1539" coordsize="2597,0" path="m7042,1539r2596,e" filled="f" strokeweight=".24pt">
                <v:path arrowok="t"/>
              </v:shape>
            </v:group>
            <v:group id="_x0000_s1263" style="position:absolute;left:1738;top:1539;width:4848;height:2" coordorigin="1738,1539" coordsize="4848,2">
              <v:shape id="_x0000_s1264" style="position:absolute;left:1738;top:1539;width:4848;height:2" coordorigin="1738,1539" coordsize="4848,0" path="m1738,1539r4848,e" filled="f" strokeweight=".24pt">
                <v:path arrowok="t"/>
              </v:shape>
            </v:group>
            <v:group id="_x0000_s1265" style="position:absolute;left:7042;top:1193;width:2597;height:2" coordorigin="7042,1193" coordsize="2597,2">
              <v:shape id="_x0000_s1266" style="position:absolute;left:7042;top:1193;width:2597;height:2" coordorigin="7042,1193" coordsize="2597,0" path="m7042,1193r2596,e" filled="f" strokeweight=".24pt">
                <v:path arrowok="t"/>
              </v:shape>
            </v:group>
            <v:group id="_x0000_s1267" style="position:absolute;left:1738;top:1193;width:4848;height:2" coordorigin="1738,1193" coordsize="4848,2">
              <v:shape id="_x0000_s1268" style="position:absolute;left:1738;top:1193;width:4848;height:2" coordorigin="1738,1193" coordsize="4848,0" path="m1738,1193r4848,e" filled="f" strokeweight=".24pt">
                <v:path arrowok="t"/>
              </v:shape>
            </v:group>
            <v:group id="_x0000_s1269" style="position:absolute;left:7042;top:848;width:2597;height:2" coordorigin="7042,848" coordsize="2597,2">
              <v:shape id="_x0000_s1270" style="position:absolute;left:7042;top:848;width:2597;height:2" coordorigin="7042,848" coordsize="2597,0" path="m7042,848r2596,e" filled="f" strokeweight=".24pt">
                <v:path arrowok="t"/>
              </v:shape>
            </v:group>
            <v:group id="_x0000_s1271" style="position:absolute;left:1738;top:848;width:4848;height:2" coordorigin="1738,848" coordsize="4848,2">
              <v:shape id="_x0000_s1272" style="position:absolute;left:1738;top:848;width:4848;height:2" coordorigin="1738,848" coordsize="4848,0" path="m1738,848r4848,e" filled="f" strokeweight=".24pt">
                <v:path arrowok="t"/>
              </v:shape>
            </v:group>
            <v:group id="_x0000_s1273" style="position:absolute;left:7042;top:502;width:2597;height:2" coordorigin="7042,502" coordsize="2597,2">
              <v:shape id="_x0000_s1274" style="position:absolute;left:7042;top:502;width:2597;height:2" coordorigin="7042,502" coordsize="2597,0" path="m7042,502r2596,e" filled="f" strokeweight=".24pt">
                <v:path arrowok="t"/>
              </v:shape>
            </v:group>
            <v:group id="_x0000_s1275" style="position:absolute;left:1738;top:502;width:4848;height:2" coordorigin="1738,502" coordsize="4848,2">
              <v:shape id="_x0000_s1276" style="position:absolute;left:1738;top:502;width:4848;height:2" coordorigin="1738,502" coordsize="4848,0" path="m1738,502r4848,e" filled="f" strokeweight=".24pt">
                <v:path arrowok="t"/>
              </v:shape>
            </v:group>
            <v:group id="_x0000_s1277" style="position:absolute;left:1738;top:157;width:7901;height:2" coordorigin="1738,157" coordsize="7901,2">
              <v:shape id="_x0000_s1278" style="position:absolute;left:1738;top:157;width:7901;height:2" coordorigin="1738,157" coordsize="7901,0" path="m1738,157r7900,e" filled="f" strokeweight=".24pt">
                <v:path arrowok="t"/>
              </v:shape>
            </v:group>
            <v:group id="_x0000_s1279" style="position:absolute;left:1738;top:157;width:7901;height:3452" coordorigin="1738,157" coordsize="7901,3452">
              <v:shape id="_x0000_s1280" style="position:absolute;left:1738;top:157;width:7901;height:3452" coordorigin="1738,157" coordsize="7901,3452" path="m1738,157r7900,l9638,3608r-7900,l1738,157e" filled="f" strokecolor="#7f7f7f" strokeweight=".19575mm">
                <v:path arrowok="t"/>
              </v:shape>
            </v:group>
            <v:group id="_x0000_s1281" style="position:absolute;left:3202;top:3123;width:452;height:485" coordorigin="3202,3123" coordsize="452,485">
              <v:shape id="_x0000_s1282" style="position:absolute;left:3202;top:3123;width:452;height:485" coordorigin="3202,3123" coordsize="452,485" path="m3202,3608r451,l3653,3123r-451,l3202,3608xe" fillcolor="#99f" stroked="f">
                <v:path arrowok="t"/>
              </v:shape>
            </v:group>
            <v:group id="_x0000_s1283" style="position:absolute;left:3202;top:3123;width:452;height:485" coordorigin="3202,3123" coordsize="452,485">
              <v:shape id="_x0000_s1284" style="position:absolute;left:3202;top:3123;width:452;height:485" coordorigin="3202,3123" coordsize="452,485" path="m3202,3608r451,l3653,3123r-451,l3202,3608xe" filled="f" strokeweight=".19575mm">
                <v:path arrowok="t"/>
              </v:shape>
            </v:group>
            <v:group id="_x0000_s1285" style="position:absolute;left:4330;top:3056;width:456;height:552" coordorigin="4330,3056" coordsize="456,552">
              <v:shape id="_x0000_s1286" style="position:absolute;left:4330;top:3056;width:456;height:552" coordorigin="4330,3056" coordsize="456,552" path="m4330,3608r456,l4786,3056r-456,l4330,3608xe" fillcolor="#99f" stroked="f">
                <v:path arrowok="t"/>
              </v:shape>
            </v:group>
            <v:group id="_x0000_s1287" style="position:absolute;left:4330;top:3056;width:456;height:552" coordorigin="4330,3056" coordsize="456,552">
              <v:shape id="_x0000_s1288" style="position:absolute;left:4330;top:3056;width:456;height:552" coordorigin="4330,3056" coordsize="456,552" path="m4330,3608r456,l4786,3056r-456,l4330,3608xe" filled="f" strokeweight=".19575mm">
                <v:path arrowok="t"/>
              </v:shape>
            </v:group>
            <v:group id="_x0000_s1289" style="position:absolute;left:5458;top:2777;width:452;height:831" coordorigin="5458,2777" coordsize="452,831">
              <v:shape id="_x0000_s1290" style="position:absolute;left:5458;top:2777;width:452;height:831" coordorigin="5458,2777" coordsize="452,831" path="m5458,3608r451,l5909,2777r-451,l5458,3608xe" fillcolor="#99f" stroked="f">
                <v:path arrowok="t"/>
              </v:shape>
            </v:group>
            <v:group id="_x0000_s1291" style="position:absolute;left:5458;top:2777;width:452;height:831" coordorigin="5458,2777" coordsize="452,831">
              <v:shape id="_x0000_s1292" style="position:absolute;left:5458;top:2777;width:452;height:831" coordorigin="5458,2777" coordsize="452,831" path="m5458,3608r451,l5909,2777r-451,l5458,3608xe" filled="f" strokeweight=".19575mm">
                <v:path arrowok="t"/>
              </v:shape>
            </v:group>
            <v:group id="_x0000_s1293" style="position:absolute;left:6586;top:430;width:456;height:3178" coordorigin="6586,430" coordsize="456,3178">
              <v:shape id="_x0000_s1294" style="position:absolute;left:6586;top:430;width:456;height:3178" coordorigin="6586,430" coordsize="456,3178" path="m6586,3608r456,l7042,430r-456,l6586,3608xe" fillcolor="#99f" stroked="f">
                <v:path arrowok="t"/>
              </v:shape>
            </v:group>
            <v:group id="_x0000_s1295" style="position:absolute;left:6586;top:430;width:456;height:3178" coordorigin="6586,430" coordsize="456,3178">
              <v:shape id="_x0000_s1296" style="position:absolute;left:6586;top:430;width:456;height:3178" coordorigin="6586,430" coordsize="456,3178" path="m6586,3608r456,l7042,430r-456,l6586,3608xe" filled="f" strokeweight=".19575mm">
                <v:path arrowok="t"/>
              </v:shape>
            </v:group>
            <v:group id="_x0000_s1297" style="position:absolute;left:7718;top:3574;width:447;height:2" coordorigin="7718,3574" coordsize="447,2">
              <v:shape id="_x0000_s1298" style="position:absolute;left:7718;top:3574;width:447;height:2" coordorigin="7718,3574" coordsize="447,0" path="m7718,3574r447,e" filled="f" strokecolor="#99f" strokeweight="3.36pt">
                <v:path arrowok="t"/>
              </v:shape>
            </v:group>
            <v:group id="_x0000_s1299" style="position:absolute;left:7718;top:3541;width:447;height:68" coordorigin="7718,3541" coordsize="447,68">
              <v:shape id="_x0000_s1300" style="position:absolute;left:7718;top:3541;width:447;height:68" coordorigin="7718,3541" coordsize="447,68" path="m7718,3608r447,l8165,3541r-447,l7718,3608xe" filled="f" strokeweight=".19575mm">
                <v:path arrowok="t"/>
              </v:shape>
            </v:group>
            <v:group id="_x0000_s1301" style="position:absolute;left:8842;top:3574;width:456;height:2" coordorigin="8842,3574" coordsize="456,2">
              <v:shape id="_x0000_s1302" style="position:absolute;left:8842;top:3574;width:456;height:2" coordorigin="8842,3574" coordsize="456,0" path="m8842,3574r456,e" filled="f" strokecolor="#99f" strokeweight="3.36pt">
                <v:path arrowok="t"/>
              </v:shape>
            </v:group>
            <v:group id="_x0000_s1303" style="position:absolute;left:8842;top:3541;width:456;height:68" coordorigin="8842,3541" coordsize="456,68">
              <v:shape id="_x0000_s1304" style="position:absolute;left:8842;top:3541;width:456;height:68" coordorigin="8842,3541" coordsize="456,68" path="m8842,3608r456,l9298,3541r-456,l8842,3608xe" filled="f" strokeweight=".19575mm">
                <v:path arrowok="t"/>
              </v:shape>
            </v:group>
            <v:group id="_x0000_s1305" style="position:absolute;left:1738;top:157;width:2;height:3452" coordorigin="1738,157" coordsize="2,3452">
              <v:shape id="_x0000_s1306" style="position:absolute;left:1738;top:157;width:2;height:3452" coordorigin="1738,157" coordsize="0,3452" path="m1738,157r,3451e" filled="f" strokeweight=".24pt">
                <v:path arrowok="t"/>
              </v:shape>
            </v:group>
            <v:group id="_x0000_s1307" style="position:absolute;left:1704;top:3608;width:34;height:2" coordorigin="1704,3608" coordsize="34,2">
              <v:shape id="_x0000_s1308" style="position:absolute;left:1704;top:3608;width:34;height:2" coordorigin="1704,3608" coordsize="34,0" path="m1704,3608r34,e" filled="f" strokeweight=".24pt">
                <v:path arrowok="t"/>
              </v:shape>
            </v:group>
            <v:group id="_x0000_s1309" style="position:absolute;left:1704;top:3262;width:34;height:2" coordorigin="1704,3262" coordsize="34,2">
              <v:shape id="_x0000_s1310" style="position:absolute;left:1704;top:3262;width:34;height:2" coordorigin="1704,3262" coordsize="34,0" path="m1704,3262r34,e" filled="f" strokeweight=".24pt">
                <v:path arrowok="t"/>
              </v:shape>
            </v:group>
            <v:group id="_x0000_s1311" style="position:absolute;left:1704;top:2917;width:34;height:2" coordorigin="1704,2917" coordsize="34,2">
              <v:shape id="_x0000_s1312" style="position:absolute;left:1704;top:2917;width:34;height:2" coordorigin="1704,2917" coordsize="34,0" path="m1704,2917r34,e" filled="f" strokeweight=".24pt">
                <v:path arrowok="t"/>
              </v:shape>
            </v:group>
            <v:group id="_x0000_s1313" style="position:absolute;left:1704;top:2571;width:34;height:2" coordorigin="1704,2571" coordsize="34,2">
              <v:shape id="_x0000_s1314" style="position:absolute;left:1704;top:2571;width:34;height:2" coordorigin="1704,2571" coordsize="34,0" path="m1704,2571r34,e" filled="f" strokeweight=".24pt">
                <v:path arrowok="t"/>
              </v:shape>
            </v:group>
            <v:group id="_x0000_s1315" style="position:absolute;left:1704;top:2225;width:34;height:2" coordorigin="1704,2225" coordsize="34,2">
              <v:shape id="_x0000_s1316" style="position:absolute;left:1704;top:2225;width:34;height:2" coordorigin="1704,2225" coordsize="34,0" path="m1704,2225r34,e" filled="f" strokeweight=".24pt">
                <v:path arrowok="t"/>
              </v:shape>
            </v:group>
            <v:group id="_x0000_s1317" style="position:absolute;left:1704;top:1885;width:34;height:2" coordorigin="1704,1885" coordsize="34,2">
              <v:shape id="_x0000_s1318" style="position:absolute;left:1704;top:1885;width:34;height:2" coordorigin="1704,1885" coordsize="34,0" path="m1704,1885r34,e" filled="f" strokeweight=".24pt">
                <v:path arrowok="t"/>
              </v:shape>
            </v:group>
            <v:group id="_x0000_s1319" style="position:absolute;left:1704;top:1539;width:34;height:2" coordorigin="1704,1539" coordsize="34,2">
              <v:shape id="_x0000_s1320" style="position:absolute;left:1704;top:1539;width:34;height:2" coordorigin="1704,1539" coordsize="34,0" path="m1704,1539r34,e" filled="f" strokeweight=".24pt">
                <v:path arrowok="t"/>
              </v:shape>
            </v:group>
            <v:group id="_x0000_s1321" style="position:absolute;left:1704;top:1193;width:34;height:2" coordorigin="1704,1193" coordsize="34,2">
              <v:shape id="_x0000_s1322" style="position:absolute;left:1704;top:1193;width:34;height:2" coordorigin="1704,1193" coordsize="34,0" path="m1704,1193r34,e" filled="f" strokeweight=".24pt">
                <v:path arrowok="t"/>
              </v:shape>
            </v:group>
            <v:group id="_x0000_s1323" style="position:absolute;left:1704;top:848;width:34;height:2" coordorigin="1704,848" coordsize="34,2">
              <v:shape id="_x0000_s1324" style="position:absolute;left:1704;top:848;width:34;height:2" coordorigin="1704,848" coordsize="34,0" path="m1704,848r34,e" filled="f" strokeweight=".24pt">
                <v:path arrowok="t"/>
              </v:shape>
            </v:group>
            <v:group id="_x0000_s1325" style="position:absolute;left:1704;top:502;width:34;height:2" coordorigin="1704,502" coordsize="34,2">
              <v:shape id="_x0000_s1326" style="position:absolute;left:1704;top:502;width:34;height:2" coordorigin="1704,502" coordsize="34,0" path="m1704,502r34,e" filled="f" strokeweight=".24pt">
                <v:path arrowok="t"/>
              </v:shape>
            </v:group>
            <v:group id="_x0000_s1327" style="position:absolute;left:1704;top:157;width:34;height:2" coordorigin="1704,157" coordsize="34,2">
              <v:shape id="_x0000_s1328" style="position:absolute;left:1704;top:157;width:34;height:2" coordorigin="1704,157" coordsize="34,0" path="m1704,157r34,e" filled="f" strokeweight=".24pt">
                <v:path arrowok="t"/>
              </v:shape>
            </v:group>
            <v:group id="_x0000_s1329" style="position:absolute;left:1738;top:3608;width:7901;height:2" coordorigin="1738,3608" coordsize="7901,2">
              <v:shape id="_x0000_s1330" style="position:absolute;left:1738;top:3608;width:7901;height:2" coordorigin="1738,3608" coordsize="7901,0" path="m1738,3608r7900,e" filled="f" strokeweight=".24pt">
                <v:path arrowok="t"/>
              </v:shape>
            </v:group>
            <v:group id="_x0000_s1331" style="position:absolute;left:1738;top:3608;width:2;height:34" coordorigin="1738,3608" coordsize="2,34">
              <v:shape id="_x0000_s1332" style="position:absolute;left:1738;top:3608;width:2;height:34" coordorigin="1738,3608" coordsize="0,34" path="m1738,3641r,-33e" filled="f" strokeweight=".24pt">
                <v:path arrowok="t"/>
              </v:shape>
            </v:group>
            <v:group id="_x0000_s1333" style="position:absolute;left:2866;top:3608;width:2;height:34" coordorigin="2866,3608" coordsize="2,34">
              <v:shape id="_x0000_s1334" style="position:absolute;left:2866;top:3608;width:2;height:34" coordorigin="2866,3608" coordsize="0,34" path="m2866,3641r,-33e" filled="f" strokeweight=".24pt">
                <v:path arrowok="t"/>
              </v:shape>
            </v:group>
            <v:group id="_x0000_s1335" style="position:absolute;left:3994;top:3608;width:2;height:34" coordorigin="3994,3608" coordsize="2,34">
              <v:shape id="_x0000_s1336" style="position:absolute;left:3994;top:3608;width:2;height:34" coordorigin="3994,3608" coordsize="0,34" path="m3994,3641r,-33e" filled="f" strokeweight=".24pt">
                <v:path arrowok="t"/>
              </v:shape>
            </v:group>
            <v:group id="_x0000_s1337" style="position:absolute;left:5122;top:3608;width:2;height:34" coordorigin="5122,3608" coordsize="2,34">
              <v:shape id="_x0000_s1338" style="position:absolute;left:5122;top:3608;width:2;height:34" coordorigin="5122,3608" coordsize="0,34" path="m5122,3641r,-33e" filled="f" strokeweight=".24pt">
                <v:path arrowok="t"/>
              </v:shape>
            </v:group>
            <v:group id="_x0000_s1339" style="position:absolute;left:6250;top:3608;width:2;height:34" coordorigin="6250,3608" coordsize="2,34">
              <v:shape id="_x0000_s1340" style="position:absolute;left:6250;top:3608;width:2;height:34" coordorigin="6250,3608" coordsize="0,34" path="m6250,3641r,-33e" filled="f" strokeweight=".24pt">
                <v:path arrowok="t"/>
              </v:shape>
            </v:group>
            <v:group id="_x0000_s1341" style="position:absolute;left:7378;top:3608;width:2;height:34" coordorigin="7378,3608" coordsize="2,34">
              <v:shape id="_x0000_s1342" style="position:absolute;left:7378;top:3608;width:2;height:34" coordorigin="7378,3608" coordsize="0,34" path="m7378,3641r,-33e" filled="f" strokeweight=".24pt">
                <v:path arrowok="t"/>
              </v:shape>
            </v:group>
            <v:group id="_x0000_s1343" style="position:absolute;left:8506;top:3608;width:2;height:34" coordorigin="8506,3608" coordsize="2,34">
              <v:shape id="_x0000_s1344" style="position:absolute;left:8506;top:3608;width:2;height:34" coordorigin="8506,3608" coordsize="0,34" path="m8506,3641r,-33e" filled="f" strokeweight=".24pt">
                <v:path arrowok="t"/>
              </v:shape>
            </v:group>
            <v:group id="_x0000_s1345" style="position:absolute;left:9638;top:3608;width:2;height:34" coordorigin="9638,3608" coordsize="2,34">
              <v:shape id="_x0000_s1346" style="position:absolute;left:9638;top:3608;width:2;height:34" coordorigin="9638,3608" coordsize="0,34" path="m9638,3641r,-33e" filled="f" strokeweight=".24pt">
                <v:path arrowok="t"/>
              </v:shape>
            </v:group>
            <w10:wrap anchorx="page"/>
          </v:group>
        </w:pict>
      </w:r>
      <w:r>
        <w:rPr>
          <w:rFonts w:ascii="Arial"/>
          <w:sz w:val="11"/>
        </w:rPr>
        <w:t>50</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45</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40</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35</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30</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25</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20</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15</w:t>
      </w:r>
    </w:p>
    <w:p w:rsidR="00CC7D10" w:rsidRDefault="00CC7D10" w:rsidP="00CC7D10">
      <w:pPr>
        <w:spacing w:before="6"/>
        <w:rPr>
          <w:rFonts w:ascii="Arial" w:eastAsia="Arial" w:hAnsi="Arial" w:cs="Arial"/>
          <w:sz w:val="11"/>
          <w:szCs w:val="11"/>
        </w:rPr>
      </w:pPr>
    </w:p>
    <w:p w:rsidR="00CC7D10" w:rsidRDefault="00CC7D10" w:rsidP="00CC7D10">
      <w:pPr>
        <w:spacing w:before="87"/>
        <w:ind w:left="971"/>
        <w:rPr>
          <w:rFonts w:ascii="Arial" w:eastAsia="Arial" w:hAnsi="Arial" w:cs="Arial"/>
          <w:sz w:val="11"/>
          <w:szCs w:val="11"/>
        </w:rPr>
      </w:pPr>
      <w:r>
        <w:rPr>
          <w:rFonts w:ascii="Arial"/>
          <w:sz w:val="11"/>
        </w:rPr>
        <w:t>10</w:t>
      </w:r>
    </w:p>
    <w:p w:rsidR="00CC7D10" w:rsidRDefault="00CC7D10" w:rsidP="00CC7D10">
      <w:pPr>
        <w:spacing w:before="6"/>
        <w:rPr>
          <w:rFonts w:ascii="Arial" w:eastAsia="Arial" w:hAnsi="Arial" w:cs="Arial"/>
          <w:sz w:val="11"/>
          <w:szCs w:val="11"/>
        </w:rPr>
      </w:pPr>
    </w:p>
    <w:p w:rsidR="00CC7D10" w:rsidRDefault="00CC7D10" w:rsidP="00CC7D10">
      <w:pPr>
        <w:spacing w:before="87"/>
        <w:ind w:left="1033"/>
        <w:rPr>
          <w:rFonts w:ascii="Arial" w:eastAsia="Arial" w:hAnsi="Arial" w:cs="Arial"/>
          <w:sz w:val="11"/>
          <w:szCs w:val="11"/>
        </w:rPr>
      </w:pPr>
      <w:r>
        <w:rPr>
          <w:rFonts w:ascii="Arial"/>
          <w:w w:val="101"/>
          <w:sz w:val="11"/>
        </w:rPr>
        <w:t>5</w:t>
      </w:r>
    </w:p>
    <w:p w:rsidR="00CC7D10" w:rsidRDefault="00CC7D10" w:rsidP="00CC7D10">
      <w:pPr>
        <w:spacing w:before="6"/>
        <w:rPr>
          <w:rFonts w:ascii="Arial" w:eastAsia="Arial" w:hAnsi="Arial" w:cs="Arial"/>
          <w:sz w:val="11"/>
          <w:szCs w:val="11"/>
        </w:rPr>
      </w:pPr>
    </w:p>
    <w:p w:rsidR="00CC7D10" w:rsidRDefault="00CC7D10" w:rsidP="00CC7D10">
      <w:pPr>
        <w:spacing w:before="87"/>
        <w:ind w:left="1033"/>
        <w:rPr>
          <w:rFonts w:ascii="Arial" w:eastAsia="Arial" w:hAnsi="Arial" w:cs="Arial"/>
          <w:sz w:val="11"/>
          <w:szCs w:val="11"/>
        </w:rPr>
      </w:pPr>
      <w:r w:rsidRPr="00CC7D10">
        <w:rPr>
          <w:lang w:val="en-US"/>
        </w:rPr>
        <w:pict>
          <v:shape id="_x0000_s1368" type="#_x0000_t136" style="position:absolute;left:0;text-align:left;margin-left:84.65pt;margin-top:24.15pt;width:32.65pt;height:5.6pt;rotation:315;z-index:251651584;mso-position-horizontal-relative:page" fillcolor="black" stroked="f">
            <o:extrusion v:ext="view" autorotationcenter="t"/>
            <v:textpath style="font-family:&quot;&amp;quot&quot;;font-size:5pt;v-text-kern:t;mso-text-shadow:auto" string="Região Norte"/>
            <w10:wrap anchorx="page"/>
          </v:shape>
        </w:pict>
      </w:r>
      <w:r w:rsidRPr="00CC7D10">
        <w:rPr>
          <w:lang w:val="en-US"/>
        </w:rPr>
        <w:pict>
          <v:shape id="_x0000_s1371" type="#_x0000_t136" style="position:absolute;left:0;text-align:left;margin-left:145.8pt;margin-top:22.1pt;width:27.25pt;height:5.6pt;rotation:315;z-index:251654656;mso-position-horizontal-relative:page" fillcolor="black" stroked="f">
            <o:extrusion v:ext="view" autorotationcenter="t"/>
            <v:textpath style="font-family:&quot;&amp;quot&quot;;font-size:5pt;v-text-kern:t;mso-text-shadow:auto" string="Região Sul"/>
            <w10:wrap anchorx="page"/>
          </v:shape>
        </w:pict>
      </w:r>
      <w:r w:rsidRPr="00CC7D10">
        <w:rPr>
          <w:lang w:val="en-US"/>
        </w:rPr>
        <w:pict>
          <v:shape id="_x0000_s1373" type="#_x0000_t136" style="position:absolute;left:0;text-align:left;margin-left:246.3pt;margin-top:27.15pt;width:41.8pt;height:5.6pt;rotation:315;z-index:251656704;mso-position-horizontal-relative:page" fillcolor="black" stroked="f">
            <o:extrusion v:ext="view" autorotationcenter="t"/>
            <v:textpath style="font-family:&quot;&amp;quot&quot;;font-size:5pt;v-text-kern:t;mso-text-shadow:auto" string="Região Nordeste"/>
            <w10:wrap anchorx="page"/>
          </v:shape>
        </w:pict>
      </w:r>
      <w:r w:rsidRPr="00CC7D10">
        <w:rPr>
          <w:lang w:val="en-US"/>
        </w:rPr>
        <w:pict>
          <v:shape id="_x0000_s1374" type="#_x0000_t136" style="position:absolute;left:0;text-align:left;margin-left:304.85pt;margin-top:26.45pt;width:39.45pt;height:5.6pt;rotation:315;z-index:251657728;mso-position-horizontal-relative:page" fillcolor="black" stroked="f">
            <o:extrusion v:ext="view" autorotationcenter="t"/>
            <v:textpath style="font-family:&quot;&amp;quot&quot;;font-size:5pt;v-text-kern:t;mso-text-shadow:auto" string="Região Sudeste"/>
            <w10:wrap anchorx="page"/>
          </v:shape>
        </w:pict>
      </w:r>
      <w:r w:rsidRPr="00CC7D10">
        <w:rPr>
          <w:lang w:val="en-US"/>
        </w:rPr>
        <w:pict>
          <v:shape id="_x0000_s1375" type="#_x0000_t136" style="position:absolute;left:0;text-align:left;margin-left:383.85pt;margin-top:17.2pt;width:12.65pt;height:5.6pt;rotation:315;z-index:251658752;mso-position-horizontal-relative:page" fillcolor="black" stroked="f">
            <o:extrusion v:ext="view" autorotationcenter="t"/>
            <v:textpath style="font-family:&quot;&amp;quot&quot;;font-size:5pt;v-text-kern:t;mso-text-shadow:auto" string="Paris"/>
            <w10:wrap anchorx="page"/>
          </v:shape>
        </w:pict>
      </w:r>
      <w:r>
        <w:rPr>
          <w:rFonts w:ascii="Arial"/>
          <w:w w:val="101"/>
          <w:sz w:val="11"/>
        </w:rPr>
        <w:t>0</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20"/>
          <w:szCs w:val="20"/>
        </w:rPr>
      </w:pPr>
    </w:p>
    <w:p w:rsidR="00CC7D10" w:rsidRDefault="00CC7D10" w:rsidP="00CC7D10">
      <w:pPr>
        <w:spacing w:before="3"/>
        <w:rPr>
          <w:rFonts w:ascii="Arial" w:eastAsia="Arial" w:hAnsi="Arial" w:cs="Arial"/>
          <w:sz w:val="27"/>
          <w:szCs w:val="27"/>
        </w:rPr>
      </w:pPr>
    </w:p>
    <w:p w:rsidR="00CC7D10" w:rsidRDefault="00CC7D10" w:rsidP="00CC7D10">
      <w:pPr>
        <w:spacing w:before="89"/>
        <w:ind w:left="894"/>
        <w:rPr>
          <w:rFonts w:ascii="Arial" w:eastAsia="Arial" w:hAnsi="Arial" w:cs="Arial"/>
          <w:sz w:val="11"/>
          <w:szCs w:val="11"/>
        </w:rPr>
      </w:pPr>
      <w:r w:rsidRPr="00CC7D10">
        <w:rPr>
          <w:lang w:val="en-US"/>
        </w:rPr>
        <w:pict>
          <v:shape id="_x0000_s1372" type="#_x0000_t136" style="position:absolute;left:0;text-align:left;margin-left:180.75pt;margin-top:-18.45pt;width:52.7pt;height:5.6pt;rotation:315;z-index:251655680;mso-position-horizontal-relative:page" fillcolor="black" stroked="f">
            <o:extrusion v:ext="view" autorotationcenter="t"/>
            <v:textpath style="font-family:&quot;&amp;quot&quot;;font-size:5pt;v-text-kern:t;mso-text-shadow:auto" string="Região Centro-Oeste"/>
            <w10:wrap anchorx="page"/>
          </v:shape>
        </w:pict>
      </w:r>
      <w:r w:rsidRPr="00CC7D10">
        <w:rPr>
          <w:lang w:val="en-US"/>
        </w:rPr>
        <w:pict>
          <v:shape id="_x0000_s1376" type="#_x0000_t136" style="position:absolute;left:0;text-align:left;margin-left:404pt;margin-top:-17.55pt;width:55.55pt;height:5.6pt;rotation:315;z-index:251659776;mso-position-horizontal-relative:page" fillcolor="black" stroked="f">
            <o:extrusion v:ext="view" autorotationcenter="t"/>
            <v:textpath style="font-family:&quot;&amp;quot&quot;;font-size:5pt;v-text-kern:t;mso-text-shadow:auto" string="Origem não-declarada"/>
            <w10:wrap anchorx="page"/>
          </v:shape>
        </w:pict>
      </w:r>
      <w:r>
        <w:rPr>
          <w:rFonts w:ascii="Arial"/>
          <w:w w:val="105"/>
          <w:sz w:val="11"/>
        </w:rPr>
        <w:t>Fonte:</w:t>
      </w:r>
      <w:r>
        <w:rPr>
          <w:rFonts w:ascii="Arial"/>
          <w:spacing w:val="-15"/>
          <w:w w:val="105"/>
          <w:sz w:val="11"/>
        </w:rPr>
        <w:t xml:space="preserve"> </w:t>
      </w:r>
      <w:r>
        <w:rPr>
          <w:rFonts w:ascii="Arial"/>
          <w:w w:val="105"/>
          <w:sz w:val="11"/>
        </w:rPr>
        <w:t>Levantamento</w:t>
      </w:r>
      <w:r>
        <w:rPr>
          <w:rFonts w:ascii="Arial"/>
          <w:spacing w:val="-11"/>
          <w:w w:val="105"/>
          <w:sz w:val="11"/>
        </w:rPr>
        <w:t xml:space="preserve"> </w:t>
      </w:r>
      <w:r>
        <w:rPr>
          <w:rFonts w:ascii="Arial"/>
          <w:w w:val="105"/>
          <w:sz w:val="11"/>
        </w:rPr>
        <w:t>realizado</w:t>
      </w:r>
      <w:r>
        <w:rPr>
          <w:rFonts w:ascii="Arial"/>
          <w:spacing w:val="-11"/>
          <w:w w:val="105"/>
          <w:sz w:val="11"/>
        </w:rPr>
        <w:t xml:space="preserve"> </w:t>
      </w:r>
      <w:r>
        <w:rPr>
          <w:rFonts w:ascii="Arial"/>
          <w:w w:val="105"/>
          <w:sz w:val="11"/>
        </w:rPr>
        <w:t>pela</w:t>
      </w:r>
      <w:r>
        <w:rPr>
          <w:rFonts w:ascii="Arial"/>
          <w:spacing w:val="-11"/>
          <w:w w:val="105"/>
          <w:sz w:val="11"/>
        </w:rPr>
        <w:t xml:space="preserve"> </w:t>
      </w:r>
      <w:r>
        <w:rPr>
          <w:rFonts w:ascii="Arial"/>
          <w:w w:val="105"/>
          <w:sz w:val="11"/>
        </w:rPr>
        <w:t>autora</w:t>
      </w:r>
    </w:p>
    <w:p w:rsidR="00CC7D10" w:rsidRDefault="00CC7D10" w:rsidP="00CC7D10">
      <w:pPr>
        <w:spacing w:before="11"/>
        <w:rPr>
          <w:rFonts w:ascii="Arial" w:eastAsia="Arial" w:hAnsi="Arial" w:cs="Arial"/>
          <w:sz w:val="13"/>
          <w:szCs w:val="13"/>
        </w:rPr>
      </w:pPr>
    </w:p>
    <w:p w:rsidR="00CC7D10" w:rsidRDefault="00CC7D10" w:rsidP="00CC7D10">
      <w:pPr>
        <w:pStyle w:val="Corpodetexto"/>
        <w:spacing w:line="367" w:lineRule="auto"/>
        <w:ind w:right="1364"/>
        <w:jc w:val="both"/>
      </w:pPr>
      <w:r>
        <w:t>Um outro aspecto a ser observado neste conjunto diz respeito a data de lançamento das publicações. Com esse dado podemos perceber que o período de 1974 a 1980 abriga os primeiros jornais feministas</w:t>
      </w:r>
      <w:r>
        <w:rPr>
          <w:spacing w:val="16"/>
        </w:rPr>
        <w:t xml:space="preserve"> </w:t>
      </w:r>
      <w:r>
        <w:t>(9</w:t>
      </w:r>
      <w:r>
        <w:rPr>
          <w:spacing w:val="13"/>
        </w:rPr>
        <w:t xml:space="preserve"> </w:t>
      </w:r>
      <w:r>
        <w:t>no</w:t>
      </w:r>
      <w:r>
        <w:rPr>
          <w:spacing w:val="19"/>
        </w:rPr>
        <w:t xml:space="preserve"> </w:t>
      </w:r>
      <w:r>
        <w:t>total);</w:t>
      </w:r>
      <w:r>
        <w:rPr>
          <w:spacing w:val="12"/>
        </w:rPr>
        <w:t xml:space="preserve"> </w:t>
      </w:r>
      <w:r>
        <w:t>o</w:t>
      </w:r>
      <w:r>
        <w:rPr>
          <w:spacing w:val="19"/>
        </w:rPr>
        <w:t xml:space="preserve"> </w:t>
      </w:r>
      <w:r>
        <w:t>período</w:t>
      </w:r>
      <w:r>
        <w:rPr>
          <w:spacing w:val="13"/>
        </w:rPr>
        <w:t xml:space="preserve"> </w:t>
      </w:r>
      <w:r>
        <w:t>de</w:t>
      </w:r>
      <w:r>
        <w:rPr>
          <w:spacing w:val="11"/>
        </w:rPr>
        <w:t xml:space="preserve"> </w:t>
      </w:r>
      <w:r>
        <w:t>1981</w:t>
      </w:r>
      <w:r>
        <w:rPr>
          <w:spacing w:val="19"/>
        </w:rPr>
        <w:t xml:space="preserve"> </w:t>
      </w:r>
      <w:r>
        <w:t>a</w:t>
      </w:r>
      <w:r>
        <w:rPr>
          <w:spacing w:val="11"/>
        </w:rPr>
        <w:t xml:space="preserve"> </w:t>
      </w:r>
      <w:r>
        <w:t>1989</w:t>
      </w:r>
      <w:r>
        <w:rPr>
          <w:spacing w:val="13"/>
        </w:rPr>
        <w:t xml:space="preserve"> </w:t>
      </w:r>
      <w:r>
        <w:t>vê</w:t>
      </w:r>
      <w:r>
        <w:rPr>
          <w:spacing w:val="17"/>
        </w:rPr>
        <w:t xml:space="preserve"> </w:t>
      </w:r>
      <w:r>
        <w:t>surgir</w:t>
      </w:r>
      <w:r>
        <w:rPr>
          <w:spacing w:val="9"/>
        </w:rPr>
        <w:t xml:space="preserve"> </w:t>
      </w:r>
      <w:r>
        <w:rPr>
          <w:spacing w:val="4"/>
        </w:rPr>
        <w:t>um</w:t>
      </w:r>
      <w:r>
        <w:rPr>
          <w:spacing w:val="10"/>
        </w:rPr>
        <w:t xml:space="preserve"> </w:t>
      </w:r>
      <w:r>
        <w:t>grande</w:t>
      </w:r>
      <w:r>
        <w:rPr>
          <w:spacing w:val="11"/>
        </w:rPr>
        <w:t xml:space="preserve"> </w:t>
      </w:r>
      <w:r>
        <w:t>número</w:t>
      </w:r>
      <w:r>
        <w:rPr>
          <w:spacing w:val="13"/>
        </w:rPr>
        <w:t xml:space="preserve"> </w:t>
      </w:r>
      <w:r>
        <w:t>de</w:t>
      </w:r>
      <w:r>
        <w:rPr>
          <w:spacing w:val="11"/>
        </w:rPr>
        <w:t xml:space="preserve"> </w:t>
      </w:r>
      <w:r>
        <w:t>publicações</w:t>
      </w:r>
      <w:r>
        <w:rPr>
          <w:spacing w:val="16"/>
        </w:rPr>
        <w:t xml:space="preserve"> </w:t>
      </w:r>
      <w:r>
        <w:t>feministas</w:t>
      </w:r>
    </w:p>
    <w:p w:rsidR="00CC7D10" w:rsidRDefault="00CC7D10" w:rsidP="00CC7D10">
      <w:pPr>
        <w:spacing w:line="367" w:lineRule="auto"/>
        <w:sectPr w:rsidR="00CC7D10">
          <w:pgSz w:w="11900" w:h="16840"/>
          <w:pgMar w:top="0" w:right="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spacing w:before="9"/>
        <w:rPr>
          <w:rFonts w:ascii="Times New Roman" w:eastAsia="Times New Roman" w:hAnsi="Times New Roman"/>
          <w:sz w:val="15"/>
          <w:szCs w:val="15"/>
        </w:rPr>
      </w:pPr>
    </w:p>
    <w:p w:rsidR="00CC7D10" w:rsidRDefault="00CC7D10" w:rsidP="00BC7986">
      <w:pPr>
        <w:pStyle w:val="Corpodetexto"/>
        <w:spacing w:before="73" w:line="364" w:lineRule="auto"/>
        <w:ind w:right="102" w:firstLine="0"/>
        <w:jc w:val="both"/>
        <w:rPr>
          <w:sz w:val="19"/>
          <w:szCs w:val="19"/>
        </w:rPr>
      </w:pPr>
      <w:r>
        <w:t>(44 no total) e o período de 1990 a 1999 registra uma queda no número de publicações lançadas (21 no total). Sem contar um periódico sem data declarada. No gráfico 3, as barras de cor azul representam a primeira geração e as vinho a segunda</w:t>
      </w:r>
      <w:r>
        <w:rPr>
          <w:spacing w:val="57"/>
        </w:rPr>
        <w:t xml:space="preserve"> </w:t>
      </w:r>
      <w:r>
        <w:t>geração.</w:t>
      </w:r>
      <w:r w:rsidR="00BC7986">
        <w:t xml:space="preserve"> </w:t>
      </w:r>
      <w:r>
        <w:t xml:space="preserve">Essas observações sobre as datas de fundação dos periódicos confirmam a hipótese, de que a imprensa feminista reflete o projeto do movimento feminista brasileiro, pois ficam claros os períodos de surgimento, de ascensão e de declínio do movimento feminista no Brasil, como explica Avelar </w:t>
      </w:r>
      <w:r>
        <w:rPr>
          <w:spacing w:val="54"/>
        </w:rPr>
        <w:t xml:space="preserve"> </w:t>
      </w:r>
      <w:r>
        <w:t>(2001):</w:t>
      </w:r>
      <w:r>
        <w:rPr>
          <w:w w:val="105"/>
          <w:sz w:val="19"/>
          <w:szCs w:val="19"/>
        </w:rPr>
        <w:t>“[...] uma retomada no ativismo feminino dar-se-ia no final dos anos 70 e 1980, com movimentos sociais organizados</w:t>
      </w:r>
      <w:r>
        <w:rPr>
          <w:spacing w:val="-8"/>
          <w:w w:val="105"/>
          <w:sz w:val="19"/>
          <w:szCs w:val="19"/>
        </w:rPr>
        <w:t xml:space="preserve"> </w:t>
      </w:r>
      <w:r>
        <w:rPr>
          <w:w w:val="105"/>
          <w:sz w:val="19"/>
          <w:szCs w:val="19"/>
        </w:rPr>
        <w:t>em</w:t>
      </w:r>
      <w:r>
        <w:rPr>
          <w:spacing w:val="-7"/>
          <w:w w:val="105"/>
          <w:sz w:val="19"/>
          <w:szCs w:val="19"/>
        </w:rPr>
        <w:t xml:space="preserve"> </w:t>
      </w:r>
      <w:r>
        <w:rPr>
          <w:w w:val="105"/>
          <w:sz w:val="19"/>
          <w:szCs w:val="19"/>
        </w:rPr>
        <w:t>torno</w:t>
      </w:r>
      <w:r>
        <w:rPr>
          <w:spacing w:val="-9"/>
          <w:w w:val="105"/>
          <w:sz w:val="19"/>
          <w:szCs w:val="19"/>
        </w:rPr>
        <w:t xml:space="preserve"> </w:t>
      </w:r>
      <w:r>
        <w:rPr>
          <w:w w:val="105"/>
          <w:sz w:val="19"/>
          <w:szCs w:val="19"/>
        </w:rPr>
        <w:t>de</w:t>
      </w:r>
      <w:r>
        <w:rPr>
          <w:spacing w:val="-12"/>
          <w:w w:val="105"/>
          <w:sz w:val="19"/>
          <w:szCs w:val="19"/>
        </w:rPr>
        <w:t xml:space="preserve"> </w:t>
      </w:r>
      <w:r>
        <w:rPr>
          <w:w w:val="105"/>
          <w:sz w:val="19"/>
          <w:szCs w:val="19"/>
        </w:rPr>
        <w:t>novos</w:t>
      </w:r>
      <w:r>
        <w:rPr>
          <w:spacing w:val="-12"/>
          <w:w w:val="105"/>
          <w:sz w:val="19"/>
          <w:szCs w:val="19"/>
        </w:rPr>
        <w:t xml:space="preserve"> </w:t>
      </w:r>
      <w:r>
        <w:rPr>
          <w:w w:val="105"/>
          <w:sz w:val="19"/>
          <w:szCs w:val="19"/>
        </w:rPr>
        <w:t>temas,</w:t>
      </w:r>
      <w:r>
        <w:rPr>
          <w:spacing w:val="-9"/>
          <w:w w:val="105"/>
          <w:sz w:val="19"/>
          <w:szCs w:val="19"/>
        </w:rPr>
        <w:t xml:space="preserve"> </w:t>
      </w:r>
      <w:r>
        <w:rPr>
          <w:w w:val="105"/>
          <w:sz w:val="19"/>
          <w:szCs w:val="19"/>
        </w:rPr>
        <w:t>devido,</w:t>
      </w:r>
      <w:r>
        <w:rPr>
          <w:spacing w:val="-9"/>
          <w:w w:val="105"/>
          <w:sz w:val="19"/>
          <w:szCs w:val="19"/>
        </w:rPr>
        <w:t xml:space="preserve"> </w:t>
      </w:r>
      <w:r>
        <w:rPr>
          <w:w w:val="105"/>
          <w:sz w:val="19"/>
          <w:szCs w:val="19"/>
        </w:rPr>
        <w:t>entre</w:t>
      </w:r>
      <w:r>
        <w:rPr>
          <w:spacing w:val="-10"/>
          <w:w w:val="105"/>
          <w:sz w:val="19"/>
          <w:szCs w:val="19"/>
        </w:rPr>
        <w:t xml:space="preserve"> </w:t>
      </w:r>
      <w:r>
        <w:rPr>
          <w:w w:val="105"/>
          <w:sz w:val="19"/>
          <w:szCs w:val="19"/>
        </w:rPr>
        <w:t>outros</w:t>
      </w:r>
      <w:r>
        <w:rPr>
          <w:spacing w:val="-8"/>
          <w:w w:val="105"/>
          <w:sz w:val="19"/>
          <w:szCs w:val="19"/>
        </w:rPr>
        <w:t xml:space="preserve"> </w:t>
      </w:r>
      <w:r>
        <w:rPr>
          <w:w w:val="105"/>
          <w:sz w:val="19"/>
          <w:szCs w:val="19"/>
        </w:rPr>
        <w:t>fatores,</w:t>
      </w:r>
      <w:r>
        <w:rPr>
          <w:spacing w:val="-9"/>
          <w:w w:val="105"/>
          <w:sz w:val="19"/>
          <w:szCs w:val="19"/>
        </w:rPr>
        <w:t xml:space="preserve"> </w:t>
      </w:r>
      <w:r>
        <w:rPr>
          <w:w w:val="105"/>
          <w:sz w:val="19"/>
          <w:szCs w:val="19"/>
        </w:rPr>
        <w:t>à</w:t>
      </w:r>
      <w:r>
        <w:rPr>
          <w:spacing w:val="-9"/>
          <w:w w:val="105"/>
          <w:sz w:val="19"/>
          <w:szCs w:val="19"/>
        </w:rPr>
        <w:t xml:space="preserve"> </w:t>
      </w:r>
      <w:r>
        <w:rPr>
          <w:w w:val="105"/>
          <w:sz w:val="19"/>
          <w:szCs w:val="19"/>
        </w:rPr>
        <w:t>ascensão</w:t>
      </w:r>
      <w:r>
        <w:rPr>
          <w:spacing w:val="-7"/>
          <w:w w:val="105"/>
          <w:sz w:val="19"/>
          <w:szCs w:val="19"/>
        </w:rPr>
        <w:t xml:space="preserve"> </w:t>
      </w:r>
      <w:r>
        <w:rPr>
          <w:w w:val="105"/>
          <w:sz w:val="19"/>
          <w:szCs w:val="19"/>
        </w:rPr>
        <w:t>educacional</w:t>
      </w:r>
      <w:r>
        <w:rPr>
          <w:spacing w:val="-13"/>
          <w:w w:val="105"/>
          <w:sz w:val="19"/>
          <w:szCs w:val="19"/>
        </w:rPr>
        <w:t xml:space="preserve"> </w:t>
      </w:r>
      <w:r>
        <w:rPr>
          <w:w w:val="105"/>
          <w:sz w:val="19"/>
          <w:szCs w:val="19"/>
        </w:rPr>
        <w:t>das</w:t>
      </w:r>
      <w:r>
        <w:rPr>
          <w:spacing w:val="-8"/>
          <w:w w:val="105"/>
          <w:sz w:val="19"/>
          <w:szCs w:val="19"/>
        </w:rPr>
        <w:t xml:space="preserve"> </w:t>
      </w:r>
      <w:r>
        <w:rPr>
          <w:w w:val="105"/>
          <w:sz w:val="19"/>
          <w:szCs w:val="19"/>
        </w:rPr>
        <w:t>mulheres.</w:t>
      </w:r>
      <w:r>
        <w:rPr>
          <w:spacing w:val="-9"/>
          <w:w w:val="105"/>
          <w:sz w:val="19"/>
          <w:szCs w:val="19"/>
        </w:rPr>
        <w:t xml:space="preserve"> </w:t>
      </w:r>
      <w:r>
        <w:rPr>
          <w:w w:val="105"/>
          <w:sz w:val="19"/>
          <w:szCs w:val="19"/>
        </w:rPr>
        <w:t>[...] Ao</w:t>
      </w:r>
      <w:r>
        <w:rPr>
          <w:spacing w:val="-9"/>
          <w:w w:val="105"/>
          <w:sz w:val="19"/>
          <w:szCs w:val="19"/>
        </w:rPr>
        <w:t xml:space="preserve"> </w:t>
      </w:r>
      <w:r>
        <w:rPr>
          <w:w w:val="105"/>
          <w:sz w:val="19"/>
          <w:szCs w:val="19"/>
        </w:rPr>
        <w:t>final</w:t>
      </w:r>
      <w:r>
        <w:rPr>
          <w:spacing w:val="-13"/>
          <w:w w:val="105"/>
          <w:sz w:val="19"/>
          <w:szCs w:val="19"/>
        </w:rPr>
        <w:t xml:space="preserve"> </w:t>
      </w:r>
      <w:r>
        <w:rPr>
          <w:w w:val="105"/>
          <w:sz w:val="19"/>
          <w:szCs w:val="19"/>
        </w:rPr>
        <w:t>da</w:t>
      </w:r>
      <w:r>
        <w:rPr>
          <w:spacing w:val="-12"/>
          <w:w w:val="105"/>
          <w:sz w:val="19"/>
          <w:szCs w:val="19"/>
        </w:rPr>
        <w:t xml:space="preserve"> </w:t>
      </w:r>
      <w:r>
        <w:rPr>
          <w:w w:val="105"/>
          <w:sz w:val="19"/>
          <w:szCs w:val="19"/>
        </w:rPr>
        <w:t>década</w:t>
      </w:r>
      <w:r>
        <w:rPr>
          <w:spacing w:val="-12"/>
          <w:w w:val="105"/>
          <w:sz w:val="19"/>
          <w:szCs w:val="19"/>
        </w:rPr>
        <w:t xml:space="preserve"> </w:t>
      </w:r>
      <w:r>
        <w:rPr>
          <w:w w:val="105"/>
          <w:sz w:val="19"/>
          <w:szCs w:val="19"/>
        </w:rPr>
        <w:t>de</w:t>
      </w:r>
      <w:r>
        <w:rPr>
          <w:spacing w:val="-12"/>
          <w:w w:val="105"/>
          <w:sz w:val="19"/>
          <w:szCs w:val="19"/>
        </w:rPr>
        <w:t xml:space="preserve"> </w:t>
      </w:r>
      <w:r>
        <w:rPr>
          <w:w w:val="105"/>
          <w:sz w:val="19"/>
          <w:szCs w:val="19"/>
        </w:rPr>
        <w:t>1990,</w:t>
      </w:r>
      <w:r>
        <w:rPr>
          <w:spacing w:val="-12"/>
          <w:w w:val="105"/>
          <w:sz w:val="19"/>
          <w:szCs w:val="19"/>
        </w:rPr>
        <w:t xml:space="preserve"> </w:t>
      </w:r>
      <w:r>
        <w:rPr>
          <w:w w:val="105"/>
          <w:sz w:val="19"/>
          <w:szCs w:val="19"/>
        </w:rPr>
        <w:t>com</w:t>
      </w:r>
      <w:r>
        <w:rPr>
          <w:spacing w:val="-14"/>
          <w:w w:val="105"/>
          <w:sz w:val="19"/>
          <w:szCs w:val="19"/>
        </w:rPr>
        <w:t xml:space="preserve"> </w:t>
      </w:r>
      <w:r>
        <w:rPr>
          <w:w w:val="105"/>
          <w:sz w:val="19"/>
          <w:szCs w:val="19"/>
        </w:rPr>
        <w:t>parte</w:t>
      </w:r>
      <w:r>
        <w:rPr>
          <w:spacing w:val="-12"/>
          <w:w w:val="105"/>
          <w:sz w:val="19"/>
          <w:szCs w:val="19"/>
        </w:rPr>
        <w:t xml:space="preserve"> </w:t>
      </w:r>
      <w:r>
        <w:rPr>
          <w:w w:val="105"/>
          <w:sz w:val="19"/>
          <w:szCs w:val="19"/>
        </w:rPr>
        <w:t>dos</w:t>
      </w:r>
      <w:r>
        <w:rPr>
          <w:spacing w:val="-8"/>
          <w:w w:val="105"/>
          <w:sz w:val="19"/>
          <w:szCs w:val="19"/>
        </w:rPr>
        <w:t xml:space="preserve"> </w:t>
      </w:r>
      <w:r>
        <w:rPr>
          <w:w w:val="105"/>
          <w:sz w:val="19"/>
          <w:szCs w:val="19"/>
        </w:rPr>
        <w:t>débitos</w:t>
      </w:r>
      <w:r>
        <w:rPr>
          <w:spacing w:val="-11"/>
          <w:w w:val="105"/>
          <w:sz w:val="19"/>
          <w:szCs w:val="19"/>
        </w:rPr>
        <w:t xml:space="preserve"> </w:t>
      </w:r>
      <w:r>
        <w:rPr>
          <w:w w:val="105"/>
          <w:sz w:val="19"/>
          <w:szCs w:val="19"/>
        </w:rPr>
        <w:t>pagos</w:t>
      </w:r>
      <w:r>
        <w:rPr>
          <w:spacing w:val="-11"/>
          <w:w w:val="105"/>
          <w:sz w:val="19"/>
          <w:szCs w:val="19"/>
        </w:rPr>
        <w:t xml:space="preserve"> </w:t>
      </w:r>
      <w:r>
        <w:rPr>
          <w:w w:val="105"/>
          <w:sz w:val="19"/>
          <w:szCs w:val="19"/>
        </w:rPr>
        <w:t>às</w:t>
      </w:r>
      <w:r>
        <w:rPr>
          <w:spacing w:val="-14"/>
          <w:w w:val="105"/>
          <w:sz w:val="19"/>
          <w:szCs w:val="19"/>
        </w:rPr>
        <w:t xml:space="preserve"> </w:t>
      </w:r>
      <w:r>
        <w:rPr>
          <w:w w:val="105"/>
          <w:sz w:val="19"/>
          <w:szCs w:val="19"/>
        </w:rPr>
        <w:t>agências</w:t>
      </w:r>
      <w:r>
        <w:rPr>
          <w:spacing w:val="-8"/>
          <w:w w:val="105"/>
          <w:sz w:val="19"/>
          <w:szCs w:val="19"/>
        </w:rPr>
        <w:t xml:space="preserve"> </w:t>
      </w:r>
      <w:r>
        <w:rPr>
          <w:w w:val="105"/>
          <w:sz w:val="19"/>
          <w:szCs w:val="19"/>
        </w:rPr>
        <w:t>financeiras</w:t>
      </w:r>
      <w:r>
        <w:rPr>
          <w:spacing w:val="-8"/>
          <w:w w:val="105"/>
          <w:sz w:val="19"/>
          <w:szCs w:val="19"/>
        </w:rPr>
        <w:t xml:space="preserve"> </w:t>
      </w:r>
      <w:r>
        <w:rPr>
          <w:w w:val="105"/>
          <w:sz w:val="19"/>
          <w:szCs w:val="19"/>
        </w:rPr>
        <w:t>internacionais,</w:t>
      </w:r>
      <w:r>
        <w:rPr>
          <w:spacing w:val="-9"/>
          <w:w w:val="105"/>
          <w:sz w:val="19"/>
          <w:szCs w:val="19"/>
        </w:rPr>
        <w:t xml:space="preserve"> </w:t>
      </w:r>
      <w:r>
        <w:rPr>
          <w:w w:val="105"/>
          <w:sz w:val="19"/>
          <w:szCs w:val="19"/>
        </w:rPr>
        <w:t>alguns</w:t>
      </w:r>
      <w:r>
        <w:rPr>
          <w:spacing w:val="-9"/>
          <w:w w:val="105"/>
          <w:sz w:val="19"/>
          <w:szCs w:val="19"/>
        </w:rPr>
        <w:t xml:space="preserve"> </w:t>
      </w:r>
      <w:r>
        <w:rPr>
          <w:w w:val="105"/>
          <w:sz w:val="19"/>
          <w:szCs w:val="19"/>
        </w:rPr>
        <w:t xml:space="preserve">países reconsideraram o papel do Estado na sociedade, retomando a dianteira nos programas sociais. Como, </w:t>
      </w:r>
      <w:r>
        <w:rPr>
          <w:spacing w:val="-3"/>
          <w:w w:val="105"/>
          <w:sz w:val="19"/>
          <w:szCs w:val="19"/>
        </w:rPr>
        <w:t xml:space="preserve">então, </w:t>
      </w:r>
      <w:r>
        <w:rPr>
          <w:w w:val="105"/>
          <w:sz w:val="19"/>
          <w:szCs w:val="19"/>
        </w:rPr>
        <w:t>ficaria</w:t>
      </w:r>
      <w:r>
        <w:rPr>
          <w:spacing w:val="-14"/>
          <w:w w:val="105"/>
          <w:sz w:val="19"/>
          <w:szCs w:val="19"/>
        </w:rPr>
        <w:t xml:space="preserve"> </w:t>
      </w:r>
      <w:r>
        <w:rPr>
          <w:w w:val="105"/>
          <w:sz w:val="19"/>
          <w:szCs w:val="19"/>
        </w:rPr>
        <w:t>o</w:t>
      </w:r>
      <w:r>
        <w:rPr>
          <w:spacing w:val="-11"/>
          <w:w w:val="105"/>
          <w:sz w:val="19"/>
          <w:szCs w:val="19"/>
        </w:rPr>
        <w:t xml:space="preserve"> </w:t>
      </w:r>
      <w:r>
        <w:rPr>
          <w:w w:val="105"/>
          <w:sz w:val="19"/>
          <w:szCs w:val="19"/>
        </w:rPr>
        <w:t>ativismo</w:t>
      </w:r>
      <w:r>
        <w:rPr>
          <w:spacing w:val="-9"/>
          <w:w w:val="105"/>
          <w:sz w:val="19"/>
          <w:szCs w:val="19"/>
        </w:rPr>
        <w:t xml:space="preserve"> </w:t>
      </w:r>
      <w:r>
        <w:rPr>
          <w:w w:val="105"/>
          <w:sz w:val="19"/>
          <w:szCs w:val="19"/>
        </w:rPr>
        <w:t>feminino?</w:t>
      </w:r>
      <w:r>
        <w:rPr>
          <w:spacing w:val="-18"/>
          <w:w w:val="105"/>
          <w:sz w:val="19"/>
          <w:szCs w:val="19"/>
        </w:rPr>
        <w:t xml:space="preserve"> </w:t>
      </w:r>
      <w:r>
        <w:rPr>
          <w:w w:val="105"/>
          <w:sz w:val="19"/>
          <w:szCs w:val="19"/>
        </w:rPr>
        <w:t>Grande</w:t>
      </w:r>
      <w:r>
        <w:rPr>
          <w:spacing w:val="-11"/>
          <w:w w:val="105"/>
          <w:sz w:val="19"/>
          <w:szCs w:val="19"/>
        </w:rPr>
        <w:t xml:space="preserve"> </w:t>
      </w:r>
      <w:r>
        <w:rPr>
          <w:w w:val="105"/>
          <w:sz w:val="19"/>
          <w:szCs w:val="19"/>
        </w:rPr>
        <w:t>parte</w:t>
      </w:r>
      <w:r>
        <w:rPr>
          <w:spacing w:val="-14"/>
          <w:w w:val="105"/>
          <w:sz w:val="19"/>
          <w:szCs w:val="19"/>
        </w:rPr>
        <w:t xml:space="preserve"> </w:t>
      </w:r>
      <w:r>
        <w:rPr>
          <w:w w:val="105"/>
          <w:sz w:val="19"/>
          <w:szCs w:val="19"/>
        </w:rPr>
        <w:t>dele</w:t>
      </w:r>
      <w:r>
        <w:rPr>
          <w:spacing w:val="-14"/>
          <w:w w:val="105"/>
          <w:sz w:val="19"/>
          <w:szCs w:val="19"/>
        </w:rPr>
        <w:t xml:space="preserve"> </w:t>
      </w:r>
      <w:r>
        <w:rPr>
          <w:w w:val="105"/>
          <w:sz w:val="19"/>
          <w:szCs w:val="19"/>
        </w:rPr>
        <w:t>diluiu-se,</w:t>
      </w:r>
      <w:r>
        <w:rPr>
          <w:spacing w:val="-14"/>
          <w:w w:val="105"/>
          <w:sz w:val="19"/>
          <w:szCs w:val="19"/>
        </w:rPr>
        <w:t xml:space="preserve"> </w:t>
      </w:r>
      <w:r>
        <w:rPr>
          <w:w w:val="105"/>
          <w:sz w:val="19"/>
          <w:szCs w:val="19"/>
        </w:rPr>
        <w:t>diante</w:t>
      </w:r>
      <w:r>
        <w:rPr>
          <w:spacing w:val="-14"/>
          <w:w w:val="105"/>
          <w:sz w:val="19"/>
          <w:szCs w:val="19"/>
        </w:rPr>
        <w:t xml:space="preserve"> </w:t>
      </w:r>
      <w:r>
        <w:rPr>
          <w:w w:val="105"/>
          <w:sz w:val="19"/>
          <w:szCs w:val="19"/>
        </w:rPr>
        <w:t>da</w:t>
      </w:r>
      <w:r>
        <w:rPr>
          <w:spacing w:val="-14"/>
          <w:w w:val="105"/>
          <w:sz w:val="19"/>
          <w:szCs w:val="19"/>
        </w:rPr>
        <w:t xml:space="preserve"> </w:t>
      </w:r>
      <w:r>
        <w:rPr>
          <w:w w:val="105"/>
          <w:sz w:val="19"/>
          <w:szCs w:val="19"/>
        </w:rPr>
        <w:t>complexidade</w:t>
      </w:r>
      <w:r>
        <w:rPr>
          <w:spacing w:val="-11"/>
          <w:w w:val="105"/>
          <w:sz w:val="19"/>
          <w:szCs w:val="19"/>
        </w:rPr>
        <w:t xml:space="preserve"> </w:t>
      </w:r>
      <w:r>
        <w:rPr>
          <w:w w:val="105"/>
          <w:sz w:val="19"/>
          <w:szCs w:val="19"/>
        </w:rPr>
        <w:t>dos</w:t>
      </w:r>
      <w:r>
        <w:rPr>
          <w:spacing w:val="-10"/>
          <w:w w:val="105"/>
          <w:sz w:val="19"/>
          <w:szCs w:val="19"/>
        </w:rPr>
        <w:t xml:space="preserve"> </w:t>
      </w:r>
      <w:r>
        <w:rPr>
          <w:w w:val="105"/>
          <w:sz w:val="19"/>
          <w:szCs w:val="19"/>
        </w:rPr>
        <w:t>problemas</w:t>
      </w:r>
      <w:r>
        <w:rPr>
          <w:spacing w:val="-10"/>
          <w:w w:val="105"/>
          <w:sz w:val="19"/>
          <w:szCs w:val="19"/>
        </w:rPr>
        <w:t xml:space="preserve"> </w:t>
      </w:r>
      <w:r>
        <w:rPr>
          <w:w w:val="105"/>
          <w:sz w:val="19"/>
          <w:szCs w:val="19"/>
        </w:rPr>
        <w:t>sociais.</w:t>
      </w:r>
      <w:r>
        <w:rPr>
          <w:spacing w:val="-14"/>
          <w:w w:val="105"/>
          <w:sz w:val="19"/>
          <w:szCs w:val="19"/>
        </w:rPr>
        <w:t xml:space="preserve"> </w:t>
      </w:r>
      <w:r>
        <w:rPr>
          <w:w w:val="105"/>
          <w:sz w:val="19"/>
          <w:szCs w:val="19"/>
        </w:rPr>
        <w:t xml:space="preserve">Mais do que nunca, os mundos das mulheres estariam profundamente diversos, os direitos de cidadania comprometidos e as organizações femininas, assim </w:t>
      </w:r>
      <w:r>
        <w:rPr>
          <w:spacing w:val="-3"/>
          <w:w w:val="105"/>
          <w:sz w:val="19"/>
          <w:szCs w:val="19"/>
        </w:rPr>
        <w:t xml:space="preserve">como </w:t>
      </w:r>
      <w:r>
        <w:rPr>
          <w:w w:val="105"/>
          <w:sz w:val="19"/>
          <w:szCs w:val="19"/>
        </w:rPr>
        <w:t xml:space="preserve">outras </w:t>
      </w:r>
      <w:r>
        <w:rPr>
          <w:spacing w:val="-3"/>
          <w:w w:val="105"/>
          <w:sz w:val="19"/>
          <w:szCs w:val="19"/>
        </w:rPr>
        <w:t xml:space="preserve">formas </w:t>
      </w:r>
      <w:r>
        <w:rPr>
          <w:w w:val="105"/>
          <w:sz w:val="19"/>
          <w:szCs w:val="19"/>
        </w:rPr>
        <w:t>de ativismo, sofrendo claro refluxo” (Avelar,</w:t>
      </w:r>
      <w:r>
        <w:rPr>
          <w:spacing w:val="-22"/>
          <w:w w:val="105"/>
          <w:sz w:val="19"/>
          <w:szCs w:val="19"/>
        </w:rPr>
        <w:t xml:space="preserve"> </w:t>
      </w:r>
      <w:r>
        <w:rPr>
          <w:w w:val="105"/>
          <w:sz w:val="19"/>
          <w:szCs w:val="19"/>
        </w:rPr>
        <w:t>2001,</w:t>
      </w:r>
      <w:r>
        <w:rPr>
          <w:spacing w:val="-25"/>
          <w:w w:val="105"/>
          <w:sz w:val="19"/>
          <w:szCs w:val="19"/>
        </w:rPr>
        <w:t xml:space="preserve"> </w:t>
      </w:r>
      <w:r>
        <w:rPr>
          <w:w w:val="105"/>
          <w:sz w:val="19"/>
          <w:szCs w:val="19"/>
        </w:rPr>
        <w:t>p.20).</w:t>
      </w:r>
    </w:p>
    <w:p w:rsidR="00CC7D10" w:rsidRDefault="00CC7D10" w:rsidP="00CC7D10">
      <w:pPr>
        <w:ind w:left="4052"/>
        <w:rPr>
          <w:rFonts w:ascii="Arial" w:eastAsia="Arial" w:hAnsi="Arial" w:cs="Arial"/>
          <w:sz w:val="15"/>
          <w:szCs w:val="15"/>
        </w:rPr>
      </w:pPr>
      <w:r>
        <w:rPr>
          <w:rFonts w:ascii="Arial" w:hAnsi="Arial"/>
          <w:b/>
          <w:sz w:val="15"/>
        </w:rPr>
        <w:t>Gráfico 3: Periódios por ano de</w:t>
      </w:r>
      <w:r>
        <w:rPr>
          <w:rFonts w:ascii="Arial" w:hAnsi="Arial"/>
          <w:b/>
          <w:spacing w:val="-18"/>
          <w:sz w:val="15"/>
        </w:rPr>
        <w:t xml:space="preserve"> </w:t>
      </w:r>
      <w:r>
        <w:rPr>
          <w:rFonts w:ascii="Arial" w:hAnsi="Arial"/>
          <w:b/>
          <w:sz w:val="15"/>
        </w:rPr>
        <w:t>fundação</w:t>
      </w:r>
    </w:p>
    <w:p w:rsidR="00CC7D10" w:rsidRDefault="00CC7D10" w:rsidP="00BC7986">
      <w:pPr>
        <w:spacing w:before="89"/>
        <w:ind w:left="1508" w:firstLine="616"/>
        <w:rPr>
          <w:rFonts w:ascii="Arial" w:eastAsia="Arial" w:hAnsi="Arial" w:cs="Arial"/>
          <w:sz w:val="12"/>
          <w:szCs w:val="12"/>
        </w:rPr>
      </w:pPr>
      <w:r w:rsidRPr="00CC7D10">
        <w:rPr>
          <w:lang w:val="en-US"/>
        </w:rPr>
        <w:pict>
          <v:group id="_x0000_s1377" style="position:absolute;left:0;text-align:left;margin-left:109.3pt;margin-top:7.4pt;width:399.1pt;height:214.55pt;z-index:251660800;mso-position-horizontal-relative:page" coordorigin="2186,148" coordsize="7982,4291">
            <v:group id="_x0000_s1378" style="position:absolute;left:2227;top:154;width:7935;height:4244" coordorigin="2227,154" coordsize="7935,4244">
              <v:shape id="_x0000_s1379" style="position:absolute;left:2227;top:154;width:7935;height:4244" coordorigin="2227,154" coordsize="7935,4244" path="m2227,154r7935,l10162,4397r-7935,l2227,154e" filled="f" strokecolor="#7f7f7f" strokeweight=".21031mm">
                <v:path arrowok="t"/>
              </v:shape>
            </v:group>
            <v:group id="_x0000_s1380" style="position:absolute;left:2338;top:3336;width:144;height:1061" coordorigin="2338,3336" coordsize="144,1061">
              <v:shape id="_x0000_s1381" style="position:absolute;left:2338;top:3336;width:144;height:1061" coordorigin="2338,3336" coordsize="144,1061" path="m2338,4397r144,l2482,3336r-144,l2338,4397xe" fillcolor="#99f" stroked="f">
                <v:path arrowok="t"/>
              </v:shape>
            </v:group>
            <v:group id="_x0000_s1382" style="position:absolute;left:2338;top:3336;width:144;height:1061" coordorigin="2338,3336" coordsize="144,1061">
              <v:shape id="_x0000_s1383" style="position:absolute;left:2338;top:3336;width:144;height:1061" coordorigin="2338,3336" coordsize="144,1061" path="m2338,4397r144,l2482,3336r-144,l2338,4397xe" filled="f" strokeweight=".21031mm">
                <v:path arrowok="t"/>
              </v:shape>
            </v:group>
            <v:group id="_x0000_s1384" style="position:absolute;left:2698;top:3869;width:144;height:528" coordorigin="2698,3869" coordsize="144,528">
              <v:shape id="_x0000_s1385" style="position:absolute;left:2698;top:3869;width:144;height:528" coordorigin="2698,3869" coordsize="144,528" path="m2698,4397r144,l2842,3869r-144,l2698,4397xe" fillcolor="#99f" stroked="f">
                <v:path arrowok="t"/>
              </v:shape>
            </v:group>
            <v:group id="_x0000_s1386" style="position:absolute;left:2698;top:3869;width:144;height:528" coordorigin="2698,3869" coordsize="144,528">
              <v:shape id="_x0000_s1387" style="position:absolute;left:2698;top:3869;width:144;height:528" coordorigin="2698,3869" coordsize="144,528" path="m2698,4397r144,l2842,3869r-144,l2698,4397xe" filled="f" strokeweight=".21031mm">
                <v:path arrowok="t"/>
              </v:shape>
            </v:group>
            <v:group id="_x0000_s1388" style="position:absolute;left:3058;top:3336;width:144;height:1061" coordorigin="3058,3336" coordsize="144,1061">
              <v:shape id="_x0000_s1389" style="position:absolute;left:3058;top:3336;width:144;height:1061" coordorigin="3058,3336" coordsize="144,1061" path="m3058,4397r144,l3202,3336r-144,l3058,4397xe" fillcolor="#99f" stroked="f">
                <v:path arrowok="t"/>
              </v:shape>
            </v:group>
            <v:group id="_x0000_s1390" style="position:absolute;left:3058;top:3336;width:144;height:1061" coordorigin="3058,3336" coordsize="144,1061">
              <v:shape id="_x0000_s1391" style="position:absolute;left:3058;top:3336;width:144;height:1061" coordorigin="3058,3336" coordsize="144,1061" path="m3058,4397r144,l3202,3336r-144,l3058,4397xe" filled="f" strokeweight=".21031mm">
                <v:path arrowok="t"/>
              </v:shape>
            </v:group>
            <v:group id="_x0000_s1392" style="position:absolute;left:3418;top:2275;width:149;height:2122" coordorigin="3418,2275" coordsize="149,2122">
              <v:shape id="_x0000_s1393" style="position:absolute;left:3418;top:2275;width:149;height:2122" coordorigin="3418,2275" coordsize="149,2122" path="m3418,4397r148,l3566,2275r-148,l3418,4397xe" fillcolor="#99f" stroked="f">
                <v:path arrowok="t"/>
              </v:shape>
            </v:group>
            <v:group id="_x0000_s1394" style="position:absolute;left:3418;top:2275;width:149;height:2122" coordorigin="3418,2275" coordsize="149,2122">
              <v:shape id="_x0000_s1395" style="position:absolute;left:3418;top:2275;width:149;height:2122" coordorigin="3418,2275" coordsize="149,2122" path="m3418,4397r148,l3566,2275r-148,l3418,4397xe" filled="f" strokeweight=".21031mm">
                <v:path arrowok="t"/>
              </v:shape>
            </v:group>
            <v:group id="_x0000_s1396" style="position:absolute;left:3778;top:1214;width:144;height:3183" coordorigin="3778,1214" coordsize="144,3183">
              <v:shape id="_x0000_s1397" style="position:absolute;left:3778;top:1214;width:144;height:3183" coordorigin="3778,1214" coordsize="144,3183" path="m3778,4397r144,l3922,1214r-144,l3778,4397xe" fillcolor="#99f" stroked="f">
                <v:path arrowok="t"/>
              </v:shape>
            </v:group>
            <v:group id="_x0000_s1398" style="position:absolute;left:3778;top:1214;width:144;height:3183" coordorigin="3778,1214" coordsize="144,3183">
              <v:shape id="_x0000_s1399" style="position:absolute;left:3778;top:1214;width:144;height:3183" coordorigin="3778,1214" coordsize="144,3183" path="m3778,4397r144,l3922,1214r-144,l3778,4397xe" filled="f" strokeweight=".21031mm">
                <v:path arrowok="t"/>
              </v:shape>
            </v:group>
            <v:group id="_x0000_s1400" style="position:absolute;left:4138;top:3336;width:149;height:1061" coordorigin="4138,3336" coordsize="149,1061">
              <v:shape id="_x0000_s1401" style="position:absolute;left:4138;top:3336;width:149;height:1061" coordorigin="4138,3336" coordsize="149,1061" path="m4138,4397r148,l4286,3336r-148,l4138,4397xe" fillcolor="#7f0000" stroked="f">
                <v:path arrowok="t"/>
              </v:shape>
            </v:group>
            <v:group id="_x0000_s1402" style="position:absolute;left:4138;top:3336;width:149;height:1061" coordorigin="4138,3336" coordsize="149,1061">
              <v:shape id="_x0000_s1403" style="position:absolute;left:4138;top:3336;width:149;height:1061" coordorigin="4138,3336" coordsize="149,1061" path="m4138,4397r148,l4286,3336r-148,l4138,4397xe" filled="f" strokeweight=".21031mm">
                <v:path arrowok="t"/>
              </v:shape>
            </v:group>
            <v:group id="_x0000_s1404" style="position:absolute;left:4498;top:2275;width:149;height:2122" coordorigin="4498,2275" coordsize="149,2122">
              <v:shape id="_x0000_s1405" style="position:absolute;left:4498;top:2275;width:149;height:2122" coordorigin="4498,2275" coordsize="149,2122" path="m4498,4397r148,l4646,2275r-148,l4498,4397xe" fillcolor="#7f0000" stroked="f">
                <v:path arrowok="t"/>
              </v:shape>
            </v:group>
            <v:group id="_x0000_s1406" style="position:absolute;left:4498;top:2275;width:149;height:2122" coordorigin="4498,2275" coordsize="149,2122">
              <v:shape id="_x0000_s1407" style="position:absolute;left:4498;top:2275;width:149;height:2122" coordorigin="4498,2275" coordsize="149,2122" path="m4498,4397r148,l4646,2275r-148,l4498,4397xe" filled="f" strokeweight=".21031mm">
                <v:path arrowok="t"/>
              </v:shape>
            </v:group>
            <v:group id="_x0000_s1408" style="position:absolute;left:4862;top:682;width:144;height:3716" coordorigin="4862,682" coordsize="144,3716">
              <v:shape id="_x0000_s1409" style="position:absolute;left:4862;top:682;width:144;height:3716" coordorigin="4862,682" coordsize="144,3716" path="m4862,4397r144,l5006,682r-144,l4862,4397xe" fillcolor="#7f0000" stroked="f">
                <v:path arrowok="t"/>
              </v:shape>
            </v:group>
            <v:group id="_x0000_s1410" style="position:absolute;left:4862;top:682;width:144;height:3716" coordorigin="4862,682" coordsize="144,3716">
              <v:shape id="_x0000_s1411" style="position:absolute;left:4862;top:682;width:144;height:3716" coordorigin="4862,682" coordsize="144,3716" path="m4862,4397r144,l5006,682r-144,l4862,4397xe" filled="f" strokeweight=".21031mm">
                <v:path arrowok="t"/>
              </v:shape>
            </v:group>
            <v:group id="_x0000_s1412" style="position:absolute;left:5218;top:1742;width:149;height:2655" coordorigin="5218,1742" coordsize="149,2655">
              <v:shape id="_x0000_s1413" style="position:absolute;left:5218;top:1742;width:149;height:2655" coordorigin="5218,1742" coordsize="149,2655" path="m5218,4397r148,l5366,1742r-148,l5218,4397xe" fillcolor="#7f0000" stroked="f">
                <v:path arrowok="t"/>
              </v:shape>
            </v:group>
            <v:group id="_x0000_s1414" style="position:absolute;left:5218;top:1742;width:149;height:2655" coordorigin="5218,1742" coordsize="149,2655">
              <v:shape id="_x0000_s1415" style="position:absolute;left:5218;top:1742;width:149;height:2655" coordorigin="5218,1742" coordsize="149,2655" path="m5218,4397r148,l5366,1742r-148,l5218,4397xe" filled="f" strokeweight=".21031mm">
                <v:path arrowok="t"/>
              </v:shape>
            </v:group>
            <v:group id="_x0000_s1416" style="position:absolute;left:5582;top:1214;width:144;height:3183" coordorigin="5582,1214" coordsize="144,3183">
              <v:shape id="_x0000_s1417" style="position:absolute;left:5582;top:1214;width:144;height:3183" coordorigin="5582,1214" coordsize="144,3183" path="m5582,4397r144,l5726,1214r-144,l5582,4397xe" fillcolor="#7f0000" stroked="f">
                <v:path arrowok="t"/>
              </v:shape>
            </v:group>
            <v:group id="_x0000_s1418" style="position:absolute;left:5582;top:1214;width:144;height:3183" coordorigin="5582,1214" coordsize="144,3183">
              <v:shape id="_x0000_s1419" style="position:absolute;left:5582;top:1214;width:144;height:3183" coordorigin="5582,1214" coordsize="144,3183" path="m5582,4397r144,l5726,1214r-144,l5582,4397xe" filled="f" strokeweight=".21031mm">
                <v:path arrowok="t"/>
              </v:shape>
            </v:group>
            <v:group id="_x0000_s1420" style="position:absolute;left:5942;top:682;width:149;height:3716" coordorigin="5942,682" coordsize="149,3716">
              <v:shape id="_x0000_s1421" style="position:absolute;left:5942;top:682;width:149;height:3716" coordorigin="5942,682" coordsize="149,3716" path="m5942,4397r149,l6091,682r-149,l5942,4397xe" fillcolor="#7f0000" stroked="f">
                <v:path arrowok="t"/>
              </v:shape>
            </v:group>
            <v:group id="_x0000_s1422" style="position:absolute;left:5942;top:682;width:149;height:3716" coordorigin="5942,682" coordsize="149,3716">
              <v:shape id="_x0000_s1423" style="position:absolute;left:5942;top:682;width:149;height:3716" coordorigin="5942,682" coordsize="149,3716" path="m5942,4397r149,l6091,682r-149,l5942,4397xe" filled="f" strokeweight=".21031mm">
                <v:path arrowok="t"/>
              </v:shape>
            </v:group>
            <v:group id="_x0000_s1424" style="position:absolute;left:6302;top:1214;width:144;height:3183" coordorigin="6302,1214" coordsize="144,3183">
              <v:shape id="_x0000_s1425" style="position:absolute;left:6302;top:1214;width:144;height:3183" coordorigin="6302,1214" coordsize="144,3183" path="m6302,4397r144,l6446,1214r-144,l6302,4397xe" fillcolor="#7f0000" stroked="f">
                <v:path arrowok="t"/>
              </v:shape>
            </v:group>
            <v:group id="_x0000_s1426" style="position:absolute;left:6302;top:1214;width:144;height:3183" coordorigin="6302,1214" coordsize="144,3183">
              <v:shape id="_x0000_s1427" style="position:absolute;left:6302;top:1214;width:144;height:3183" coordorigin="6302,1214" coordsize="144,3183" path="m6302,4397r144,l6446,1214r-144,l6302,4397xe" filled="f" strokeweight=".21031mm">
                <v:path arrowok="t"/>
              </v:shape>
            </v:group>
            <v:group id="_x0000_s1428" style="position:absolute;left:6662;top:3869;width:149;height:528" coordorigin="6662,3869" coordsize="149,528">
              <v:shape id="_x0000_s1429" style="position:absolute;left:6662;top:3869;width:149;height:528" coordorigin="6662,3869" coordsize="149,528" path="m6662,4397r149,l6811,3869r-149,l6662,4397xe" fillcolor="#7f0000" stroked="f">
                <v:path arrowok="t"/>
              </v:shape>
            </v:group>
            <v:group id="_x0000_s1430" style="position:absolute;left:6662;top:3869;width:149;height:528" coordorigin="6662,3869" coordsize="149,528">
              <v:shape id="_x0000_s1431" style="position:absolute;left:6662;top:3869;width:149;height:528" coordorigin="6662,3869" coordsize="149,528" path="m6662,4397r149,l6811,3869r-149,l6662,4397xe" filled="f" strokeweight=".21031mm">
                <v:path arrowok="t"/>
              </v:shape>
            </v:group>
            <v:group id="_x0000_s1432" style="position:absolute;left:7022;top:3336;width:149;height:1061" coordorigin="7022,3336" coordsize="149,1061">
              <v:shape id="_x0000_s1433" style="position:absolute;left:7022;top:3336;width:149;height:1061" coordorigin="7022,3336" coordsize="149,1061" path="m7022,4397r149,l7171,3336r-149,l7022,4397xe" fillcolor="#7f0000" stroked="f">
                <v:path arrowok="t"/>
              </v:shape>
            </v:group>
            <v:group id="_x0000_s1434" style="position:absolute;left:7022;top:3336;width:149;height:1061" coordorigin="7022,3336" coordsize="149,1061">
              <v:shape id="_x0000_s1435" style="position:absolute;left:7022;top:3336;width:149;height:1061" coordorigin="7022,3336" coordsize="149,1061" path="m7022,4397r149,l7171,3336r-149,l7022,4397xe" filled="f" strokeweight=".21031mm">
                <v:path arrowok="t"/>
              </v:shape>
            </v:group>
            <v:group id="_x0000_s1436" style="position:absolute;left:7387;top:2803;width:144;height:1594" coordorigin="7387,2803" coordsize="144,1594">
              <v:shape id="_x0000_s1437" style="position:absolute;left:7387;top:2803;width:144;height:1594" coordorigin="7387,2803" coordsize="144,1594" path="m7387,4397r144,l7531,2803r-144,l7387,4397xe" fillcolor="#7f0000" stroked="f">
                <v:path arrowok="t"/>
              </v:shape>
            </v:group>
            <v:group id="_x0000_s1438" style="position:absolute;left:7387;top:2803;width:144;height:1594" coordorigin="7387,2803" coordsize="144,1594">
              <v:shape id="_x0000_s1439" style="position:absolute;left:7387;top:2803;width:144;height:1594" coordorigin="7387,2803" coordsize="144,1594" path="m7387,4397r144,l7531,2803r-144,l7387,4397xe" filled="f" strokeweight=".21031mm">
                <v:path arrowok="t"/>
              </v:shape>
            </v:group>
            <v:group id="_x0000_s1440" style="position:absolute;left:7742;top:2275;width:149;height:2122" coordorigin="7742,2275" coordsize="149,2122">
              <v:shape id="_x0000_s1441" style="position:absolute;left:7742;top:2275;width:149;height:2122" coordorigin="7742,2275" coordsize="149,2122" path="m7742,4397r149,l7891,2275r-149,l7742,4397xe" fillcolor="#7f0000" stroked="f">
                <v:path arrowok="t"/>
              </v:shape>
            </v:group>
            <v:group id="_x0000_s1442" style="position:absolute;left:7742;top:2275;width:149;height:2122" coordorigin="7742,2275" coordsize="149,2122">
              <v:shape id="_x0000_s1443" style="position:absolute;left:7742;top:2275;width:149;height:2122" coordorigin="7742,2275" coordsize="149,2122" path="m7742,4397r149,l7891,2275r-149,l7742,4397xe" filled="f" strokeweight=".21031mm">
                <v:path arrowok="t"/>
              </v:shape>
            </v:group>
            <v:group id="_x0000_s1444" style="position:absolute;left:8107;top:2275;width:144;height:2122" coordorigin="8107,2275" coordsize="144,2122">
              <v:shape id="_x0000_s1445" style="position:absolute;left:8107;top:2275;width:144;height:2122" coordorigin="8107,2275" coordsize="144,2122" path="m8107,4397r144,l8251,2275r-144,l8107,4397xe" fillcolor="#7f0000" stroked="f">
                <v:path arrowok="t"/>
              </v:shape>
            </v:group>
            <v:group id="_x0000_s1446" style="position:absolute;left:8107;top:2275;width:144;height:2122" coordorigin="8107,2275" coordsize="144,2122">
              <v:shape id="_x0000_s1447" style="position:absolute;left:8107;top:2275;width:144;height:2122" coordorigin="8107,2275" coordsize="144,2122" path="m8107,4397r144,l8251,2275r-144,l8107,4397xe" filled="f" strokeweight=".21031mm">
                <v:path arrowok="t"/>
              </v:shape>
            </v:group>
            <v:group id="_x0000_s1448" style="position:absolute;left:8467;top:3336;width:144;height:1061" coordorigin="8467,3336" coordsize="144,1061">
              <v:shape id="_x0000_s1449" style="position:absolute;left:8467;top:3336;width:144;height:1061" coordorigin="8467,3336" coordsize="144,1061" path="m8467,4397r144,l8611,3336r-144,l8467,4397xe" fillcolor="#7f0000" stroked="f">
                <v:path arrowok="t"/>
              </v:shape>
            </v:group>
            <v:group id="_x0000_s1450" style="position:absolute;left:8467;top:3336;width:144;height:1061" coordorigin="8467,3336" coordsize="144,1061">
              <v:shape id="_x0000_s1451" style="position:absolute;left:8467;top:3336;width:144;height:1061" coordorigin="8467,3336" coordsize="144,1061" path="m8467,4397r144,l8611,3336r-144,l8467,4397xe" filled="f" strokeweight=".21031mm">
                <v:path arrowok="t"/>
              </v:shape>
            </v:group>
            <v:group id="_x0000_s1452" style="position:absolute;left:8827;top:3336;width:144;height:1061" coordorigin="8827,3336" coordsize="144,1061">
              <v:shape id="_x0000_s1453" style="position:absolute;left:8827;top:3336;width:144;height:1061" coordorigin="8827,3336" coordsize="144,1061" path="m8827,4397r144,l8971,3336r-144,l8827,4397xe" fillcolor="#7f0000" stroked="f">
                <v:path arrowok="t"/>
              </v:shape>
            </v:group>
            <v:group id="_x0000_s1454" style="position:absolute;left:8827;top:3336;width:144;height:1061" coordorigin="8827,3336" coordsize="144,1061">
              <v:shape id="_x0000_s1455" style="position:absolute;left:8827;top:3336;width:144;height:1061" coordorigin="8827,3336" coordsize="144,1061" path="m8827,4397r144,l8971,3336r-144,l8827,4397xe" filled="f" strokeweight=".21031mm">
                <v:path arrowok="t"/>
              </v:shape>
            </v:group>
            <v:group id="_x0000_s1456" style="position:absolute;left:9187;top:3869;width:149;height:528" coordorigin="9187,3869" coordsize="149,528">
              <v:shape id="_x0000_s1457" style="position:absolute;left:9187;top:3869;width:149;height:528" coordorigin="9187,3869" coordsize="149,528" path="m9187,4397r149,l9336,3869r-149,l9187,4397xe" fillcolor="#7f0000" stroked="f">
                <v:path arrowok="t"/>
              </v:shape>
            </v:group>
            <v:group id="_x0000_s1458" style="position:absolute;left:9187;top:3869;width:149;height:528" coordorigin="9187,3869" coordsize="149,528">
              <v:shape id="_x0000_s1459" style="position:absolute;left:9187;top:3869;width:149;height:528" coordorigin="9187,3869" coordsize="149,528" path="m9187,4397r149,l9336,3869r-149,l9187,4397xe" filled="f" strokeweight=".21031mm">
                <v:path arrowok="t"/>
              </v:shape>
            </v:group>
            <v:group id="_x0000_s1460" style="position:absolute;left:9547;top:2803;width:144;height:1594" coordorigin="9547,2803" coordsize="144,1594">
              <v:shape id="_x0000_s1461" style="position:absolute;left:9547;top:2803;width:144;height:1594" coordorigin="9547,2803" coordsize="144,1594" path="m9547,4397r144,l9691,2803r-144,l9547,4397xe" fillcolor="#7f0000" stroked="f">
                <v:path arrowok="t"/>
              </v:shape>
            </v:group>
            <v:group id="_x0000_s1462" style="position:absolute;left:9547;top:2803;width:144;height:1594" coordorigin="9547,2803" coordsize="144,1594">
              <v:shape id="_x0000_s1463" style="position:absolute;left:9547;top:2803;width:144;height:1594" coordorigin="9547,2803" coordsize="144,1594" path="m9547,4397r144,l9691,2803r-144,l9547,4397xe" filled="f" strokeweight=".21031mm">
                <v:path arrowok="t"/>
              </v:shape>
            </v:group>
            <v:group id="_x0000_s1464" style="position:absolute;left:9907;top:3869;width:149;height:528" coordorigin="9907,3869" coordsize="149,528">
              <v:shape id="_x0000_s1465" style="position:absolute;left:9907;top:3869;width:149;height:528" coordorigin="9907,3869" coordsize="149,528" path="m9907,4397r149,l10056,3869r-149,l9907,4397xe" fillcolor="#7f0000" stroked="f">
                <v:path arrowok="t"/>
              </v:shape>
            </v:group>
            <v:group id="_x0000_s1466" style="position:absolute;left:9907;top:3869;width:149;height:528" coordorigin="9907,3869" coordsize="149,528">
              <v:shape id="_x0000_s1467" style="position:absolute;left:9907;top:3869;width:149;height:528" coordorigin="9907,3869" coordsize="149,528" path="m9907,4397r149,l10056,3869r-149,l9907,4397xe" filled="f" strokeweight=".21031mm">
                <v:path arrowok="t"/>
              </v:shape>
            </v:group>
            <v:group id="_x0000_s1468" style="position:absolute;left:2227;top:154;width:2;height:4244" coordorigin="2227,154" coordsize="2,4244">
              <v:shape id="_x0000_s1469" style="position:absolute;left:2227;top:154;width:2;height:4244" coordorigin="2227,154" coordsize="0,4244" path="m2227,154r,4243e" filled="f" strokeweight=".24pt">
                <v:path arrowok="t"/>
              </v:shape>
            </v:group>
            <v:group id="_x0000_s1470" style="position:absolute;left:2189;top:4397;width:39;height:2" coordorigin="2189,4397" coordsize="39,2">
              <v:shape id="_x0000_s1471" style="position:absolute;left:2189;top:4397;width:39;height:2" coordorigin="2189,4397" coordsize="39,0" path="m2189,4397r38,e" filled="f" strokeweight=".24pt">
                <v:path arrowok="t"/>
              </v:shape>
            </v:group>
            <v:group id="_x0000_s1472" style="position:absolute;left:2189;top:3869;width:39;height:2" coordorigin="2189,3869" coordsize="39,2">
              <v:shape id="_x0000_s1473" style="position:absolute;left:2189;top:3869;width:39;height:2" coordorigin="2189,3869" coordsize="39,0" path="m2189,3869r38,e" filled="f" strokeweight=".24pt">
                <v:path arrowok="t"/>
              </v:shape>
            </v:group>
            <v:group id="_x0000_s1474" style="position:absolute;left:2189;top:3336;width:39;height:2" coordorigin="2189,3336" coordsize="39,2">
              <v:shape id="_x0000_s1475" style="position:absolute;left:2189;top:3336;width:39;height:2" coordorigin="2189,3336" coordsize="39,0" path="m2189,3336r38,e" filled="f" strokeweight=".24pt">
                <v:path arrowok="t"/>
              </v:shape>
            </v:group>
            <v:group id="_x0000_s1476" style="position:absolute;left:2189;top:2803;width:39;height:2" coordorigin="2189,2803" coordsize="39,2">
              <v:shape id="_x0000_s1477" style="position:absolute;left:2189;top:2803;width:39;height:2" coordorigin="2189,2803" coordsize="39,0" path="m2189,2803r38,e" filled="f" strokeweight=".24pt">
                <v:path arrowok="t"/>
              </v:shape>
            </v:group>
            <v:group id="_x0000_s1478" style="position:absolute;left:2189;top:2275;width:39;height:2" coordorigin="2189,2275" coordsize="39,2">
              <v:shape id="_x0000_s1479" style="position:absolute;left:2189;top:2275;width:39;height:2" coordorigin="2189,2275" coordsize="39,0" path="m2189,2275r38,e" filled="f" strokeweight=".24pt">
                <v:path arrowok="t"/>
              </v:shape>
            </v:group>
            <v:group id="_x0000_s1480" style="position:absolute;left:2189;top:1742;width:39;height:2" coordorigin="2189,1742" coordsize="39,2">
              <v:shape id="_x0000_s1481" style="position:absolute;left:2189;top:1742;width:39;height:2" coordorigin="2189,1742" coordsize="39,0" path="m2189,1742r38,e" filled="f" strokeweight=".24pt">
                <v:path arrowok="t"/>
              </v:shape>
            </v:group>
            <v:group id="_x0000_s1482" style="position:absolute;left:2189;top:1214;width:39;height:2" coordorigin="2189,1214" coordsize="39,2">
              <v:shape id="_x0000_s1483" style="position:absolute;left:2189;top:1214;width:39;height:2" coordorigin="2189,1214" coordsize="39,0" path="m2189,1214r38,e" filled="f" strokeweight=".24pt">
                <v:path arrowok="t"/>
              </v:shape>
            </v:group>
            <v:group id="_x0000_s1484" style="position:absolute;left:2189;top:682;width:39;height:2" coordorigin="2189,682" coordsize="39,2">
              <v:shape id="_x0000_s1485" style="position:absolute;left:2189;top:682;width:39;height:2" coordorigin="2189,682" coordsize="39,0" path="m2189,682r38,e" filled="f" strokeweight=".24pt">
                <v:path arrowok="t"/>
              </v:shape>
            </v:group>
            <v:group id="_x0000_s1486" style="position:absolute;left:2189;top:154;width:39;height:2" coordorigin="2189,154" coordsize="39,2">
              <v:shape id="_x0000_s1487" style="position:absolute;left:2189;top:154;width:39;height:2" coordorigin="2189,154" coordsize="39,0" path="m2189,154r38,e" filled="f" strokeweight=".24pt">
                <v:path arrowok="t"/>
              </v:shape>
            </v:group>
            <v:group id="_x0000_s1488" style="position:absolute;left:2227;top:4397;width:7935;height:2" coordorigin="2227,4397" coordsize="7935,2">
              <v:shape id="_x0000_s1489" style="position:absolute;left:2227;top:4397;width:7935;height:2" coordorigin="2227,4397" coordsize="7935,0" path="m2227,4397r7935,e" filled="f" strokeweight=".24pt">
                <v:path arrowok="t"/>
              </v:shape>
            </v:group>
            <v:group id="_x0000_s1490" style="position:absolute;left:2227;top:4397;width:2;height:39" coordorigin="2227,4397" coordsize="2,39">
              <v:shape id="_x0000_s1491" style="position:absolute;left:2227;top:4397;width:2;height:39" coordorigin="2227,4397" coordsize="0,39" path="m2227,4435r,-38e" filled="f" strokeweight=".24pt">
                <v:path arrowok="t"/>
              </v:shape>
            </v:group>
            <v:group id="_x0000_s1492" style="position:absolute;left:2592;top:4397;width:2;height:39" coordorigin="2592,4397" coordsize="2,39">
              <v:shape id="_x0000_s1493" style="position:absolute;left:2592;top:4397;width:2;height:39" coordorigin="2592,4397" coordsize="0,39" path="m2592,4435r,-38e" filled="f" strokeweight=".24pt">
                <v:path arrowok="t"/>
              </v:shape>
            </v:group>
            <v:group id="_x0000_s1494" style="position:absolute;left:2947;top:4397;width:2;height:39" coordorigin="2947,4397" coordsize="2,39">
              <v:shape id="_x0000_s1495" style="position:absolute;left:2947;top:4397;width:2;height:39" coordorigin="2947,4397" coordsize="0,39" path="m2947,4435r,-38e" filled="f" strokeweight=".24pt">
                <v:path arrowok="t"/>
              </v:shape>
            </v:group>
            <v:group id="_x0000_s1496" style="position:absolute;left:3312;top:4397;width:2;height:39" coordorigin="3312,4397" coordsize="2,39">
              <v:shape id="_x0000_s1497" style="position:absolute;left:3312;top:4397;width:2;height:39" coordorigin="3312,4397" coordsize="0,39" path="m3312,4435r,-38e" filled="f" strokeweight=".24pt">
                <v:path arrowok="t"/>
              </v:shape>
            </v:group>
            <v:group id="_x0000_s1498" style="position:absolute;left:3672;top:4397;width:2;height:39" coordorigin="3672,4397" coordsize="2,39">
              <v:shape id="_x0000_s1499" style="position:absolute;left:3672;top:4397;width:2;height:39" coordorigin="3672,4397" coordsize="0,39" path="m3672,4435r,-38e" filled="f" strokeweight=".24pt">
                <v:path arrowok="t"/>
              </v:shape>
            </v:group>
            <v:group id="_x0000_s1500" style="position:absolute;left:4032;top:4397;width:2;height:39" coordorigin="4032,4397" coordsize="2,39">
              <v:shape id="_x0000_s1501" style="position:absolute;left:4032;top:4397;width:2;height:39" coordorigin="4032,4397" coordsize="0,39" path="m4032,4435r,-38e" filled="f" strokeweight=".24pt">
                <v:path arrowok="t"/>
              </v:shape>
            </v:group>
            <v:group id="_x0000_s1502" style="position:absolute;left:4392;top:4397;width:2;height:39" coordorigin="4392,4397" coordsize="2,39">
              <v:shape id="_x0000_s1503" style="position:absolute;left:4392;top:4397;width:2;height:39" coordorigin="4392,4397" coordsize="0,39" path="m4392,4435r,-38e" filled="f" strokeweight=".24pt">
                <v:path arrowok="t"/>
              </v:shape>
            </v:group>
            <v:group id="_x0000_s1504" style="position:absolute;left:4752;top:4397;width:2;height:39" coordorigin="4752,4397" coordsize="2,39">
              <v:shape id="_x0000_s1505" style="position:absolute;left:4752;top:4397;width:2;height:39" coordorigin="4752,4397" coordsize="0,39" path="m4752,4435r,-38e" filled="f" strokeweight=".24pt">
                <v:path arrowok="t"/>
              </v:shape>
            </v:group>
            <v:group id="_x0000_s1506" style="position:absolute;left:5112;top:4397;width:2;height:39" coordorigin="5112,4397" coordsize="2,39">
              <v:shape id="_x0000_s1507" style="position:absolute;left:5112;top:4397;width:2;height:39" coordorigin="5112,4397" coordsize="0,39" path="m5112,4435r,-38e" filled="f" strokeweight=".24pt">
                <v:path arrowok="t"/>
              </v:shape>
            </v:group>
            <v:group id="_x0000_s1508" style="position:absolute;left:5472;top:4397;width:2;height:39" coordorigin="5472,4397" coordsize="2,39">
              <v:shape id="_x0000_s1509" style="position:absolute;left:5472;top:4397;width:2;height:39" coordorigin="5472,4397" coordsize="0,39" path="m5472,4435r,-38e" filled="f" strokeweight=".24pt">
                <v:path arrowok="t"/>
              </v:shape>
            </v:group>
            <v:group id="_x0000_s1510" style="position:absolute;left:5837;top:4397;width:2;height:39" coordorigin="5837,4397" coordsize="2,39">
              <v:shape id="_x0000_s1511" style="position:absolute;left:5837;top:4397;width:2;height:39" coordorigin="5837,4397" coordsize="0,39" path="m5837,4435r,-38e" filled="f" strokeweight=".24pt">
                <v:path arrowok="t"/>
              </v:shape>
            </v:group>
            <v:group id="_x0000_s1512" style="position:absolute;left:6197;top:4397;width:2;height:39" coordorigin="6197,4397" coordsize="2,39">
              <v:shape id="_x0000_s1513" style="position:absolute;left:6197;top:4397;width:2;height:39" coordorigin="6197,4397" coordsize="0,39" path="m6197,4435r,-38e" filled="f" strokeweight=".24pt">
                <v:path arrowok="t"/>
              </v:shape>
            </v:group>
            <v:group id="_x0000_s1514" style="position:absolute;left:6557;top:4397;width:2;height:39" coordorigin="6557,4397" coordsize="2,39">
              <v:shape id="_x0000_s1515" style="position:absolute;left:6557;top:4397;width:2;height:39" coordorigin="6557,4397" coordsize="0,39" path="m6557,4435r,-38e" filled="f" strokeweight=".24pt">
                <v:path arrowok="t"/>
              </v:shape>
            </v:group>
            <v:group id="_x0000_s1516" style="position:absolute;left:6917;top:4397;width:2;height:39" coordorigin="6917,4397" coordsize="2,39">
              <v:shape id="_x0000_s1517" style="position:absolute;left:6917;top:4397;width:2;height:39" coordorigin="6917,4397" coordsize="0,39" path="m6917,4435r,-38e" filled="f" strokeweight=".24pt">
                <v:path arrowok="t"/>
              </v:shape>
            </v:group>
            <v:group id="_x0000_s1518" style="position:absolute;left:7277;top:4397;width:2;height:39" coordorigin="7277,4397" coordsize="2,39">
              <v:shape id="_x0000_s1519" style="position:absolute;left:7277;top:4397;width:2;height:39" coordorigin="7277,4397" coordsize="0,39" path="m7277,4435r,-38e" filled="f" strokeweight=".24pt">
                <v:path arrowok="t"/>
              </v:shape>
            </v:group>
            <v:group id="_x0000_s1520" style="position:absolute;left:7637;top:4397;width:2;height:39" coordorigin="7637,4397" coordsize="2,39">
              <v:shape id="_x0000_s1521" style="position:absolute;left:7637;top:4397;width:2;height:39" coordorigin="7637,4397" coordsize="0,39" path="m7637,4435r,-38e" filled="f" strokeweight=".24pt">
                <v:path arrowok="t"/>
              </v:shape>
            </v:group>
            <v:group id="_x0000_s1522" style="position:absolute;left:7997;top:4397;width:2;height:39" coordorigin="7997,4397" coordsize="2,39">
              <v:shape id="_x0000_s1523" style="position:absolute;left:7997;top:4397;width:2;height:39" coordorigin="7997,4397" coordsize="0,39" path="m7997,4435r,-38e" filled="f" strokeweight=".24pt">
                <v:path arrowok="t"/>
              </v:shape>
            </v:group>
            <v:group id="_x0000_s1524" style="position:absolute;left:8362;top:4397;width:2;height:39" coordorigin="8362,4397" coordsize="2,39">
              <v:shape id="_x0000_s1525" style="position:absolute;left:8362;top:4397;width:2;height:39" coordorigin="8362,4397" coordsize="0,39" path="m8362,4435r,-38e" filled="f" strokeweight=".24pt">
                <v:path arrowok="t"/>
              </v:shape>
            </v:group>
            <v:group id="_x0000_s1526" style="position:absolute;left:8717;top:4397;width:2;height:39" coordorigin="8717,4397" coordsize="2,39">
              <v:shape id="_x0000_s1527" style="position:absolute;left:8717;top:4397;width:2;height:39" coordorigin="8717,4397" coordsize="0,39" path="m8717,4435r,-38e" filled="f" strokeweight=".24pt">
                <v:path arrowok="t"/>
              </v:shape>
            </v:group>
            <v:group id="_x0000_s1528" style="position:absolute;left:9082;top:4397;width:2;height:39" coordorigin="9082,4397" coordsize="2,39">
              <v:shape id="_x0000_s1529" style="position:absolute;left:9082;top:4397;width:2;height:39" coordorigin="9082,4397" coordsize="0,39" path="m9082,4435r,-38e" filled="f" strokeweight=".24pt">
                <v:path arrowok="t"/>
              </v:shape>
            </v:group>
            <v:group id="_x0000_s1530" style="position:absolute;left:9442;top:4397;width:2;height:39" coordorigin="9442,4397" coordsize="2,39">
              <v:shape id="_x0000_s1531" style="position:absolute;left:9442;top:4397;width:2;height:39" coordorigin="9442,4397" coordsize="0,39" path="m9442,4435r,-38e" filled="f" strokeweight=".24pt">
                <v:path arrowok="t"/>
              </v:shape>
            </v:group>
            <v:group id="_x0000_s1532" style="position:absolute;left:9802;top:4397;width:2;height:39" coordorigin="9802,4397" coordsize="2,39">
              <v:shape id="_x0000_s1533" style="position:absolute;left:9802;top:4397;width:2;height:39" coordorigin="9802,4397" coordsize="0,39" path="m9802,4435r,-38e" filled="f" strokeweight=".24pt">
                <v:path arrowok="t"/>
              </v:shape>
            </v:group>
            <v:group id="_x0000_s1534" style="position:absolute;left:10162;top:4397;width:2;height:39" coordorigin="10162,4397" coordsize="2,39">
              <v:shape id="_x0000_s1535" style="position:absolute;left:10162;top:4397;width:2;height:39" coordorigin="10162,4397" coordsize="0,39" path="m10162,4435r,-38e" filled="f" strokeweight=".24pt">
                <v:path arrowok="t"/>
              </v:shape>
            </v:group>
            <w10:wrap anchorx="page"/>
          </v:group>
        </w:pict>
      </w:r>
      <w:r w:rsidR="00BC7986">
        <w:rPr>
          <w:rFonts w:ascii="Arial"/>
          <w:w w:val="104"/>
          <w:sz w:val="12"/>
        </w:rPr>
        <w:t xml:space="preserve"> </w:t>
      </w:r>
      <w:r>
        <w:rPr>
          <w:rFonts w:ascii="Arial"/>
          <w:w w:val="104"/>
          <w:sz w:val="12"/>
        </w:rPr>
        <w:t>8</w:t>
      </w:r>
    </w:p>
    <w:p w:rsidR="00CC7D10" w:rsidRDefault="00CC7D10" w:rsidP="00CC7D10">
      <w:pPr>
        <w:spacing w:before="2"/>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7</w:t>
      </w:r>
    </w:p>
    <w:p w:rsidR="00CC7D10" w:rsidRDefault="00CC7D10" w:rsidP="00CC7D10">
      <w:pPr>
        <w:spacing w:before="7"/>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6</w:t>
      </w:r>
    </w:p>
    <w:p w:rsidR="00CC7D10" w:rsidRDefault="00CC7D10" w:rsidP="00CC7D10">
      <w:pPr>
        <w:spacing w:before="2"/>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5</w:t>
      </w:r>
    </w:p>
    <w:p w:rsidR="00CC7D10" w:rsidRDefault="00CC7D10" w:rsidP="00CC7D10">
      <w:pPr>
        <w:spacing w:before="7"/>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4</w:t>
      </w:r>
    </w:p>
    <w:p w:rsidR="00CC7D10" w:rsidRDefault="00CC7D10" w:rsidP="00CC7D10">
      <w:pPr>
        <w:spacing w:before="2"/>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3</w:t>
      </w:r>
    </w:p>
    <w:p w:rsidR="00CC7D10" w:rsidRDefault="00CC7D10" w:rsidP="00CC7D10">
      <w:pPr>
        <w:spacing w:before="7"/>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2</w:t>
      </w:r>
    </w:p>
    <w:p w:rsidR="00CC7D10" w:rsidRDefault="00CC7D10" w:rsidP="00CC7D10">
      <w:pPr>
        <w:spacing w:before="2"/>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Pr>
          <w:rFonts w:ascii="Arial"/>
          <w:w w:val="104"/>
          <w:sz w:val="12"/>
        </w:rPr>
        <w:t>1</w:t>
      </w:r>
    </w:p>
    <w:p w:rsidR="00CC7D10" w:rsidRDefault="00CC7D10" w:rsidP="00CC7D10">
      <w:pPr>
        <w:spacing w:before="7"/>
        <w:rPr>
          <w:rFonts w:ascii="Arial" w:eastAsia="Arial" w:hAnsi="Arial" w:cs="Arial"/>
          <w:sz w:val="26"/>
          <w:szCs w:val="26"/>
        </w:rPr>
      </w:pPr>
    </w:p>
    <w:p w:rsidR="00CC7D10" w:rsidRDefault="00CC7D10" w:rsidP="00CC7D10">
      <w:pPr>
        <w:spacing w:before="89"/>
        <w:ind w:left="1508"/>
        <w:rPr>
          <w:rFonts w:ascii="Arial" w:eastAsia="Arial" w:hAnsi="Arial" w:cs="Arial"/>
          <w:sz w:val="12"/>
          <w:szCs w:val="12"/>
        </w:rPr>
      </w:pPr>
      <w:r w:rsidRPr="00CC7D10">
        <w:rPr>
          <w:lang w:val="en-US"/>
        </w:rPr>
        <w:pict>
          <v:shape id="_x0000_s1536" type="#_x0000_t136" style="position:absolute;left:0;text-align:left;margin-left:105.55pt;margin-top:18.35pt;width:14.05pt;height:6.3pt;rotation:315;z-index:251661824;mso-position-horizontal-relative:page" fillcolor="black" stroked="f">
            <o:extrusion v:ext="view" autorotationcenter="t"/>
            <v:textpath style="font-family:&quot;&amp;quot&quot;;font-size:6pt;v-text-kern:t;mso-text-shadow:auto" string="1975"/>
            <w10:wrap anchorx="page"/>
          </v:shape>
        </w:pict>
      </w:r>
      <w:r w:rsidRPr="00CC7D10">
        <w:rPr>
          <w:lang w:val="en-US"/>
        </w:rPr>
        <w:pict>
          <v:shape id="_x0000_s1537" type="#_x0000_t136" style="position:absolute;left:0;text-align:left;margin-left:123.6pt;margin-top:18.45pt;width:14.05pt;height:6.3pt;rotation:315;z-index:251662848;mso-position-horizontal-relative:page" fillcolor="black" stroked="f">
            <o:extrusion v:ext="view" autorotationcenter="t"/>
            <v:textpath style="font-family:&quot;&amp;quot&quot;;font-size:6pt;v-text-kern:t;mso-text-shadow:auto" string="1976"/>
            <w10:wrap anchorx="page"/>
          </v:shape>
        </w:pict>
      </w:r>
      <w:r w:rsidRPr="00CC7D10">
        <w:rPr>
          <w:lang w:val="en-US"/>
        </w:rPr>
        <w:pict>
          <v:shape id="_x0000_s1538" type="#_x0000_t136" style="position:absolute;left:0;text-align:left;margin-left:141.7pt;margin-top:18.3pt;width:14.05pt;height:6.3pt;rotation:315;z-index:251663872;mso-position-horizontal-relative:page" fillcolor="black" stroked="f">
            <o:extrusion v:ext="view" autorotationcenter="t"/>
            <v:textpath style="font-family:&quot;&amp;quot&quot;;font-size:6pt;v-text-kern:t;mso-text-shadow:auto" string="1979"/>
            <w10:wrap anchorx="page"/>
          </v:shape>
        </w:pict>
      </w:r>
      <w:r w:rsidRPr="00CC7D10">
        <w:rPr>
          <w:lang w:val="en-US"/>
        </w:rPr>
        <w:pict>
          <v:shape id="_x0000_s1539" type="#_x0000_t136" style="position:absolute;left:0;text-align:left;margin-left:159.6pt;margin-top:18.45pt;width:14.05pt;height:6.3pt;rotation:315;z-index:251664896;mso-position-horizontal-relative:page" fillcolor="black" stroked="f">
            <o:extrusion v:ext="view" autorotationcenter="t"/>
            <v:textpath style="font-family:&quot;&amp;quot&quot;;font-size:6pt;v-text-kern:t;mso-text-shadow:auto" string="1980"/>
            <w10:wrap anchorx="page"/>
          </v:shape>
        </w:pict>
      </w:r>
      <w:r w:rsidRPr="00CC7D10">
        <w:rPr>
          <w:lang w:val="en-US"/>
        </w:rPr>
        <w:pict>
          <v:shape id="_x0000_s1540" type="#_x0000_t136" style="position:absolute;left:0;text-align:left;margin-left:177.7pt;margin-top:18.3pt;width:14.05pt;height:6.3pt;rotation:315;z-index:251665920;mso-position-horizontal-relative:page" fillcolor="black" stroked="f">
            <o:extrusion v:ext="view" autorotationcenter="t"/>
            <v:textpath style="font-family:&quot;&amp;quot&quot;;font-size:6pt;v-text-kern:t;mso-text-shadow:auto" string="1981"/>
            <w10:wrap anchorx="page"/>
          </v:shape>
        </w:pict>
      </w:r>
      <w:r w:rsidRPr="00CC7D10">
        <w:rPr>
          <w:lang w:val="en-US"/>
        </w:rPr>
        <w:pict>
          <v:shape id="_x0000_s1541" type="#_x0000_t136" style="position:absolute;left:0;text-align:left;margin-left:195.75pt;margin-top:18.35pt;width:14.05pt;height:6.3pt;rotation:315;z-index:251666944;mso-position-horizontal-relative:page" fillcolor="black" stroked="f">
            <o:extrusion v:ext="view" autorotationcenter="t"/>
            <v:textpath style="font-family:&quot;&amp;quot&quot;;font-size:6pt;v-text-kern:t;mso-text-shadow:auto" string="1982"/>
            <w10:wrap anchorx="page"/>
          </v:shape>
        </w:pict>
      </w:r>
      <w:r w:rsidRPr="00CC7D10">
        <w:rPr>
          <w:lang w:val="en-US"/>
        </w:rPr>
        <w:pict>
          <v:shape id="_x0000_s1542" type="#_x0000_t136" style="position:absolute;left:0;text-align:left;margin-left:213.7pt;margin-top:18.3pt;width:14.05pt;height:6.3pt;rotation:315;z-index:251667968;mso-position-horizontal-relative:page" fillcolor="black" stroked="f">
            <o:extrusion v:ext="view" autorotationcenter="t"/>
            <v:textpath style="font-family:&quot;&amp;quot&quot;;font-size:6pt;v-text-kern:t;mso-text-shadow:auto" string="1983"/>
            <w10:wrap anchorx="page"/>
          </v:shape>
        </w:pict>
      </w:r>
      <w:r w:rsidRPr="00CC7D10">
        <w:rPr>
          <w:lang w:val="en-US"/>
        </w:rPr>
        <w:pict>
          <v:shape id="_x0000_s1543" type="#_x0000_t136" style="position:absolute;left:0;text-align:left;margin-left:231.75pt;margin-top:18.35pt;width:14.05pt;height:6.3pt;rotation:315;z-index:251668992;mso-position-horizontal-relative:page" fillcolor="black" stroked="f">
            <o:extrusion v:ext="view" autorotationcenter="t"/>
            <v:textpath style="font-family:&quot;&amp;quot&quot;;font-size:6pt;v-text-kern:t;mso-text-shadow:auto" string="1984"/>
            <w10:wrap anchorx="page"/>
          </v:shape>
        </w:pict>
      </w:r>
      <w:r w:rsidRPr="00CC7D10">
        <w:rPr>
          <w:lang w:val="en-US"/>
        </w:rPr>
        <w:pict>
          <v:shape id="_x0000_s1544" type="#_x0000_t136" style="position:absolute;left:0;text-align:left;margin-left:249.75pt;margin-top:18.35pt;width:14.05pt;height:6.3pt;rotation:315;z-index:251670016;mso-position-horizontal-relative:page" fillcolor="black" stroked="f">
            <o:extrusion v:ext="view" autorotationcenter="t"/>
            <v:textpath style="font-family:&quot;&amp;quot&quot;;font-size:6pt;v-text-kern:t;mso-text-shadow:auto" string="1985"/>
            <w10:wrap anchorx="page"/>
          </v:shape>
        </w:pict>
      </w:r>
      <w:r w:rsidRPr="00CC7D10">
        <w:rPr>
          <w:lang w:val="en-US"/>
        </w:rPr>
        <w:pict>
          <v:shape id="_x0000_s1545" type="#_x0000_t136" style="position:absolute;left:0;text-align:left;margin-left:267.75pt;margin-top:18.35pt;width:14.05pt;height:6.3pt;rotation:315;z-index:251671040;mso-position-horizontal-relative:page" fillcolor="black" stroked="f">
            <o:extrusion v:ext="view" autorotationcenter="t"/>
            <v:textpath style="font-family:&quot;&amp;quot&quot;;font-size:6pt;v-text-kern:t;mso-text-shadow:auto" string="1986"/>
            <w10:wrap anchorx="page"/>
          </v:shape>
        </w:pict>
      </w:r>
      <w:r w:rsidRPr="00CC7D10">
        <w:rPr>
          <w:lang w:val="en-US"/>
        </w:rPr>
        <w:pict>
          <v:shape id="_x0000_s1546" type="#_x0000_t136" style="position:absolute;left:0;text-align:left;margin-left:285.85pt;margin-top:18.45pt;width:14.05pt;height:6.3pt;rotation:315;z-index:251672064;mso-position-horizontal-relative:page" fillcolor="black" stroked="f">
            <o:extrusion v:ext="view" autorotationcenter="t"/>
            <v:textpath style="font-family:&quot;&amp;quot&quot;;font-size:6pt;v-text-kern:t;mso-text-shadow:auto" string="1987"/>
            <w10:wrap anchorx="page"/>
          </v:shape>
        </w:pict>
      </w:r>
      <w:r w:rsidRPr="00CC7D10">
        <w:rPr>
          <w:lang w:val="en-US"/>
        </w:rPr>
        <w:pict>
          <v:shape id="_x0000_s1547" type="#_x0000_t136" style="position:absolute;left:0;text-align:left;margin-left:303.95pt;margin-top:18.3pt;width:14.05pt;height:6.3pt;rotation:315;z-index:251673088;mso-position-horizontal-relative:page" fillcolor="black" stroked="f">
            <o:extrusion v:ext="view" autorotationcenter="t"/>
            <v:textpath style="font-family:&quot;&amp;quot&quot;;font-size:6pt;v-text-kern:t;mso-text-shadow:auto" string="1988"/>
            <w10:wrap anchorx="page"/>
          </v:shape>
        </w:pict>
      </w:r>
      <w:r w:rsidRPr="00CC7D10">
        <w:rPr>
          <w:lang w:val="en-US"/>
        </w:rPr>
        <w:pict>
          <v:shape id="_x0000_s1548" type="#_x0000_t136" style="position:absolute;left:0;text-align:left;margin-left:322pt;margin-top:18.35pt;width:14.05pt;height:6.3pt;rotation:315;z-index:251674112;mso-position-horizontal-relative:page" fillcolor="black" stroked="f">
            <o:extrusion v:ext="view" autorotationcenter="t"/>
            <v:textpath style="font-family:&quot;&amp;quot&quot;;font-size:6pt;v-text-kern:t;mso-text-shadow:auto" string="1989"/>
            <w10:wrap anchorx="page"/>
          </v:shape>
        </w:pict>
      </w:r>
      <w:r w:rsidRPr="00CC7D10">
        <w:rPr>
          <w:lang w:val="en-US"/>
        </w:rPr>
        <w:pict>
          <v:shape id="_x0000_s1549" type="#_x0000_t136" style="position:absolute;left:0;text-align:left;margin-left:339.95pt;margin-top:18.3pt;width:14.05pt;height:6.3pt;rotation:315;z-index:251675136;mso-position-horizontal-relative:page" fillcolor="black" stroked="f">
            <o:extrusion v:ext="view" autorotationcenter="t"/>
            <v:textpath style="font-family:&quot;&amp;quot&quot;;font-size:6pt;v-text-kern:t;mso-text-shadow:auto" string="1990"/>
            <w10:wrap anchorx="page"/>
          </v:shape>
        </w:pict>
      </w:r>
      <w:r w:rsidRPr="00CC7D10">
        <w:rPr>
          <w:lang w:val="en-US"/>
        </w:rPr>
        <w:pict>
          <v:shape id="_x0000_s1550" type="#_x0000_t136" style="position:absolute;left:0;text-align:left;margin-left:358pt;margin-top:18.35pt;width:14.05pt;height:6.3pt;rotation:315;z-index:251676160;mso-position-horizontal-relative:page" fillcolor="black" stroked="f">
            <o:extrusion v:ext="view" autorotationcenter="t"/>
            <v:textpath style="font-family:&quot;&amp;quot&quot;;font-size:6pt;v-text-kern:t;mso-text-shadow:auto" string="1991"/>
            <w10:wrap anchorx="page"/>
          </v:shape>
        </w:pict>
      </w:r>
      <w:r w:rsidRPr="00CC7D10">
        <w:rPr>
          <w:lang w:val="en-US"/>
        </w:rPr>
        <w:pict>
          <v:shape id="_x0000_s1551" type="#_x0000_t136" style="position:absolute;left:0;text-align:left;margin-left:376pt;margin-top:18.35pt;width:14.05pt;height:6.3pt;rotation:315;z-index:251677184;mso-position-horizontal-relative:page" fillcolor="black" stroked="f">
            <o:extrusion v:ext="view" autorotationcenter="t"/>
            <v:textpath style="font-family:&quot;&amp;quot&quot;;font-size:6pt;v-text-kern:t;mso-text-shadow:auto" string="1992"/>
            <w10:wrap anchorx="page"/>
          </v:shape>
        </w:pict>
      </w:r>
      <w:r w:rsidRPr="00CC7D10">
        <w:rPr>
          <w:lang w:val="en-US"/>
        </w:rPr>
        <w:pict>
          <v:shape id="_x0000_s1552" type="#_x0000_t136" style="position:absolute;left:0;text-align:left;margin-left:394pt;margin-top:18.35pt;width:14.05pt;height:6.3pt;rotation:315;z-index:251678208;mso-position-horizontal-relative:page" fillcolor="black" stroked="f">
            <o:extrusion v:ext="view" autorotationcenter="t"/>
            <v:textpath style="font-family:&quot;&amp;quot&quot;;font-size:6pt;v-text-kern:t;mso-text-shadow:auto" string="1993"/>
            <w10:wrap anchorx="page"/>
          </v:shape>
        </w:pict>
      </w:r>
      <w:r w:rsidRPr="00CC7D10">
        <w:rPr>
          <w:lang w:val="en-US"/>
        </w:rPr>
        <w:pict>
          <v:shape id="_x0000_s1553" type="#_x0000_t136" style="position:absolute;left:0;text-align:left;margin-left:412pt;margin-top:18.35pt;width:14.05pt;height:6.3pt;rotation:315;z-index:251679232;mso-position-horizontal-relative:page" fillcolor="black" stroked="f">
            <o:extrusion v:ext="view" autorotationcenter="t"/>
            <v:textpath style="font-family:&quot;&amp;quot&quot;;font-size:6pt;v-text-kern:t;mso-text-shadow:auto" string="1994"/>
            <w10:wrap anchorx="page"/>
          </v:shape>
        </w:pict>
      </w:r>
      <w:r w:rsidRPr="00CC7D10">
        <w:rPr>
          <w:lang w:val="en-US"/>
        </w:rPr>
        <w:pict>
          <v:shape id="_x0000_s1554" type="#_x0000_t136" style="position:absolute;left:0;text-align:left;margin-left:430.2pt;margin-top:18.35pt;width:13.85pt;height:6.3pt;rotation:315;z-index:251680256;mso-position-horizontal-relative:page" fillcolor="black" stroked="f">
            <o:extrusion v:ext="view" autorotationcenter="t"/>
            <v:textpath style="font-family:&quot;&amp;quot&quot;;font-size:6pt;v-text-kern:t;mso-text-shadow:auto" string="1995"/>
            <w10:wrap anchorx="page"/>
          </v:shape>
        </w:pict>
      </w:r>
      <w:r w:rsidRPr="00CC7D10">
        <w:rPr>
          <w:lang w:val="en-US"/>
        </w:rPr>
        <w:pict>
          <v:shape id="_x0000_s1555" type="#_x0000_t136" style="position:absolute;left:0;text-align:left;margin-left:448pt;margin-top:18.35pt;width:14.05pt;height:6.3pt;rotation:315;z-index:251681280;mso-position-horizontal-relative:page" fillcolor="black" stroked="f">
            <o:extrusion v:ext="view" autorotationcenter="t"/>
            <v:textpath style="font-family:&quot;&amp;quot&quot;;font-size:6pt;v-text-kern:t;mso-text-shadow:auto" string="1997"/>
            <w10:wrap anchorx="page"/>
          </v:shape>
        </w:pict>
      </w:r>
      <w:r w:rsidRPr="00CC7D10">
        <w:rPr>
          <w:lang w:val="en-US"/>
        </w:rPr>
        <w:pict>
          <v:shape id="_x0000_s1556" type="#_x0000_t136" style="position:absolute;left:0;text-align:left;margin-left:466.2pt;margin-top:18.3pt;width:14.05pt;height:6.3pt;rotation:315;z-index:251682304;mso-position-horizontal-relative:page" fillcolor="black" stroked="f">
            <o:extrusion v:ext="view" autorotationcenter="t"/>
            <v:textpath style="font-family:&quot;&amp;quot&quot;;font-size:6pt;v-text-kern:t;mso-text-shadow:auto" string="1998"/>
            <w10:wrap anchorx="page"/>
          </v:shape>
        </w:pict>
      </w:r>
      <w:r w:rsidRPr="00CC7D10">
        <w:rPr>
          <w:lang w:val="en-US"/>
        </w:rPr>
        <w:pict>
          <v:shape id="_x0000_s1557" type="#_x0000_t136" style="position:absolute;left:0;text-align:left;margin-left:484.25pt;margin-top:18.35pt;width:14.05pt;height:6.3pt;rotation:315;z-index:251683328;mso-position-horizontal-relative:page" fillcolor="black" stroked="f">
            <o:extrusion v:ext="view" autorotationcenter="t"/>
            <v:textpath style="font-family:&quot;&amp;quot&quot;;font-size:6pt;v-text-kern:t;mso-text-shadow:auto" string="1999"/>
            <w10:wrap anchorx="page"/>
          </v:shape>
        </w:pict>
      </w:r>
      <w:r>
        <w:rPr>
          <w:rFonts w:ascii="Arial"/>
          <w:w w:val="104"/>
          <w:sz w:val="12"/>
        </w:rPr>
        <w:t>0</w:t>
      </w:r>
    </w:p>
    <w:p w:rsidR="00CC7D10" w:rsidRDefault="00CC7D10" w:rsidP="00CC7D10">
      <w:pPr>
        <w:rPr>
          <w:rFonts w:ascii="Arial" w:eastAsia="Arial" w:hAnsi="Arial" w:cs="Arial"/>
          <w:sz w:val="20"/>
          <w:szCs w:val="20"/>
        </w:rPr>
      </w:pPr>
    </w:p>
    <w:p w:rsidR="00CC7D10" w:rsidRDefault="00CC7D10" w:rsidP="00CC7D10">
      <w:pPr>
        <w:spacing w:before="7"/>
        <w:rPr>
          <w:rFonts w:ascii="Arial" w:eastAsia="Arial" w:hAnsi="Arial" w:cs="Arial"/>
          <w:sz w:val="16"/>
          <w:szCs w:val="16"/>
        </w:rPr>
      </w:pPr>
    </w:p>
    <w:p w:rsidR="00CC7D10" w:rsidRDefault="00CC7D10" w:rsidP="00CC7D10">
      <w:pPr>
        <w:spacing w:before="80"/>
        <w:ind w:left="1580"/>
        <w:rPr>
          <w:rFonts w:ascii="Arial" w:eastAsia="Arial" w:hAnsi="Arial" w:cs="Arial"/>
          <w:sz w:val="15"/>
          <w:szCs w:val="15"/>
        </w:rPr>
      </w:pPr>
      <w:r>
        <w:rPr>
          <w:rFonts w:ascii="Arial"/>
          <w:sz w:val="15"/>
        </w:rPr>
        <w:t>Fonte: levantamento realizado pela</w:t>
      </w:r>
      <w:r>
        <w:rPr>
          <w:rFonts w:ascii="Arial"/>
          <w:spacing w:val="-5"/>
          <w:sz w:val="15"/>
        </w:rPr>
        <w:t xml:space="preserve"> </w:t>
      </w:r>
      <w:r>
        <w:rPr>
          <w:rFonts w:ascii="Arial"/>
          <w:sz w:val="15"/>
        </w:rPr>
        <w:t>autora.</w:t>
      </w:r>
    </w:p>
    <w:p w:rsidR="00CC7D10" w:rsidRDefault="00CC7D10" w:rsidP="00CC7D10">
      <w:pPr>
        <w:rPr>
          <w:rFonts w:ascii="Arial" w:eastAsia="Arial" w:hAnsi="Arial" w:cs="Arial"/>
          <w:sz w:val="14"/>
          <w:szCs w:val="14"/>
        </w:rPr>
      </w:pPr>
    </w:p>
    <w:p w:rsidR="00CC7D10" w:rsidRDefault="00CC7D10" w:rsidP="00CC7D10">
      <w:pPr>
        <w:spacing w:before="3"/>
        <w:rPr>
          <w:rFonts w:ascii="Arial" w:eastAsia="Arial" w:hAnsi="Arial" w:cs="Arial"/>
          <w:sz w:val="14"/>
          <w:szCs w:val="14"/>
        </w:rPr>
      </w:pPr>
    </w:p>
    <w:p w:rsidR="00CC7D10" w:rsidRDefault="00CC7D10" w:rsidP="00CC7D10">
      <w:pPr>
        <w:pStyle w:val="Ttulo1"/>
        <w:rPr>
          <w:b w:val="0"/>
          <w:bCs w:val="0"/>
        </w:rPr>
      </w:pPr>
      <w:r>
        <w:t>Assunto de</w:t>
      </w:r>
      <w:r>
        <w:rPr>
          <w:spacing w:val="20"/>
        </w:rPr>
        <w:t xml:space="preserve"> </w:t>
      </w:r>
      <w:r>
        <w:t>mulher</w:t>
      </w:r>
    </w:p>
    <w:p w:rsidR="00CC7D10" w:rsidRDefault="00CC7D10" w:rsidP="00BC7986">
      <w:pPr>
        <w:pStyle w:val="Corpodetexto"/>
        <w:spacing w:before="129" w:line="364" w:lineRule="auto"/>
        <w:ind w:right="100"/>
        <w:jc w:val="both"/>
      </w:pPr>
      <w:r>
        <w:t xml:space="preserve">Mas qual era a pauta dessas publicações? Quais os temas mais recorrentes </w:t>
      </w:r>
      <w:r>
        <w:rPr>
          <w:spacing w:val="4"/>
        </w:rPr>
        <w:t xml:space="preserve">na </w:t>
      </w:r>
      <w:r>
        <w:t xml:space="preserve">imprensa feminista? </w:t>
      </w:r>
      <w:r>
        <w:rPr>
          <w:spacing w:val="2"/>
        </w:rPr>
        <w:t xml:space="preserve">Por </w:t>
      </w:r>
      <w:r>
        <w:t>meio de levantamento de semelhanças de conteúdos editoriais, foi possível dividir a imprensa feminista em oito grupos diferentes: noticioso (</w:t>
      </w:r>
      <w:r>
        <w:rPr>
          <w:i/>
        </w:rPr>
        <w:t xml:space="preserve">mix </w:t>
      </w:r>
      <w:r>
        <w:t xml:space="preserve">de assuntos, geralmente preocupados em dar um panorama nacional dos temas relacionados à mulher), estatal (jornais com apoio   </w:t>
      </w:r>
      <w:r>
        <w:rPr>
          <w:spacing w:val="9"/>
        </w:rPr>
        <w:t xml:space="preserve"> </w:t>
      </w:r>
      <w:r>
        <w:t xml:space="preserve">financeiro </w:t>
      </w:r>
      <w:r>
        <w:rPr>
          <w:spacing w:val="2"/>
        </w:rPr>
        <w:t xml:space="preserve">dos </w:t>
      </w:r>
      <w:r>
        <w:t>governos</w:t>
      </w:r>
      <w:r w:rsidR="00BC7986">
        <w:t xml:space="preserve"> </w:t>
      </w:r>
      <w:r>
        <w:t xml:space="preserve">estaduais, municipais ou federal e presença de lideranças dessas instâncias </w:t>
      </w:r>
      <w:r>
        <w:rPr>
          <w:spacing w:val="3"/>
        </w:rPr>
        <w:t xml:space="preserve">em </w:t>
      </w:r>
      <w:r>
        <w:t xml:space="preserve">suas pautas e coberturas jornalísticas), saúde (voltados para temas de saúde da mulher), universitário (periódicos noticiosos  voltados e feitos por integrantes da comunidade feminista acadêmica),  trabalho  (publicações  voltadas para as questões de trabalho e auto-sustentação da mulher), religioso (publicações  voltadas  para  mulheres, com apoio da Igreja Católica), legislativo (publicações dedicadas à cobertura e análise de formulações, discussões e notícias sobre os temas da mulher no Legislativo) e variados (incluindo educação, questão racial e sexualidade, no sentido comportamental). O grupo de periódicos noticiosos é mais numeroso, com 34 títulos. Depois vêm os estatais, com 10 títulos, seguidos dos  jornais  que  abordam a saúde da mulher (nove) e os universitários (oito). Os jornais dedicados aos temas trabalhistas somam cinco títulos; os legislativos, três; os religiosos, três, e os que compõem a categoria “vários”, um cada um. Ver gráfico </w:t>
      </w:r>
      <w:r>
        <w:rPr>
          <w:spacing w:val="4"/>
        </w:rPr>
        <w:t xml:space="preserve">4. </w:t>
      </w:r>
      <w:r>
        <w:rPr>
          <w:spacing w:val="-3"/>
        </w:rPr>
        <w:t xml:space="preserve">Nos </w:t>
      </w:r>
      <w:r>
        <w:t xml:space="preserve">próximos parágrafos, cada categoria é detalhada de forma resumida. Começaremos pelos noticiosos. Lembrando que os dados, de cada publicação, constam </w:t>
      </w:r>
      <w:r>
        <w:rPr>
          <w:spacing w:val="4"/>
        </w:rPr>
        <w:t xml:space="preserve">na </w:t>
      </w:r>
      <w:r>
        <w:t xml:space="preserve">tabela </w:t>
      </w:r>
      <w:r>
        <w:rPr>
          <w:spacing w:val="33"/>
        </w:rPr>
        <w:t xml:space="preserve"> </w:t>
      </w:r>
      <w:r>
        <w:rPr>
          <w:spacing w:val="4"/>
        </w:rPr>
        <w:t>2.</w:t>
      </w:r>
    </w:p>
    <w:p w:rsidR="00CC7D10" w:rsidRDefault="00CC7D10"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CC7D10" w:rsidRDefault="00CC7D10" w:rsidP="00CC7D10">
      <w:pPr>
        <w:spacing w:before="11"/>
        <w:rPr>
          <w:rFonts w:ascii="Times New Roman" w:eastAsia="Times New Roman" w:hAnsi="Times New Roman"/>
          <w:sz w:val="17"/>
          <w:szCs w:val="17"/>
        </w:rPr>
      </w:pPr>
    </w:p>
    <w:p w:rsidR="00CC7D10" w:rsidRDefault="00CC7D10" w:rsidP="00CC7D10">
      <w:pPr>
        <w:spacing w:before="80"/>
        <w:ind w:left="3092"/>
        <w:rPr>
          <w:rFonts w:ascii="Arial" w:eastAsia="Arial" w:hAnsi="Arial" w:cs="Arial"/>
          <w:sz w:val="15"/>
          <w:szCs w:val="15"/>
        </w:rPr>
      </w:pPr>
      <w:r>
        <w:rPr>
          <w:rFonts w:ascii="Arial" w:hAnsi="Arial"/>
          <w:b/>
          <w:sz w:val="15"/>
        </w:rPr>
        <w:t>Gráfico 4: Divisão dos periódicos por linhas</w:t>
      </w:r>
      <w:r>
        <w:rPr>
          <w:rFonts w:ascii="Arial" w:hAnsi="Arial"/>
          <w:b/>
          <w:spacing w:val="-22"/>
          <w:sz w:val="15"/>
        </w:rPr>
        <w:t xml:space="preserve"> </w:t>
      </w:r>
      <w:r>
        <w:rPr>
          <w:rFonts w:ascii="Arial" w:hAnsi="Arial"/>
          <w:b/>
          <w:sz w:val="15"/>
        </w:rPr>
        <w:t>editoriais</w:t>
      </w:r>
    </w:p>
    <w:p w:rsidR="00CC7D10" w:rsidRDefault="00CC7D10" w:rsidP="00CC7D10">
      <w:pPr>
        <w:spacing w:before="11"/>
        <w:rPr>
          <w:rFonts w:ascii="Arial" w:eastAsia="Arial" w:hAnsi="Arial" w:cs="Arial"/>
          <w:b/>
          <w:bCs/>
          <w:sz w:val="18"/>
          <w:szCs w:val="18"/>
        </w:rPr>
      </w:pPr>
    </w:p>
    <w:p w:rsidR="00CC7D10" w:rsidRDefault="00CC7D10" w:rsidP="00CC7D10">
      <w:pPr>
        <w:spacing w:before="89"/>
        <w:ind w:left="985"/>
        <w:rPr>
          <w:rFonts w:ascii="Arial" w:eastAsia="Arial" w:hAnsi="Arial" w:cs="Arial"/>
          <w:sz w:val="12"/>
          <w:szCs w:val="12"/>
        </w:rPr>
      </w:pPr>
      <w:r w:rsidRPr="00CC7D10">
        <w:rPr>
          <w:lang w:val="en-US"/>
        </w:rPr>
        <w:pict>
          <v:group id="_x0000_s1558" style="position:absolute;left:0;text-align:left;margin-left:86.75pt;margin-top:7.4pt;width:395pt;height:195.55pt;z-index:251684352;mso-position-horizontal-relative:page" coordorigin="1735,148" coordsize="7900,3911">
            <v:group id="_x0000_s1559" style="position:absolute;left:7037;top:3538;width:2592;height:2" coordorigin="7037,3538" coordsize="2592,2">
              <v:shape id="_x0000_s1560" style="position:absolute;left:7037;top:3538;width:2592;height:2" coordorigin="7037,3538" coordsize="2592,0" path="m7037,3538r2592,e" filled="f" strokeweight=".24pt">
                <v:path arrowok="t"/>
              </v:shape>
            </v:group>
            <v:group id="_x0000_s1561" style="position:absolute;left:5467;top:3538;width:1253;height:2" coordorigin="5467,3538" coordsize="1253,2">
              <v:shape id="_x0000_s1562" style="position:absolute;left:5467;top:3538;width:1253;height:2" coordorigin="5467,3538" coordsize="1253,0" path="m5467,3538r1253,e" filled="f" strokeweight=".24pt">
                <v:path arrowok="t"/>
              </v:shape>
            </v:group>
            <v:group id="_x0000_s1563" style="position:absolute;left:3898;top:3538;width:1253;height:2" coordorigin="3898,3538" coordsize="1253,2">
              <v:shape id="_x0000_s1564" style="position:absolute;left:3898;top:3538;width:1253;height:2" coordorigin="3898,3538" coordsize="1253,0" path="m3898,3538r1252,e" filled="f" strokeweight=".24pt">
                <v:path arrowok="t"/>
              </v:shape>
            </v:group>
            <v:group id="_x0000_s1565" style="position:absolute;left:2323;top:3538;width:1258;height:2" coordorigin="2323,3538" coordsize="1258,2">
              <v:shape id="_x0000_s1566" style="position:absolute;left:2323;top:3538;width:1258;height:2" coordorigin="2323,3538" coordsize="1258,0" path="m2323,3538r1258,e" filled="f" strokeweight=".24pt">
                <v:path arrowok="t"/>
              </v:shape>
            </v:group>
            <v:group id="_x0000_s1567" style="position:absolute;left:1776;top:3538;width:231;height:2" coordorigin="1776,3538" coordsize="231,2">
              <v:shape id="_x0000_s1568" style="position:absolute;left:1776;top:3538;width:231;height:2" coordorigin="1776,3538" coordsize="231,0" path="m1776,3538r230,e" filled="f" strokeweight=".24pt">
                <v:path arrowok="t"/>
              </v:shape>
            </v:group>
            <v:group id="_x0000_s1569" style="position:absolute;left:3898;top:3053;width:5732;height:2" coordorigin="3898,3053" coordsize="5732,2">
              <v:shape id="_x0000_s1570" style="position:absolute;left:3898;top:3053;width:5732;height:2" coordorigin="3898,3053" coordsize="5732,0" path="m3898,3053r5731,e" filled="f" strokeweight=".24pt">
                <v:path arrowok="t"/>
              </v:shape>
            </v:group>
            <v:group id="_x0000_s1571" style="position:absolute;left:1776;top:3053;width:1805;height:2" coordorigin="1776,3053" coordsize="1805,2">
              <v:shape id="_x0000_s1572" style="position:absolute;left:1776;top:3053;width:1805;height:2" coordorigin="1776,3053" coordsize="1805,0" path="m1776,3053r1805,e" filled="f" strokeweight=".24pt">
                <v:path arrowok="t"/>
              </v:shape>
            </v:group>
            <v:group id="_x0000_s1573" style="position:absolute;left:3898;top:2568;width:5732;height:2" coordorigin="3898,2568" coordsize="5732,2">
              <v:shape id="_x0000_s1574" style="position:absolute;left:3898;top:2568;width:5732;height:2" coordorigin="3898,2568" coordsize="5732,0" path="m3898,2568r5731,e" filled="f" strokeweight=".24pt">
                <v:path arrowok="t"/>
              </v:shape>
            </v:group>
            <v:group id="_x0000_s1575" style="position:absolute;left:1776;top:2568;width:1805;height:2" coordorigin="1776,2568" coordsize="1805,2">
              <v:shape id="_x0000_s1576" style="position:absolute;left:1776;top:2568;width:1805;height:2" coordorigin="1776,2568" coordsize="1805,0" path="m1776,2568r1805,e" filled="f" strokeweight=".24pt">
                <v:path arrowok="t"/>
              </v:shape>
            </v:group>
            <v:group id="_x0000_s1577" style="position:absolute;left:3898;top:2088;width:5732;height:2" coordorigin="3898,2088" coordsize="5732,2">
              <v:shape id="_x0000_s1578" style="position:absolute;left:3898;top:2088;width:5732;height:2" coordorigin="3898,2088" coordsize="5732,0" path="m3898,2088r5731,e" filled="f" strokeweight=".24pt">
                <v:path arrowok="t"/>
              </v:shape>
            </v:group>
            <v:group id="_x0000_s1579" style="position:absolute;left:1776;top:2088;width:1805;height:2" coordorigin="1776,2088" coordsize="1805,2">
              <v:shape id="_x0000_s1580" style="position:absolute;left:1776;top:2088;width:1805;height:2" coordorigin="1776,2088" coordsize="1805,0" path="m1776,2088r1805,e" filled="f" strokeweight=".24pt">
                <v:path arrowok="t"/>
              </v:shape>
            </v:group>
            <v:group id="_x0000_s1581" style="position:absolute;left:3898;top:1603;width:5732;height:2" coordorigin="3898,1603" coordsize="5732,2">
              <v:shape id="_x0000_s1582" style="position:absolute;left:3898;top:1603;width:5732;height:2" coordorigin="3898,1603" coordsize="5732,0" path="m3898,1603r5731,e" filled="f" strokeweight=".24pt">
                <v:path arrowok="t"/>
              </v:shape>
            </v:group>
            <v:group id="_x0000_s1583" style="position:absolute;left:1776;top:1603;width:1805;height:2" coordorigin="1776,1603" coordsize="1805,2">
              <v:shape id="_x0000_s1584" style="position:absolute;left:1776;top:1603;width:1805;height:2" coordorigin="1776,1603" coordsize="1805,0" path="m1776,1603r1805,e" filled="f" strokeweight=".24pt">
                <v:path arrowok="t"/>
              </v:shape>
            </v:group>
            <v:group id="_x0000_s1585" style="position:absolute;left:3898;top:1118;width:5732;height:2" coordorigin="3898,1118" coordsize="5732,2">
              <v:shape id="_x0000_s1586" style="position:absolute;left:3898;top:1118;width:5732;height:2" coordorigin="3898,1118" coordsize="5732,0" path="m3898,1118r5731,e" filled="f" strokeweight=".24pt">
                <v:path arrowok="t"/>
              </v:shape>
            </v:group>
            <v:group id="_x0000_s1587" style="position:absolute;left:1776;top:1118;width:1805;height:2" coordorigin="1776,1118" coordsize="1805,2">
              <v:shape id="_x0000_s1588" style="position:absolute;left:1776;top:1118;width:1805;height:2" coordorigin="1776,1118" coordsize="1805,0" path="m1776,1118r1805,e" filled="f" strokeweight=".24pt">
                <v:path arrowok="t"/>
              </v:shape>
            </v:group>
            <v:group id="_x0000_s1589" style="position:absolute;left:1776;top:634;width:7853;height:2" coordorigin="1776,634" coordsize="7853,2">
              <v:shape id="_x0000_s1590" style="position:absolute;left:1776;top:634;width:7853;height:2" coordorigin="1776,634" coordsize="7853,0" path="m1776,634r7853,e" filled="f" strokeweight=".24pt">
                <v:path arrowok="t"/>
              </v:shape>
            </v:group>
            <v:group id="_x0000_s1591" style="position:absolute;left:1776;top:154;width:7853;height:2" coordorigin="1776,154" coordsize="7853,2">
              <v:shape id="_x0000_s1592" style="position:absolute;left:1776;top:154;width:7853;height:2" coordorigin="1776,154" coordsize="7853,0" path="m1776,154r7853,e" filled="f" strokeweight=".24pt">
                <v:path arrowok="t"/>
              </v:shape>
            </v:group>
            <v:group id="_x0000_s1593" style="position:absolute;left:1776;top:154;width:7853;height:3864" coordorigin="1776,154" coordsize="7853,3864">
              <v:shape id="_x0000_s1594" style="position:absolute;left:1776;top:154;width:7853;height:3864" coordorigin="1776,154" coordsize="7853,3864" path="m1776,154r7853,l9629,4018r-7853,l1776,154e" filled="f" strokecolor="#7f7f7f" strokeweight=".21031mm">
                <v:path arrowok="t"/>
              </v:shape>
            </v:group>
            <v:group id="_x0000_s1595" style="position:absolute;left:2006;top:3053;width:317;height:965" coordorigin="2006,3053" coordsize="317,965">
              <v:shape id="_x0000_s1596" style="position:absolute;left:2006;top:3053;width:317;height:965" coordorigin="2006,3053" coordsize="317,965" path="m2006,4018r317,l2323,3053r-317,l2006,4018xe" fillcolor="#99f" stroked="f">
                <v:path arrowok="t"/>
              </v:shape>
            </v:group>
            <v:group id="_x0000_s1597" style="position:absolute;left:2006;top:3053;width:317;height:965" coordorigin="2006,3053" coordsize="317,965">
              <v:shape id="_x0000_s1598" style="position:absolute;left:2006;top:3053;width:317;height:965" coordorigin="2006,3053" coordsize="317,965" path="m2006,4018r317,l2323,3053r-317,l2006,4018xe" filled="f" strokeweight=".21031mm">
                <v:path arrowok="t"/>
              </v:shape>
            </v:group>
            <v:group id="_x0000_s1599" style="position:absolute;left:2794;top:3725;width:317;height:293" coordorigin="2794,3725" coordsize="317,293">
              <v:shape id="_x0000_s1600" style="position:absolute;left:2794;top:3725;width:317;height:293" coordorigin="2794,3725" coordsize="317,293" path="m2794,4018r316,l3110,3725r-316,l2794,4018xe" fillcolor="#99f" stroked="f">
                <v:path arrowok="t"/>
              </v:shape>
            </v:group>
            <v:group id="_x0000_s1601" style="position:absolute;left:2794;top:3725;width:317;height:293" coordorigin="2794,3725" coordsize="317,293">
              <v:shape id="_x0000_s1602" style="position:absolute;left:2794;top:3725;width:317;height:293" coordorigin="2794,3725" coordsize="317,293" path="m2794,4018r316,l3110,3725r-316,l2794,4018xe" filled="f" strokeweight=".21031mm">
                <v:path arrowok="t"/>
              </v:shape>
            </v:group>
            <v:group id="_x0000_s1603" style="position:absolute;left:3581;top:734;width:317;height:3284" coordorigin="3581,734" coordsize="317,3284">
              <v:shape id="_x0000_s1604" style="position:absolute;left:3581;top:734;width:317;height:3284" coordorigin="3581,734" coordsize="317,3284" path="m3581,4018r317,l3898,734r-317,l3581,4018xe" fillcolor="#99f" stroked="f">
                <v:path arrowok="t"/>
              </v:shape>
            </v:group>
            <v:group id="_x0000_s1605" style="position:absolute;left:3581;top:734;width:317;height:3284" coordorigin="3581,734" coordsize="317,3284">
              <v:shape id="_x0000_s1606" style="position:absolute;left:3581;top:734;width:317;height:3284" coordorigin="3581,734" coordsize="317,3284" path="m3581,4018r317,l3898,734r-317,l3581,4018xe" filled="f" strokeweight=".21031mm">
                <v:path arrowok="t"/>
              </v:shape>
            </v:group>
            <v:group id="_x0000_s1607" style="position:absolute;left:4368;top:3725;width:317;height:293" coordorigin="4368,3725" coordsize="317,293">
              <v:shape id="_x0000_s1608" style="position:absolute;left:4368;top:3725;width:317;height:293" coordorigin="4368,3725" coordsize="317,293" path="m4368,4018r317,l4685,3725r-317,l4368,4018xe" fillcolor="#99f" stroked="f">
                <v:path arrowok="t"/>
              </v:shape>
            </v:group>
            <v:group id="_x0000_s1609" style="position:absolute;left:4368;top:3725;width:317;height:293" coordorigin="4368,3725" coordsize="317,293">
              <v:shape id="_x0000_s1610" style="position:absolute;left:4368;top:3725;width:317;height:293" coordorigin="4368,3725" coordsize="317,293" path="m4368,4018r317,l4685,3725r-317,l4368,4018xe" filled="f" strokeweight=".21031mm">
                <v:path arrowok="t"/>
              </v:shape>
            </v:group>
            <v:group id="_x0000_s1611" style="position:absolute;left:5150;top:3149;width:317;height:869" coordorigin="5150,3149" coordsize="317,869">
              <v:shape id="_x0000_s1612" style="position:absolute;left:5150;top:3149;width:317;height:869" coordorigin="5150,3149" coordsize="317,869" path="m5150,4018r317,l5467,3149r-317,l5150,4018xe" fillcolor="#99f" stroked="f">
                <v:path arrowok="t"/>
              </v:shape>
            </v:group>
            <v:group id="_x0000_s1613" style="position:absolute;left:5150;top:3149;width:317;height:869" coordorigin="5150,3149" coordsize="317,869">
              <v:shape id="_x0000_s1614" style="position:absolute;left:5150;top:3149;width:317;height:869" coordorigin="5150,3149" coordsize="317,869" path="m5150,4018r317,l5467,3149r-317,l5150,4018xe" filled="f" strokeweight=".21031mm">
                <v:path arrowok="t"/>
              </v:shape>
            </v:group>
            <v:group id="_x0000_s1615" style="position:absolute;left:5938;top:3538;width:312;height:480" coordorigin="5938,3538" coordsize="312,480">
              <v:shape id="_x0000_s1616" style="position:absolute;left:5938;top:3538;width:312;height:480" coordorigin="5938,3538" coordsize="312,480" path="m5938,4018r312,l6250,3538r-312,l5938,4018xe" fillcolor="#99f" stroked="f">
                <v:path arrowok="t"/>
              </v:shape>
            </v:group>
            <v:group id="_x0000_s1617" style="position:absolute;left:5938;top:3538;width:312;height:480" coordorigin="5938,3538" coordsize="312,480">
              <v:shape id="_x0000_s1618" style="position:absolute;left:5938;top:3538;width:312;height:480" coordorigin="5938,3538" coordsize="312,480" path="m5938,4018r312,l6250,3538r-312,l5938,4018xe" filled="f" strokeweight=".21031mm">
                <v:path arrowok="t"/>
              </v:shape>
            </v:group>
            <v:group id="_x0000_s1619" style="position:absolute;left:6720;top:3245;width:317;height:773" coordorigin="6720,3245" coordsize="317,773">
              <v:shape id="_x0000_s1620" style="position:absolute;left:6720;top:3245;width:317;height:773" coordorigin="6720,3245" coordsize="317,773" path="m6720,4018r317,l7037,3245r-317,l6720,4018xe" fillcolor="#99f" stroked="f">
                <v:path arrowok="t"/>
              </v:shape>
            </v:group>
            <v:group id="_x0000_s1621" style="position:absolute;left:6720;top:3245;width:317;height:773" coordorigin="6720,3245" coordsize="317,773">
              <v:shape id="_x0000_s1622" style="position:absolute;left:6720;top:3245;width:317;height:773" coordorigin="6720,3245" coordsize="317,773" path="m6720,4018r317,l7037,3245r-317,l6720,4018xe" filled="f" strokeweight=".21031mm">
                <v:path arrowok="t"/>
              </v:shape>
            </v:group>
            <v:group id="_x0000_s1623" style="position:absolute;left:7507;top:3922;width:317;height:96" coordorigin="7507,3922" coordsize="317,96">
              <v:shape id="_x0000_s1624" style="position:absolute;left:7507;top:3922;width:317;height:96" coordorigin="7507,3922" coordsize="317,96" path="m7507,4018r317,l7824,3922r-317,l7507,4018xe" fillcolor="#99f" stroked="f">
                <v:path arrowok="t"/>
              </v:shape>
            </v:group>
            <v:group id="_x0000_s1625" style="position:absolute;left:7507;top:3922;width:317;height:96" coordorigin="7507,3922" coordsize="317,96">
              <v:shape id="_x0000_s1626" style="position:absolute;left:7507;top:3922;width:317;height:96" coordorigin="7507,3922" coordsize="317,96" path="m7507,4018r317,l7824,3922r-317,l7507,4018xe" filled="f" strokeweight=".21031mm">
                <v:path arrowok="t"/>
              </v:shape>
            </v:group>
            <v:group id="_x0000_s1627" style="position:absolute;left:8294;top:3922;width:317;height:96" coordorigin="8294,3922" coordsize="317,96">
              <v:shape id="_x0000_s1628" style="position:absolute;left:8294;top:3922;width:317;height:96" coordorigin="8294,3922" coordsize="317,96" path="m8294,4018r317,l8611,3922r-317,l8294,4018xe" fillcolor="#99f" stroked="f">
                <v:path arrowok="t"/>
              </v:shape>
            </v:group>
            <v:group id="_x0000_s1629" style="position:absolute;left:8294;top:3922;width:317;height:96" coordorigin="8294,3922" coordsize="317,96">
              <v:shape id="_x0000_s1630" style="position:absolute;left:8294;top:3922;width:317;height:96" coordorigin="8294,3922" coordsize="317,96" path="m8294,4018r317,l8611,3922r-317,l8294,4018xe" filled="f" strokeweight=".21031mm">
                <v:path arrowok="t"/>
              </v:shape>
            </v:group>
            <v:group id="_x0000_s1631" style="position:absolute;left:9077;top:3922;width:317;height:96" coordorigin="9077,3922" coordsize="317,96">
              <v:shape id="_x0000_s1632" style="position:absolute;left:9077;top:3922;width:317;height:96" coordorigin="9077,3922" coordsize="317,96" path="m9077,4018r317,l9394,3922r-317,l9077,4018xe" fillcolor="#99f" stroked="f">
                <v:path arrowok="t"/>
              </v:shape>
            </v:group>
            <v:group id="_x0000_s1633" style="position:absolute;left:9077;top:3922;width:317;height:96" coordorigin="9077,3922" coordsize="317,96">
              <v:shape id="_x0000_s1634" style="position:absolute;left:9077;top:3922;width:317;height:96" coordorigin="9077,3922" coordsize="317,96" path="m9077,4018r317,l9394,3922r-317,l9077,4018xe" filled="f" strokeweight=".21031mm">
                <v:path arrowok="t"/>
              </v:shape>
            </v:group>
            <v:group id="_x0000_s1635" style="position:absolute;left:1776;top:154;width:2;height:3864" coordorigin="1776,154" coordsize="2,3864">
              <v:shape id="_x0000_s1636" style="position:absolute;left:1776;top:154;width:2;height:3864" coordorigin="1776,154" coordsize="0,3864" path="m1776,154r,3864e" filled="f" strokeweight=".24pt">
                <v:path arrowok="t"/>
              </v:shape>
            </v:group>
            <v:group id="_x0000_s1637" style="position:absolute;left:1738;top:4018;width:39;height:2" coordorigin="1738,4018" coordsize="39,2">
              <v:shape id="_x0000_s1638" style="position:absolute;left:1738;top:4018;width:39;height:2" coordorigin="1738,4018" coordsize="39,0" path="m1738,4018r38,e" filled="f" strokeweight=".24pt">
                <v:path arrowok="t"/>
              </v:shape>
            </v:group>
            <v:group id="_x0000_s1639" style="position:absolute;left:1738;top:3538;width:39;height:2" coordorigin="1738,3538" coordsize="39,2">
              <v:shape id="_x0000_s1640" style="position:absolute;left:1738;top:3538;width:39;height:2" coordorigin="1738,3538" coordsize="39,0" path="m1738,3538r38,e" filled="f" strokeweight=".24pt">
                <v:path arrowok="t"/>
              </v:shape>
            </v:group>
            <v:group id="_x0000_s1641" style="position:absolute;left:1738;top:3053;width:39;height:2" coordorigin="1738,3053" coordsize="39,2">
              <v:shape id="_x0000_s1642" style="position:absolute;left:1738;top:3053;width:39;height:2" coordorigin="1738,3053" coordsize="39,0" path="m1738,3053r38,e" filled="f" strokeweight=".24pt">
                <v:path arrowok="t"/>
              </v:shape>
            </v:group>
            <v:group id="_x0000_s1643" style="position:absolute;left:1738;top:2568;width:39;height:2" coordorigin="1738,2568" coordsize="39,2">
              <v:shape id="_x0000_s1644" style="position:absolute;left:1738;top:2568;width:39;height:2" coordorigin="1738,2568" coordsize="39,0" path="m1738,2568r38,e" filled="f" strokeweight=".24pt">
                <v:path arrowok="t"/>
              </v:shape>
            </v:group>
            <v:group id="_x0000_s1645" style="position:absolute;left:1738;top:2088;width:39;height:2" coordorigin="1738,2088" coordsize="39,2">
              <v:shape id="_x0000_s1646" style="position:absolute;left:1738;top:2088;width:39;height:2" coordorigin="1738,2088" coordsize="39,0" path="m1738,2088r38,e" filled="f" strokeweight=".24pt">
                <v:path arrowok="t"/>
              </v:shape>
            </v:group>
            <v:group id="_x0000_s1647" style="position:absolute;left:1738;top:1603;width:39;height:2" coordorigin="1738,1603" coordsize="39,2">
              <v:shape id="_x0000_s1648" style="position:absolute;left:1738;top:1603;width:39;height:2" coordorigin="1738,1603" coordsize="39,0" path="m1738,1603r38,e" filled="f" strokeweight=".24pt">
                <v:path arrowok="t"/>
              </v:shape>
            </v:group>
            <v:group id="_x0000_s1649" style="position:absolute;left:1738;top:1118;width:39;height:2" coordorigin="1738,1118" coordsize="39,2">
              <v:shape id="_x0000_s1650" style="position:absolute;left:1738;top:1118;width:39;height:2" coordorigin="1738,1118" coordsize="39,0" path="m1738,1118r38,e" filled="f" strokeweight=".24pt">
                <v:path arrowok="t"/>
              </v:shape>
            </v:group>
            <v:group id="_x0000_s1651" style="position:absolute;left:1738;top:634;width:39;height:2" coordorigin="1738,634" coordsize="39,2">
              <v:shape id="_x0000_s1652" style="position:absolute;left:1738;top:634;width:39;height:2" coordorigin="1738,634" coordsize="39,0" path="m1738,634r38,e" filled="f" strokeweight=".24pt">
                <v:path arrowok="t"/>
              </v:shape>
            </v:group>
            <v:group id="_x0000_s1653" style="position:absolute;left:1738;top:154;width:39;height:2" coordorigin="1738,154" coordsize="39,2">
              <v:shape id="_x0000_s1654" style="position:absolute;left:1738;top:154;width:39;height:2" coordorigin="1738,154" coordsize="39,0" path="m1738,154r38,e" filled="f" strokeweight=".24pt">
                <v:path arrowok="t"/>
              </v:shape>
            </v:group>
            <v:group id="_x0000_s1655" style="position:absolute;left:1776;top:4018;width:7853;height:2" coordorigin="1776,4018" coordsize="7853,2">
              <v:shape id="_x0000_s1656" style="position:absolute;left:1776;top:4018;width:7853;height:2" coordorigin="1776,4018" coordsize="7853,0" path="m1776,4018r7853,e" filled="f" strokeweight=".24pt">
                <v:path arrowok="t"/>
              </v:shape>
            </v:group>
            <v:group id="_x0000_s1657" style="position:absolute;left:1776;top:4018;width:2;height:39" coordorigin="1776,4018" coordsize="2,39">
              <v:shape id="_x0000_s1658" style="position:absolute;left:1776;top:4018;width:2;height:39" coordorigin="1776,4018" coordsize="0,39" path="m1776,4056r,-38e" filled="f" strokeweight=".24pt">
                <v:path arrowok="t"/>
              </v:shape>
            </v:group>
            <v:group id="_x0000_s1659" style="position:absolute;left:2563;top:4018;width:2;height:39" coordorigin="2563,4018" coordsize="2,39">
              <v:shape id="_x0000_s1660" style="position:absolute;left:2563;top:4018;width:2;height:39" coordorigin="2563,4018" coordsize="0,39" path="m2563,4056r,-38e" filled="f" strokeweight=".24pt">
                <v:path arrowok="t"/>
              </v:shape>
            </v:group>
            <v:group id="_x0000_s1661" style="position:absolute;left:3346;top:4018;width:2;height:39" coordorigin="3346,4018" coordsize="2,39">
              <v:shape id="_x0000_s1662" style="position:absolute;left:3346;top:4018;width:2;height:39" coordorigin="3346,4018" coordsize="0,39" path="m3346,4056r,-38e" filled="f" strokeweight=".24pt">
                <v:path arrowok="t"/>
              </v:shape>
            </v:group>
            <v:group id="_x0000_s1663" style="position:absolute;left:4133;top:4018;width:2;height:39" coordorigin="4133,4018" coordsize="2,39">
              <v:shape id="_x0000_s1664" style="position:absolute;left:4133;top:4018;width:2;height:39" coordorigin="4133,4018" coordsize="0,39" path="m4133,4056r,-38e" filled="f" strokeweight=".24pt">
                <v:path arrowok="t"/>
              </v:shape>
            </v:group>
            <v:group id="_x0000_s1665" style="position:absolute;left:4920;top:4018;width:2;height:39" coordorigin="4920,4018" coordsize="2,39">
              <v:shape id="_x0000_s1666" style="position:absolute;left:4920;top:4018;width:2;height:39" coordorigin="4920,4018" coordsize="0,39" path="m4920,4056r,-38e" filled="f" strokeweight=".24pt">
                <v:path arrowok="t"/>
              </v:shape>
            </v:group>
            <v:group id="_x0000_s1667" style="position:absolute;left:5702;top:4018;width:2;height:39" coordorigin="5702,4018" coordsize="2,39">
              <v:shape id="_x0000_s1668" style="position:absolute;left:5702;top:4018;width:2;height:39" coordorigin="5702,4018" coordsize="0,39" path="m5702,4056r,-38e" filled="f" strokeweight=".24pt">
                <v:path arrowok="t"/>
              </v:shape>
            </v:group>
            <v:group id="_x0000_s1669" style="position:absolute;left:6490;top:4018;width:2;height:39" coordorigin="6490,4018" coordsize="2,39">
              <v:shape id="_x0000_s1670" style="position:absolute;left:6490;top:4018;width:2;height:39" coordorigin="6490,4018" coordsize="0,39" path="m6490,4056r,-38e" filled="f" strokeweight=".24pt">
                <v:path arrowok="t"/>
              </v:shape>
            </v:group>
            <v:group id="_x0000_s1671" style="position:absolute;left:7272;top:4018;width:2;height:39" coordorigin="7272,4018" coordsize="2,39">
              <v:shape id="_x0000_s1672" style="position:absolute;left:7272;top:4018;width:2;height:39" coordorigin="7272,4018" coordsize="0,39" path="m7272,4056r,-38e" filled="f" strokeweight=".24pt">
                <v:path arrowok="t"/>
              </v:shape>
            </v:group>
            <v:group id="_x0000_s1673" style="position:absolute;left:8059;top:4018;width:2;height:39" coordorigin="8059,4018" coordsize="2,39">
              <v:shape id="_x0000_s1674" style="position:absolute;left:8059;top:4018;width:2;height:39" coordorigin="8059,4018" coordsize="0,39" path="m8059,4056r,-38e" filled="f" strokeweight=".24pt">
                <v:path arrowok="t"/>
              </v:shape>
            </v:group>
            <v:group id="_x0000_s1675" style="position:absolute;left:8846;top:4018;width:2;height:39" coordorigin="8846,4018" coordsize="2,39">
              <v:shape id="_x0000_s1676" style="position:absolute;left:8846;top:4018;width:2;height:39" coordorigin="8846,4018" coordsize="0,39" path="m8846,4056r,-38e" filled="f" strokeweight=".24pt">
                <v:path arrowok="t"/>
              </v:shape>
            </v:group>
            <v:group id="_x0000_s1677" style="position:absolute;left:9629;top:4018;width:2;height:39" coordorigin="9629,4018" coordsize="2,39">
              <v:shape id="_x0000_s1678" style="position:absolute;left:9629;top:4018;width:2;height:39" coordorigin="9629,4018" coordsize="0,39" path="m9629,4056r,-38e" filled="f" strokeweight=".24pt">
                <v:path arrowok="t"/>
              </v:shape>
            </v:group>
            <w10:wrap anchorx="page"/>
          </v:group>
        </w:pict>
      </w:r>
      <w:r>
        <w:rPr>
          <w:rFonts w:ascii="Arial"/>
          <w:w w:val="105"/>
          <w:sz w:val="12"/>
        </w:rPr>
        <w:t>40</w:t>
      </w:r>
    </w:p>
    <w:p w:rsidR="00CC7D10" w:rsidRDefault="00CC7D10" w:rsidP="00CC7D10">
      <w:pPr>
        <w:spacing w:before="11"/>
        <w:rPr>
          <w:rFonts w:ascii="Arial" w:eastAsia="Arial" w:hAnsi="Arial" w:cs="Arial"/>
          <w:sz w:val="21"/>
          <w:szCs w:val="21"/>
        </w:rPr>
      </w:pPr>
    </w:p>
    <w:p w:rsidR="00CC7D10" w:rsidRDefault="00CC7D10" w:rsidP="00CC7D10">
      <w:pPr>
        <w:spacing w:before="89"/>
        <w:ind w:left="985"/>
        <w:rPr>
          <w:rFonts w:ascii="Arial" w:eastAsia="Arial" w:hAnsi="Arial" w:cs="Arial"/>
          <w:sz w:val="12"/>
          <w:szCs w:val="12"/>
        </w:rPr>
      </w:pPr>
      <w:r>
        <w:rPr>
          <w:rFonts w:ascii="Arial"/>
          <w:w w:val="105"/>
          <w:sz w:val="12"/>
        </w:rPr>
        <w:t>35</w:t>
      </w:r>
    </w:p>
    <w:p w:rsidR="00CC7D10" w:rsidRDefault="00CC7D10" w:rsidP="00CC7D10">
      <w:pPr>
        <w:spacing w:before="5"/>
        <w:rPr>
          <w:rFonts w:ascii="Arial" w:eastAsia="Arial" w:hAnsi="Arial" w:cs="Arial"/>
        </w:rPr>
      </w:pPr>
    </w:p>
    <w:p w:rsidR="00CC7D10" w:rsidRDefault="00CC7D10" w:rsidP="00CC7D10">
      <w:pPr>
        <w:spacing w:before="89"/>
        <w:ind w:left="985"/>
        <w:rPr>
          <w:rFonts w:ascii="Arial" w:eastAsia="Arial" w:hAnsi="Arial" w:cs="Arial"/>
          <w:sz w:val="12"/>
          <w:szCs w:val="12"/>
        </w:rPr>
      </w:pPr>
      <w:r>
        <w:rPr>
          <w:rFonts w:ascii="Arial"/>
          <w:w w:val="105"/>
          <w:sz w:val="12"/>
        </w:rPr>
        <w:t>30</w:t>
      </w:r>
    </w:p>
    <w:p w:rsidR="00CC7D10" w:rsidRDefault="00CC7D10" w:rsidP="00CC7D10">
      <w:pPr>
        <w:spacing w:before="5"/>
        <w:rPr>
          <w:rFonts w:ascii="Arial" w:eastAsia="Arial" w:hAnsi="Arial" w:cs="Arial"/>
        </w:rPr>
      </w:pPr>
    </w:p>
    <w:p w:rsidR="00CC7D10" w:rsidRDefault="00CC7D10" w:rsidP="00CC7D10">
      <w:pPr>
        <w:spacing w:before="89"/>
        <w:ind w:left="985"/>
        <w:rPr>
          <w:rFonts w:ascii="Arial" w:eastAsia="Arial" w:hAnsi="Arial" w:cs="Arial"/>
          <w:sz w:val="12"/>
          <w:szCs w:val="12"/>
        </w:rPr>
      </w:pPr>
      <w:r>
        <w:rPr>
          <w:rFonts w:ascii="Arial"/>
          <w:w w:val="105"/>
          <w:sz w:val="12"/>
        </w:rPr>
        <w:t>25</w:t>
      </w:r>
    </w:p>
    <w:p w:rsidR="00CC7D10" w:rsidRDefault="00CC7D10" w:rsidP="00CC7D10">
      <w:pPr>
        <w:spacing w:before="5"/>
        <w:rPr>
          <w:rFonts w:ascii="Arial" w:eastAsia="Arial" w:hAnsi="Arial" w:cs="Arial"/>
        </w:rPr>
      </w:pPr>
    </w:p>
    <w:p w:rsidR="00CC7D10" w:rsidRDefault="00CC7D10" w:rsidP="00CC7D10">
      <w:pPr>
        <w:spacing w:before="89"/>
        <w:ind w:left="985"/>
        <w:rPr>
          <w:rFonts w:ascii="Arial" w:eastAsia="Arial" w:hAnsi="Arial" w:cs="Arial"/>
          <w:sz w:val="12"/>
          <w:szCs w:val="12"/>
        </w:rPr>
      </w:pPr>
      <w:r>
        <w:rPr>
          <w:rFonts w:ascii="Arial"/>
          <w:w w:val="105"/>
          <w:sz w:val="12"/>
        </w:rPr>
        <w:t>20</w:t>
      </w:r>
    </w:p>
    <w:p w:rsidR="00CC7D10" w:rsidRDefault="00CC7D10" w:rsidP="00CC7D10">
      <w:pPr>
        <w:spacing w:before="11"/>
        <w:rPr>
          <w:rFonts w:ascii="Arial" w:eastAsia="Arial" w:hAnsi="Arial" w:cs="Arial"/>
          <w:sz w:val="21"/>
          <w:szCs w:val="21"/>
        </w:rPr>
      </w:pPr>
    </w:p>
    <w:p w:rsidR="00CC7D10" w:rsidRDefault="00CC7D10" w:rsidP="00CC7D10">
      <w:pPr>
        <w:spacing w:before="89"/>
        <w:ind w:left="985"/>
        <w:rPr>
          <w:rFonts w:ascii="Arial" w:eastAsia="Arial" w:hAnsi="Arial" w:cs="Arial"/>
          <w:sz w:val="12"/>
          <w:szCs w:val="12"/>
        </w:rPr>
      </w:pPr>
      <w:r>
        <w:rPr>
          <w:rFonts w:ascii="Arial"/>
          <w:w w:val="105"/>
          <w:sz w:val="12"/>
        </w:rPr>
        <w:t>15</w:t>
      </w:r>
    </w:p>
    <w:p w:rsidR="00CC7D10" w:rsidRDefault="00CC7D10" w:rsidP="00CC7D10">
      <w:pPr>
        <w:spacing w:before="11"/>
        <w:rPr>
          <w:rFonts w:ascii="Arial" w:eastAsia="Arial" w:hAnsi="Arial" w:cs="Arial"/>
          <w:sz w:val="21"/>
          <w:szCs w:val="21"/>
        </w:rPr>
      </w:pPr>
    </w:p>
    <w:p w:rsidR="00CC7D10" w:rsidRDefault="00CC7D10" w:rsidP="00CC7D10">
      <w:pPr>
        <w:spacing w:before="89"/>
        <w:ind w:left="985"/>
        <w:rPr>
          <w:rFonts w:ascii="Arial" w:eastAsia="Arial" w:hAnsi="Arial" w:cs="Arial"/>
          <w:sz w:val="12"/>
          <w:szCs w:val="12"/>
        </w:rPr>
      </w:pPr>
      <w:r>
        <w:rPr>
          <w:rFonts w:ascii="Arial"/>
          <w:w w:val="105"/>
          <w:sz w:val="12"/>
        </w:rPr>
        <w:t>10</w:t>
      </w:r>
    </w:p>
    <w:p w:rsidR="00CC7D10" w:rsidRDefault="00CC7D10" w:rsidP="00CC7D10">
      <w:pPr>
        <w:spacing w:before="5"/>
        <w:rPr>
          <w:rFonts w:ascii="Arial" w:eastAsia="Arial" w:hAnsi="Arial" w:cs="Arial"/>
        </w:rPr>
      </w:pPr>
    </w:p>
    <w:p w:rsidR="00CC7D10" w:rsidRDefault="00CC7D10" w:rsidP="00CC7D10">
      <w:pPr>
        <w:spacing w:before="89"/>
        <w:ind w:left="1052"/>
        <w:rPr>
          <w:rFonts w:ascii="Arial" w:eastAsia="Arial" w:hAnsi="Arial" w:cs="Arial"/>
          <w:sz w:val="12"/>
          <w:szCs w:val="12"/>
        </w:rPr>
      </w:pPr>
      <w:r>
        <w:rPr>
          <w:rFonts w:ascii="Arial"/>
          <w:w w:val="104"/>
          <w:sz w:val="12"/>
        </w:rPr>
        <w:t>5</w:t>
      </w:r>
    </w:p>
    <w:p w:rsidR="00CC7D10" w:rsidRDefault="00CC7D10" w:rsidP="00CC7D10">
      <w:pPr>
        <w:spacing w:before="5"/>
        <w:rPr>
          <w:rFonts w:ascii="Arial" w:eastAsia="Arial" w:hAnsi="Arial" w:cs="Arial"/>
        </w:rPr>
      </w:pPr>
    </w:p>
    <w:p w:rsidR="00CC7D10" w:rsidRDefault="00CC7D10" w:rsidP="00CC7D10">
      <w:pPr>
        <w:spacing w:before="89"/>
        <w:ind w:left="1052"/>
        <w:rPr>
          <w:rFonts w:ascii="Arial" w:eastAsia="Arial" w:hAnsi="Arial" w:cs="Arial"/>
          <w:sz w:val="12"/>
          <w:szCs w:val="12"/>
        </w:rPr>
      </w:pPr>
      <w:r w:rsidRPr="00CC7D10">
        <w:rPr>
          <w:lang w:val="en-US"/>
        </w:rPr>
        <w:pict>
          <v:shape id="_x0000_s1679" type="#_x0000_t136" style="position:absolute;left:0;text-align:left;margin-left:89.55pt;margin-top:19.95pt;width:18.55pt;height:6.3pt;rotation:315;z-index:251685376;mso-position-horizontal-relative:page" fillcolor="black" stroked="f">
            <o:extrusion v:ext="view" autorotationcenter="t"/>
            <v:textpath style="font-family:&quot;&amp;quot&quot;;font-size:6pt;v-text-kern:t;mso-text-shadow:auto" string="estatal"/>
            <w10:wrap anchorx="page"/>
          </v:shape>
        </w:pict>
      </w:r>
      <w:r w:rsidRPr="00CC7D10">
        <w:rPr>
          <w:lang w:val="en-US"/>
        </w:rPr>
        <w:pict>
          <v:shape id="_x0000_s1680" type="#_x0000_t136" style="position:absolute;left:0;text-align:left;margin-left:120.75pt;margin-top:23.6pt;width:27.6pt;height:6.3pt;rotation:315;z-index:251686400;mso-position-horizontal-relative:page" fillcolor="black" stroked="f">
            <o:extrusion v:ext="view" autorotationcenter="t"/>
            <v:textpath style="font-family:&quot;&amp;quot&quot;;font-size:6pt;v-text-kern:t;mso-text-shadow:auto" string="legislativo"/>
            <w10:wrap anchorx="page"/>
          </v:shape>
        </w:pict>
      </w:r>
      <w:r w:rsidRPr="00CC7D10">
        <w:rPr>
          <w:lang w:val="en-US"/>
        </w:rPr>
        <w:pict>
          <v:shape id="_x0000_s1681" type="#_x0000_t136" style="position:absolute;left:0;text-align:left;margin-left:162.8pt;margin-top:22.35pt;width:24.55pt;height:6.3pt;rotation:315;z-index:251687424;mso-position-horizontal-relative:page" fillcolor="black" stroked="f">
            <o:extrusion v:ext="view" autorotationcenter="t"/>
            <v:textpath style="font-family:&quot;&amp;quot&quot;;font-size:6pt;v-text-kern:t;mso-text-shadow:auto" string="noticioso"/>
            <w10:wrap anchorx="page"/>
          </v:shape>
        </w:pict>
      </w:r>
      <w:r w:rsidRPr="00CC7D10">
        <w:rPr>
          <w:lang w:val="en-US"/>
        </w:rPr>
        <w:pict>
          <v:shape id="_x0000_s1682" type="#_x0000_t136" style="position:absolute;left:0;text-align:left;margin-left:203.35pt;margin-top:21.85pt;width:23.35pt;height:6.3pt;rotation:315;z-index:251688448;mso-position-horizontal-relative:page" fillcolor="black" stroked="f">
            <o:extrusion v:ext="view" autorotationcenter="t"/>
            <v:textpath style="font-family:&quot;&amp;quot&quot;;font-size:6pt;v-text-kern:t;mso-text-shadow:auto" string="religioso"/>
            <w10:wrap anchorx="page"/>
          </v:shape>
        </w:pict>
      </w:r>
      <w:r w:rsidRPr="00CC7D10">
        <w:rPr>
          <w:lang w:val="en-US"/>
        </w:rPr>
        <w:pict>
          <v:shape id="_x0000_s1683" type="#_x0000_t136" style="position:absolute;left:0;text-align:left;margin-left:248.1pt;margin-top:19.45pt;width:17.1pt;height:6.3pt;rotation:315;z-index:251689472;mso-position-horizontal-relative:page" fillcolor="black" stroked="f">
            <o:extrusion v:ext="view" autorotationcenter="t"/>
            <v:textpath style="font-family:&quot;&amp;quot&quot;;font-size:6pt;v-text-kern:t;mso-text-shadow:auto" string="saúde"/>
            <w10:wrap anchorx="page"/>
          </v:shape>
        </w:pict>
      </w:r>
      <w:r w:rsidRPr="00CC7D10">
        <w:rPr>
          <w:lang w:val="en-US"/>
        </w:rPr>
        <w:pict>
          <v:shape id="_x0000_s1684" type="#_x0000_t136" style="position:absolute;left:0;text-align:left;margin-left:282.4pt;margin-top:21.55pt;width:22.85pt;height:6.3pt;rotation:315;z-index:251690496;mso-position-horizontal-relative:page" fillcolor="black" stroked="f">
            <o:extrusion v:ext="view" autorotationcenter="t"/>
            <v:textpath style="font-family:&quot;&amp;quot&quot;;font-size:6pt;v-text-kern:t;mso-text-shadow:auto" string="trabalho"/>
            <w10:wrap anchorx="page"/>
          </v:shape>
        </w:pict>
      </w:r>
      <w:r w:rsidRPr="00CC7D10">
        <w:rPr>
          <w:lang w:val="en-US"/>
        </w:rPr>
        <w:pict>
          <v:shape id="_x0000_s1685" type="#_x0000_t136" style="position:absolute;left:0;text-align:left;margin-left:311.8pt;margin-top:25.65pt;width:34.05pt;height:6.3pt;rotation:315;z-index:251691520;mso-position-horizontal-relative:page" fillcolor="black" stroked="f">
            <o:extrusion v:ext="view" autorotationcenter="t"/>
            <v:textpath style="font-family:&quot;&amp;quot&quot;;font-size:6pt;v-text-kern:t;mso-text-shadow:auto" string="universitário"/>
            <w10:wrap anchorx="page"/>
          </v:shape>
        </w:pict>
      </w:r>
      <w:r w:rsidRPr="00CC7D10">
        <w:rPr>
          <w:lang w:val="en-US"/>
        </w:rPr>
        <w:pict>
          <v:shape id="_x0000_s1687" type="#_x0000_t136" style="position:absolute;left:0;text-align:left;margin-left:384.65pt;margin-top:28.15pt;width:40.8pt;height:6.3pt;rotation:315;z-index:251693568;mso-position-horizontal-relative:page" fillcolor="black" stroked="f">
            <o:extrusion v:ext="view" autorotationcenter="t"/>
            <v:textpath style="font-family:&quot;&amp;quot&quot;;font-size:6pt;v-text-kern:t;mso-text-shadow:auto" string="variados-racial"/>
            <w10:wrap anchorx="page"/>
          </v:shape>
        </w:pict>
      </w:r>
      <w:r>
        <w:rPr>
          <w:rFonts w:ascii="Arial"/>
          <w:w w:val="104"/>
          <w:sz w:val="12"/>
        </w:rPr>
        <w:t>0</w:t>
      </w: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20"/>
          <w:szCs w:val="20"/>
        </w:rPr>
      </w:pPr>
    </w:p>
    <w:p w:rsidR="00CC7D10" w:rsidRDefault="00CC7D10" w:rsidP="00CC7D10">
      <w:pPr>
        <w:rPr>
          <w:rFonts w:ascii="Arial" w:eastAsia="Arial" w:hAnsi="Arial" w:cs="Arial"/>
          <w:sz w:val="14"/>
          <w:szCs w:val="14"/>
        </w:rPr>
      </w:pPr>
    </w:p>
    <w:p w:rsidR="00CC7D10" w:rsidRDefault="00CC7D10" w:rsidP="00CC7D10">
      <w:pPr>
        <w:spacing w:before="91"/>
        <w:ind w:left="899"/>
        <w:rPr>
          <w:rFonts w:ascii="Arial" w:eastAsia="Arial" w:hAnsi="Arial" w:cs="Arial"/>
          <w:sz w:val="15"/>
          <w:szCs w:val="15"/>
        </w:rPr>
      </w:pPr>
      <w:r w:rsidRPr="00CC7D10">
        <w:rPr>
          <w:lang w:val="en-US"/>
        </w:rPr>
        <w:pict>
          <v:shape id="_x0000_s1686" type="#_x0000_t136" style="position:absolute;left:0;text-align:left;margin-left:335.2pt;margin-top:-21.85pt;width:53.05pt;height:6.3pt;rotation:315;z-index:251692544;mso-position-horizontal-relative:page" fillcolor="black" stroked="f">
            <o:extrusion v:ext="view" autorotationcenter="t"/>
            <v:textpath style="font-family:&quot;&amp;quot&quot;;font-size:6pt;v-text-kern:t;mso-text-shadow:auto" string="variados-educação"/>
            <w10:wrap anchorx="page"/>
          </v:shape>
        </w:pict>
      </w:r>
      <w:r w:rsidRPr="00CC7D10">
        <w:rPr>
          <w:lang w:val="en-US"/>
        </w:rPr>
        <w:pict>
          <v:shape id="_x0000_s1688" type="#_x0000_t136" style="position:absolute;left:0;text-align:left;margin-left:408.3pt;margin-top:-19.45pt;width:59.5pt;height:6.3pt;rotation:315;z-index:251694592;mso-position-horizontal-relative:page" fillcolor="black" stroked="f">
            <o:extrusion v:ext="view" autorotationcenter="t"/>
            <v:textpath style="font-family:&quot;&amp;quot&quot;;font-size:6pt;v-text-kern:t;mso-text-shadow:auto" string="variados-sexualidade"/>
            <w10:wrap anchorx="page"/>
          </v:shape>
        </w:pict>
      </w:r>
      <w:r>
        <w:rPr>
          <w:rFonts w:ascii="Arial"/>
          <w:sz w:val="15"/>
        </w:rPr>
        <w:t>Fonte: Levantamento realizado pela</w:t>
      </w:r>
      <w:r>
        <w:rPr>
          <w:rFonts w:ascii="Arial"/>
          <w:spacing w:val="-5"/>
          <w:sz w:val="15"/>
        </w:rPr>
        <w:t xml:space="preserve"> </w:t>
      </w:r>
      <w:r>
        <w:rPr>
          <w:rFonts w:ascii="Arial"/>
          <w:sz w:val="15"/>
        </w:rPr>
        <w:t>autora</w:t>
      </w:r>
    </w:p>
    <w:p w:rsidR="00CC7D10" w:rsidRDefault="00CC7D10" w:rsidP="00CC7D10">
      <w:pPr>
        <w:spacing w:before="10"/>
        <w:rPr>
          <w:rFonts w:ascii="Arial" w:eastAsia="Arial" w:hAnsi="Arial" w:cs="Arial"/>
          <w:sz w:val="14"/>
          <w:szCs w:val="14"/>
        </w:rPr>
      </w:pPr>
    </w:p>
    <w:p w:rsidR="00CC7D10" w:rsidRDefault="00CC7D10" w:rsidP="00CC7D10">
      <w:pPr>
        <w:pStyle w:val="Corpodetexto"/>
        <w:spacing w:line="364" w:lineRule="auto"/>
        <w:ind w:right="101"/>
        <w:jc w:val="both"/>
      </w:pPr>
      <w:r>
        <w:rPr>
          <w:b/>
          <w:bCs/>
        </w:rPr>
        <w:lastRenderedPageBreak/>
        <w:t xml:space="preserve">Noticioso </w:t>
      </w:r>
      <w:r>
        <w:t xml:space="preserve">— Com 34 títulos essa categoria é marcada </w:t>
      </w:r>
      <w:r>
        <w:rPr>
          <w:spacing w:val="2"/>
        </w:rPr>
        <w:t xml:space="preserve">pela </w:t>
      </w:r>
      <w:r>
        <w:t xml:space="preserve">generalização de </w:t>
      </w:r>
      <w:r>
        <w:rPr>
          <w:spacing w:val="-3"/>
        </w:rPr>
        <w:t xml:space="preserve">seu </w:t>
      </w:r>
      <w:r>
        <w:t>conteúdo.  Podemos apontar alguns assuntos que aparecem com mais freqüência: educação, violência contra  a mulher, saúde da mulher, notícias do movimento feminista, resumo do cenário político, matérias comportamentais  (incluindo  dicas  de  lazer e  cultura), meio  ambiente, entre outros. Economia e</w:t>
      </w:r>
      <w:r>
        <w:rPr>
          <w:spacing w:val="10"/>
        </w:rPr>
        <w:t xml:space="preserve"> </w:t>
      </w:r>
      <w:r>
        <w:t>política</w:t>
      </w:r>
    </w:p>
    <w:p w:rsidR="00CC7D10" w:rsidRDefault="00CC7D10" w:rsidP="00CC7D10">
      <w:pPr>
        <w:spacing w:line="364" w:lineRule="auto"/>
        <w:sectPr w:rsidR="00CC7D10">
          <w:pgSz w:w="11900" w:h="16840"/>
          <w:pgMar w:top="1600" w:right="126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spacing w:before="9"/>
        <w:rPr>
          <w:rFonts w:ascii="Times New Roman" w:eastAsia="Times New Roman" w:hAnsi="Times New Roman"/>
          <w:sz w:val="15"/>
          <w:szCs w:val="15"/>
        </w:rPr>
      </w:pPr>
    </w:p>
    <w:p w:rsidR="00CC7D10" w:rsidRDefault="00CC7D10" w:rsidP="00CC7D10">
      <w:pPr>
        <w:pStyle w:val="Corpodetexto"/>
        <w:spacing w:before="73" w:line="364" w:lineRule="auto"/>
        <w:ind w:right="102" w:firstLine="0"/>
        <w:jc w:val="both"/>
      </w:pPr>
      <w:r>
        <w:t xml:space="preserve">são temas abordados lateralmente em artigos e matérias com finalidade de denunciar e flagrar a injustiça social. Um exemplo do que se objetivou com esses jornais está no editorial do número zero, do periódico </w:t>
      </w:r>
      <w:r>
        <w:rPr>
          <w:i/>
        </w:rPr>
        <w:t>Mulher ABC</w:t>
      </w:r>
      <w:r>
        <w:t xml:space="preserve">, fundado em 1980, na cidade </w:t>
      </w:r>
      <w:r>
        <w:rPr>
          <w:spacing w:val="4"/>
        </w:rPr>
        <w:t xml:space="preserve">de </w:t>
      </w:r>
      <w:r>
        <w:t xml:space="preserve">São Bernardo do Campo (SP), componente </w:t>
      </w:r>
      <w:r>
        <w:rPr>
          <w:spacing w:val="4"/>
        </w:rPr>
        <w:t xml:space="preserve">da </w:t>
      </w:r>
      <w:r>
        <w:t>primeira geração da imprensa</w:t>
      </w:r>
      <w:r>
        <w:rPr>
          <w:spacing w:val="38"/>
        </w:rPr>
        <w:t xml:space="preserve"> </w:t>
      </w:r>
      <w:r>
        <w:t>feminista.</w:t>
      </w:r>
    </w:p>
    <w:p w:rsidR="00CC7D10" w:rsidRDefault="00CC7D10" w:rsidP="00CC7D10">
      <w:pPr>
        <w:spacing w:before="6"/>
        <w:rPr>
          <w:rFonts w:ascii="Times New Roman" w:eastAsia="Times New Roman" w:hAnsi="Times New Roman"/>
          <w:sz w:val="20"/>
          <w:szCs w:val="20"/>
        </w:rPr>
      </w:pPr>
    </w:p>
    <w:p w:rsidR="00CC7D10" w:rsidRDefault="00CC7D10" w:rsidP="00CC7D10">
      <w:pPr>
        <w:spacing w:line="247" w:lineRule="auto"/>
        <w:ind w:left="1340" w:right="110"/>
        <w:rPr>
          <w:rFonts w:ascii="Times New Roman" w:eastAsia="Times New Roman" w:hAnsi="Times New Roman"/>
          <w:sz w:val="19"/>
          <w:szCs w:val="19"/>
        </w:rPr>
      </w:pPr>
      <w:r>
        <w:rPr>
          <w:rFonts w:ascii="Times New Roman" w:hAnsi="Times New Roman"/>
          <w:w w:val="105"/>
          <w:sz w:val="19"/>
        </w:rPr>
        <w:t>Já</w:t>
      </w:r>
      <w:r>
        <w:rPr>
          <w:rFonts w:ascii="Times New Roman" w:hAnsi="Times New Roman"/>
          <w:spacing w:val="-14"/>
          <w:w w:val="105"/>
          <w:sz w:val="19"/>
        </w:rPr>
        <w:t xml:space="preserve"> </w:t>
      </w:r>
      <w:r>
        <w:rPr>
          <w:rFonts w:ascii="Times New Roman" w:hAnsi="Times New Roman"/>
          <w:w w:val="105"/>
          <w:sz w:val="19"/>
        </w:rPr>
        <w:t>não</w:t>
      </w:r>
      <w:r>
        <w:rPr>
          <w:rFonts w:ascii="Times New Roman" w:hAnsi="Times New Roman"/>
          <w:spacing w:val="-7"/>
          <w:w w:val="105"/>
          <w:sz w:val="19"/>
        </w:rPr>
        <w:t xml:space="preserve"> </w:t>
      </w:r>
      <w:r>
        <w:rPr>
          <w:rFonts w:ascii="Times New Roman" w:hAnsi="Times New Roman"/>
          <w:w w:val="105"/>
          <w:sz w:val="19"/>
        </w:rPr>
        <w:t>era</w:t>
      </w:r>
      <w:r>
        <w:rPr>
          <w:rFonts w:ascii="Times New Roman" w:hAnsi="Times New Roman"/>
          <w:spacing w:val="-10"/>
          <w:w w:val="105"/>
          <w:sz w:val="19"/>
        </w:rPr>
        <w:t xml:space="preserve"> </w:t>
      </w:r>
      <w:r>
        <w:rPr>
          <w:rFonts w:ascii="Times New Roman" w:hAnsi="Times New Roman"/>
          <w:w w:val="105"/>
          <w:sz w:val="19"/>
        </w:rPr>
        <w:t>sem</w:t>
      </w:r>
      <w:r>
        <w:rPr>
          <w:rFonts w:ascii="Times New Roman" w:hAnsi="Times New Roman"/>
          <w:spacing w:val="-8"/>
          <w:w w:val="105"/>
          <w:sz w:val="19"/>
        </w:rPr>
        <w:t xml:space="preserve"> </w:t>
      </w:r>
      <w:r>
        <w:rPr>
          <w:rFonts w:ascii="Times New Roman" w:hAnsi="Times New Roman"/>
          <w:w w:val="105"/>
          <w:sz w:val="19"/>
        </w:rPr>
        <w:t>tempo.</w:t>
      </w:r>
      <w:r>
        <w:rPr>
          <w:rFonts w:ascii="Times New Roman" w:hAnsi="Times New Roman"/>
          <w:spacing w:val="-10"/>
          <w:w w:val="105"/>
          <w:sz w:val="19"/>
        </w:rPr>
        <w:t xml:space="preserve"> </w:t>
      </w:r>
      <w:r>
        <w:rPr>
          <w:rFonts w:ascii="Times New Roman" w:hAnsi="Times New Roman"/>
          <w:w w:val="105"/>
          <w:sz w:val="19"/>
        </w:rPr>
        <w:t>Chegou</w:t>
      </w:r>
      <w:r>
        <w:rPr>
          <w:rFonts w:ascii="Times New Roman" w:hAnsi="Times New Roman"/>
          <w:spacing w:val="-11"/>
          <w:w w:val="105"/>
          <w:sz w:val="19"/>
        </w:rPr>
        <w:t xml:space="preserve"> </w:t>
      </w:r>
      <w:r>
        <w:rPr>
          <w:rFonts w:ascii="Times New Roman" w:hAnsi="Times New Roman"/>
          <w:w w:val="105"/>
          <w:sz w:val="19"/>
        </w:rPr>
        <w:t>um</w:t>
      </w:r>
      <w:r>
        <w:rPr>
          <w:rFonts w:ascii="Times New Roman" w:hAnsi="Times New Roman"/>
          <w:spacing w:val="-16"/>
          <w:w w:val="105"/>
          <w:sz w:val="19"/>
        </w:rPr>
        <w:t xml:space="preserve"> </w:t>
      </w:r>
      <w:r>
        <w:rPr>
          <w:rFonts w:ascii="Times New Roman" w:hAnsi="Times New Roman"/>
          <w:w w:val="105"/>
          <w:sz w:val="19"/>
        </w:rPr>
        <w:t>jornal</w:t>
      </w:r>
      <w:r>
        <w:rPr>
          <w:rFonts w:ascii="Times New Roman" w:hAnsi="Times New Roman"/>
          <w:spacing w:val="-11"/>
          <w:w w:val="105"/>
          <w:sz w:val="19"/>
        </w:rPr>
        <w:t xml:space="preserve"> </w:t>
      </w:r>
      <w:r>
        <w:rPr>
          <w:rFonts w:ascii="Times New Roman" w:hAnsi="Times New Roman"/>
          <w:w w:val="105"/>
          <w:sz w:val="19"/>
        </w:rPr>
        <w:t>que</w:t>
      </w:r>
      <w:r>
        <w:rPr>
          <w:rFonts w:ascii="Times New Roman" w:hAnsi="Times New Roman"/>
          <w:spacing w:val="-10"/>
          <w:w w:val="105"/>
          <w:sz w:val="19"/>
        </w:rPr>
        <w:t xml:space="preserve"> </w:t>
      </w:r>
      <w:r>
        <w:rPr>
          <w:rFonts w:ascii="Times New Roman" w:hAnsi="Times New Roman"/>
          <w:w w:val="105"/>
          <w:sz w:val="19"/>
        </w:rPr>
        <w:t>vai</w:t>
      </w:r>
      <w:r>
        <w:rPr>
          <w:rFonts w:ascii="Times New Roman" w:hAnsi="Times New Roman"/>
          <w:spacing w:val="-15"/>
          <w:w w:val="105"/>
          <w:sz w:val="19"/>
        </w:rPr>
        <w:t xml:space="preserve"> </w:t>
      </w:r>
      <w:r>
        <w:rPr>
          <w:rFonts w:ascii="Times New Roman" w:hAnsi="Times New Roman"/>
          <w:spacing w:val="2"/>
          <w:w w:val="105"/>
          <w:sz w:val="19"/>
        </w:rPr>
        <w:t>se</w:t>
      </w:r>
      <w:r>
        <w:rPr>
          <w:rFonts w:ascii="Times New Roman" w:hAnsi="Times New Roman"/>
          <w:spacing w:val="-14"/>
          <w:w w:val="105"/>
          <w:sz w:val="19"/>
        </w:rPr>
        <w:t xml:space="preserve"> </w:t>
      </w:r>
      <w:r>
        <w:rPr>
          <w:rFonts w:ascii="Times New Roman" w:hAnsi="Times New Roman"/>
          <w:w w:val="105"/>
          <w:sz w:val="19"/>
        </w:rPr>
        <w:t>dedicar</w:t>
      </w:r>
      <w:r>
        <w:rPr>
          <w:rFonts w:ascii="Times New Roman" w:hAnsi="Times New Roman"/>
          <w:spacing w:val="-8"/>
          <w:w w:val="105"/>
          <w:sz w:val="19"/>
        </w:rPr>
        <w:t xml:space="preserve"> </w:t>
      </w:r>
      <w:r>
        <w:rPr>
          <w:rFonts w:ascii="Times New Roman" w:hAnsi="Times New Roman"/>
          <w:w w:val="105"/>
          <w:sz w:val="19"/>
        </w:rPr>
        <w:t>aos</w:t>
      </w:r>
      <w:r>
        <w:rPr>
          <w:rFonts w:ascii="Times New Roman" w:hAnsi="Times New Roman"/>
          <w:spacing w:val="-12"/>
          <w:w w:val="105"/>
          <w:sz w:val="19"/>
        </w:rPr>
        <w:t xml:space="preserve"> </w:t>
      </w:r>
      <w:r>
        <w:rPr>
          <w:rFonts w:ascii="Times New Roman" w:hAnsi="Times New Roman"/>
          <w:w w:val="105"/>
          <w:sz w:val="19"/>
        </w:rPr>
        <w:t>problemas</w:t>
      </w:r>
      <w:r>
        <w:rPr>
          <w:rFonts w:ascii="Times New Roman" w:hAnsi="Times New Roman"/>
          <w:spacing w:val="-9"/>
          <w:w w:val="105"/>
          <w:sz w:val="19"/>
        </w:rPr>
        <w:t xml:space="preserve"> </w:t>
      </w:r>
      <w:r>
        <w:rPr>
          <w:rFonts w:ascii="Times New Roman" w:hAnsi="Times New Roman"/>
          <w:w w:val="105"/>
          <w:sz w:val="19"/>
        </w:rPr>
        <w:t>que</w:t>
      </w:r>
      <w:r>
        <w:rPr>
          <w:rFonts w:ascii="Times New Roman" w:hAnsi="Times New Roman"/>
          <w:spacing w:val="-10"/>
          <w:w w:val="105"/>
          <w:sz w:val="19"/>
        </w:rPr>
        <w:t xml:space="preserve"> </w:t>
      </w:r>
      <w:r>
        <w:rPr>
          <w:rFonts w:ascii="Times New Roman" w:hAnsi="Times New Roman"/>
          <w:w w:val="105"/>
          <w:sz w:val="19"/>
        </w:rPr>
        <w:t>surgem</w:t>
      </w:r>
      <w:r>
        <w:rPr>
          <w:rFonts w:ascii="Times New Roman" w:hAnsi="Times New Roman"/>
          <w:spacing w:val="-8"/>
          <w:w w:val="105"/>
          <w:sz w:val="19"/>
        </w:rPr>
        <w:t xml:space="preserve"> </w:t>
      </w:r>
      <w:r>
        <w:rPr>
          <w:rFonts w:ascii="Times New Roman" w:hAnsi="Times New Roman"/>
          <w:w w:val="105"/>
          <w:sz w:val="19"/>
        </w:rPr>
        <w:t>constantemente</w:t>
      </w:r>
      <w:r>
        <w:rPr>
          <w:rFonts w:ascii="Times New Roman" w:hAnsi="Times New Roman"/>
          <w:spacing w:val="-14"/>
          <w:w w:val="105"/>
          <w:sz w:val="19"/>
        </w:rPr>
        <w:t xml:space="preserve"> </w:t>
      </w:r>
      <w:r>
        <w:rPr>
          <w:rFonts w:ascii="Times New Roman" w:hAnsi="Times New Roman"/>
          <w:w w:val="105"/>
          <w:sz w:val="19"/>
        </w:rPr>
        <w:t xml:space="preserve">dentro de casa, que vai tratar das coisas que dizem respeito às mulheres e, por </w:t>
      </w:r>
      <w:r>
        <w:rPr>
          <w:rFonts w:ascii="Times New Roman" w:hAnsi="Times New Roman"/>
          <w:spacing w:val="-3"/>
          <w:w w:val="105"/>
          <w:sz w:val="19"/>
        </w:rPr>
        <w:t xml:space="preserve">tabela, </w:t>
      </w:r>
      <w:r>
        <w:rPr>
          <w:rFonts w:ascii="Times New Roman" w:hAnsi="Times New Roman"/>
          <w:w w:val="105"/>
          <w:sz w:val="19"/>
        </w:rPr>
        <w:t xml:space="preserve">também de </w:t>
      </w:r>
      <w:r>
        <w:rPr>
          <w:rFonts w:ascii="Times New Roman" w:hAnsi="Times New Roman"/>
          <w:spacing w:val="-3"/>
          <w:w w:val="105"/>
          <w:sz w:val="19"/>
        </w:rPr>
        <w:t xml:space="preserve">seus </w:t>
      </w:r>
      <w:r>
        <w:rPr>
          <w:rFonts w:ascii="Times New Roman" w:hAnsi="Times New Roman"/>
          <w:w w:val="105"/>
          <w:sz w:val="19"/>
        </w:rPr>
        <w:t>maridos e filhos.</w:t>
      </w:r>
      <w:r>
        <w:rPr>
          <w:rFonts w:ascii="Times New Roman" w:hAnsi="Times New Roman"/>
          <w:spacing w:val="-14"/>
          <w:w w:val="105"/>
          <w:sz w:val="19"/>
        </w:rPr>
        <w:t xml:space="preserve"> </w:t>
      </w:r>
      <w:r>
        <w:rPr>
          <w:rFonts w:ascii="Times New Roman" w:hAnsi="Times New Roman"/>
          <w:w w:val="105"/>
          <w:sz w:val="19"/>
        </w:rPr>
        <w:t>Afinal,</w:t>
      </w:r>
      <w:r>
        <w:rPr>
          <w:rFonts w:ascii="Times New Roman" w:hAnsi="Times New Roman"/>
          <w:spacing w:val="-10"/>
          <w:w w:val="105"/>
          <w:sz w:val="19"/>
        </w:rPr>
        <w:t xml:space="preserve"> </w:t>
      </w:r>
      <w:r>
        <w:rPr>
          <w:rFonts w:ascii="Times New Roman" w:hAnsi="Times New Roman"/>
          <w:w w:val="105"/>
          <w:sz w:val="19"/>
        </w:rPr>
        <w:t>todos</w:t>
      </w:r>
      <w:r>
        <w:rPr>
          <w:rFonts w:ascii="Times New Roman" w:hAnsi="Times New Roman"/>
          <w:spacing w:val="-13"/>
          <w:w w:val="105"/>
          <w:sz w:val="19"/>
        </w:rPr>
        <w:t xml:space="preserve"> </w:t>
      </w:r>
      <w:r>
        <w:rPr>
          <w:rFonts w:ascii="Times New Roman" w:hAnsi="Times New Roman"/>
          <w:w w:val="105"/>
          <w:sz w:val="19"/>
        </w:rPr>
        <w:t>dormem</w:t>
      </w:r>
      <w:r>
        <w:rPr>
          <w:rFonts w:ascii="Times New Roman" w:hAnsi="Times New Roman"/>
          <w:spacing w:val="-13"/>
          <w:w w:val="105"/>
          <w:sz w:val="19"/>
        </w:rPr>
        <w:t xml:space="preserve"> </w:t>
      </w:r>
      <w:r>
        <w:rPr>
          <w:rFonts w:ascii="Times New Roman" w:hAnsi="Times New Roman"/>
          <w:w w:val="105"/>
          <w:sz w:val="19"/>
        </w:rPr>
        <w:t>debaixo</w:t>
      </w:r>
      <w:r>
        <w:rPr>
          <w:rFonts w:ascii="Times New Roman" w:hAnsi="Times New Roman"/>
          <w:spacing w:val="-11"/>
          <w:w w:val="105"/>
          <w:sz w:val="19"/>
        </w:rPr>
        <w:t xml:space="preserve"> </w:t>
      </w:r>
      <w:r>
        <w:rPr>
          <w:rFonts w:ascii="Times New Roman" w:hAnsi="Times New Roman"/>
          <w:w w:val="105"/>
          <w:sz w:val="19"/>
        </w:rPr>
        <w:t>do</w:t>
      </w:r>
      <w:r>
        <w:rPr>
          <w:rFonts w:ascii="Times New Roman" w:hAnsi="Times New Roman"/>
          <w:spacing w:val="-11"/>
          <w:w w:val="105"/>
          <w:sz w:val="19"/>
        </w:rPr>
        <w:t xml:space="preserve"> </w:t>
      </w:r>
      <w:r>
        <w:rPr>
          <w:rFonts w:ascii="Times New Roman" w:hAnsi="Times New Roman"/>
          <w:spacing w:val="-3"/>
          <w:w w:val="105"/>
          <w:sz w:val="19"/>
        </w:rPr>
        <w:t>mesmo</w:t>
      </w:r>
      <w:r>
        <w:rPr>
          <w:rFonts w:ascii="Times New Roman" w:hAnsi="Times New Roman"/>
          <w:spacing w:val="-11"/>
          <w:w w:val="105"/>
          <w:sz w:val="19"/>
        </w:rPr>
        <w:t xml:space="preserve"> </w:t>
      </w:r>
      <w:r>
        <w:rPr>
          <w:rFonts w:ascii="Times New Roman" w:hAnsi="Times New Roman"/>
          <w:w w:val="105"/>
          <w:sz w:val="19"/>
        </w:rPr>
        <w:t>teto</w:t>
      </w:r>
      <w:r>
        <w:rPr>
          <w:rFonts w:ascii="Times New Roman" w:hAnsi="Times New Roman"/>
          <w:spacing w:val="-13"/>
          <w:w w:val="105"/>
          <w:sz w:val="19"/>
        </w:rPr>
        <w:t xml:space="preserve"> </w:t>
      </w:r>
      <w:r>
        <w:rPr>
          <w:rFonts w:ascii="Times New Roman" w:hAnsi="Times New Roman"/>
          <w:w w:val="105"/>
          <w:sz w:val="19"/>
        </w:rPr>
        <w:t>e</w:t>
      </w:r>
      <w:r>
        <w:rPr>
          <w:rFonts w:ascii="Times New Roman" w:hAnsi="Times New Roman"/>
          <w:spacing w:val="-10"/>
          <w:w w:val="105"/>
          <w:sz w:val="19"/>
        </w:rPr>
        <w:t xml:space="preserve"> </w:t>
      </w:r>
      <w:r>
        <w:rPr>
          <w:rFonts w:ascii="Times New Roman" w:hAnsi="Times New Roman"/>
          <w:w w:val="105"/>
          <w:sz w:val="19"/>
        </w:rPr>
        <w:t>as</w:t>
      </w:r>
      <w:r>
        <w:rPr>
          <w:rFonts w:ascii="Times New Roman" w:hAnsi="Times New Roman"/>
          <w:spacing w:val="-13"/>
          <w:w w:val="105"/>
          <w:sz w:val="19"/>
        </w:rPr>
        <w:t xml:space="preserve"> </w:t>
      </w:r>
      <w:r>
        <w:rPr>
          <w:rFonts w:ascii="Times New Roman" w:hAnsi="Times New Roman"/>
          <w:w w:val="105"/>
          <w:sz w:val="19"/>
        </w:rPr>
        <w:t>aflições</w:t>
      </w:r>
      <w:r>
        <w:rPr>
          <w:rFonts w:ascii="Times New Roman" w:hAnsi="Times New Roman"/>
          <w:spacing w:val="-10"/>
          <w:w w:val="105"/>
          <w:sz w:val="19"/>
        </w:rPr>
        <w:t xml:space="preserve"> </w:t>
      </w:r>
      <w:r>
        <w:rPr>
          <w:rFonts w:ascii="Times New Roman" w:hAnsi="Times New Roman"/>
          <w:w w:val="105"/>
          <w:sz w:val="19"/>
        </w:rPr>
        <w:t>e</w:t>
      </w:r>
      <w:r>
        <w:rPr>
          <w:rFonts w:ascii="Times New Roman" w:hAnsi="Times New Roman"/>
          <w:spacing w:val="-14"/>
          <w:w w:val="105"/>
          <w:sz w:val="19"/>
        </w:rPr>
        <w:t xml:space="preserve"> </w:t>
      </w:r>
      <w:r>
        <w:rPr>
          <w:rFonts w:ascii="Times New Roman" w:hAnsi="Times New Roman"/>
          <w:w w:val="105"/>
          <w:sz w:val="19"/>
        </w:rPr>
        <w:t>alegrias</w:t>
      </w:r>
      <w:r>
        <w:rPr>
          <w:rFonts w:ascii="Times New Roman" w:hAnsi="Times New Roman"/>
          <w:spacing w:val="-13"/>
          <w:w w:val="105"/>
          <w:sz w:val="19"/>
        </w:rPr>
        <w:t xml:space="preserve"> </w:t>
      </w:r>
      <w:r>
        <w:rPr>
          <w:rFonts w:ascii="Times New Roman" w:hAnsi="Times New Roman"/>
          <w:w w:val="105"/>
          <w:sz w:val="19"/>
        </w:rPr>
        <w:t>são</w:t>
      </w:r>
      <w:r>
        <w:rPr>
          <w:rFonts w:ascii="Times New Roman" w:hAnsi="Times New Roman"/>
          <w:spacing w:val="-11"/>
          <w:w w:val="105"/>
          <w:sz w:val="19"/>
        </w:rPr>
        <w:t xml:space="preserve"> </w:t>
      </w:r>
      <w:r>
        <w:rPr>
          <w:rFonts w:ascii="Times New Roman" w:hAnsi="Times New Roman"/>
          <w:w w:val="105"/>
          <w:sz w:val="19"/>
        </w:rPr>
        <w:t>compartilhadas</w:t>
      </w:r>
      <w:r>
        <w:rPr>
          <w:rFonts w:ascii="Times New Roman" w:hAnsi="Times New Roman"/>
          <w:spacing w:val="-13"/>
          <w:w w:val="105"/>
          <w:sz w:val="19"/>
        </w:rPr>
        <w:t xml:space="preserve"> </w:t>
      </w:r>
      <w:r>
        <w:rPr>
          <w:rFonts w:ascii="Times New Roman" w:hAnsi="Times New Roman"/>
          <w:w w:val="105"/>
          <w:sz w:val="19"/>
        </w:rPr>
        <w:t>por</w:t>
      </w:r>
      <w:r>
        <w:rPr>
          <w:rFonts w:ascii="Times New Roman" w:hAnsi="Times New Roman"/>
          <w:spacing w:val="-12"/>
          <w:w w:val="105"/>
          <w:sz w:val="19"/>
        </w:rPr>
        <w:t xml:space="preserve"> </w:t>
      </w:r>
      <w:r>
        <w:rPr>
          <w:rFonts w:ascii="Times New Roman" w:hAnsi="Times New Roman"/>
          <w:w w:val="105"/>
          <w:sz w:val="19"/>
        </w:rPr>
        <w:t>todos.</w:t>
      </w:r>
      <w:r>
        <w:rPr>
          <w:rFonts w:ascii="Times New Roman" w:hAnsi="Times New Roman"/>
          <w:spacing w:val="-10"/>
          <w:w w:val="105"/>
          <w:sz w:val="19"/>
        </w:rPr>
        <w:t xml:space="preserve"> </w:t>
      </w:r>
      <w:r>
        <w:rPr>
          <w:rFonts w:ascii="Times New Roman" w:hAnsi="Times New Roman"/>
          <w:spacing w:val="-3"/>
          <w:w w:val="105"/>
          <w:sz w:val="19"/>
        </w:rPr>
        <w:t xml:space="preserve">[...] </w:t>
      </w:r>
      <w:r>
        <w:rPr>
          <w:rFonts w:ascii="Times New Roman" w:hAnsi="Times New Roman"/>
          <w:w w:val="105"/>
          <w:sz w:val="19"/>
        </w:rPr>
        <w:t>Vamos</w:t>
      </w:r>
      <w:r>
        <w:rPr>
          <w:rFonts w:ascii="Times New Roman" w:hAnsi="Times New Roman"/>
          <w:spacing w:val="-13"/>
          <w:w w:val="105"/>
          <w:sz w:val="19"/>
        </w:rPr>
        <w:t xml:space="preserve"> </w:t>
      </w:r>
      <w:r>
        <w:rPr>
          <w:rFonts w:ascii="Times New Roman" w:hAnsi="Times New Roman"/>
          <w:w w:val="105"/>
          <w:sz w:val="19"/>
        </w:rPr>
        <w:t>tratar</w:t>
      </w:r>
      <w:r>
        <w:rPr>
          <w:rFonts w:ascii="Times New Roman" w:hAnsi="Times New Roman"/>
          <w:spacing w:val="-12"/>
          <w:w w:val="105"/>
          <w:sz w:val="19"/>
        </w:rPr>
        <w:t xml:space="preserve"> </w:t>
      </w:r>
      <w:r>
        <w:rPr>
          <w:rFonts w:ascii="Times New Roman" w:hAnsi="Times New Roman"/>
          <w:w w:val="105"/>
          <w:sz w:val="19"/>
        </w:rPr>
        <w:t>de</w:t>
      </w:r>
      <w:r>
        <w:rPr>
          <w:rFonts w:ascii="Times New Roman" w:hAnsi="Times New Roman"/>
          <w:spacing w:val="-14"/>
          <w:w w:val="105"/>
          <w:sz w:val="19"/>
        </w:rPr>
        <w:t xml:space="preserve"> </w:t>
      </w:r>
      <w:r>
        <w:rPr>
          <w:rFonts w:ascii="Times New Roman" w:hAnsi="Times New Roman"/>
          <w:w w:val="105"/>
          <w:sz w:val="19"/>
        </w:rPr>
        <w:t>tudo,</w:t>
      </w:r>
      <w:r>
        <w:rPr>
          <w:rFonts w:ascii="Times New Roman" w:hAnsi="Times New Roman"/>
          <w:spacing w:val="-14"/>
          <w:w w:val="105"/>
          <w:sz w:val="19"/>
        </w:rPr>
        <w:t xml:space="preserve"> </w:t>
      </w:r>
      <w:r>
        <w:rPr>
          <w:rFonts w:ascii="Times New Roman" w:hAnsi="Times New Roman"/>
          <w:w w:val="105"/>
          <w:sz w:val="19"/>
        </w:rPr>
        <w:t>tudo</w:t>
      </w:r>
      <w:r>
        <w:rPr>
          <w:rFonts w:ascii="Times New Roman" w:hAnsi="Times New Roman"/>
          <w:spacing w:val="-15"/>
          <w:w w:val="105"/>
          <w:sz w:val="19"/>
        </w:rPr>
        <w:t xml:space="preserve"> </w:t>
      </w:r>
      <w:r>
        <w:rPr>
          <w:rFonts w:ascii="Times New Roman" w:hAnsi="Times New Roman"/>
          <w:w w:val="105"/>
          <w:sz w:val="19"/>
        </w:rPr>
        <w:t>nos</w:t>
      </w:r>
      <w:r>
        <w:rPr>
          <w:rFonts w:ascii="Times New Roman" w:hAnsi="Times New Roman"/>
          <w:spacing w:val="-13"/>
          <w:w w:val="105"/>
          <w:sz w:val="19"/>
        </w:rPr>
        <w:t xml:space="preserve"> </w:t>
      </w:r>
      <w:r>
        <w:rPr>
          <w:rFonts w:ascii="Times New Roman" w:hAnsi="Times New Roman"/>
          <w:w w:val="105"/>
          <w:sz w:val="19"/>
        </w:rPr>
        <w:t>interessa.</w:t>
      </w:r>
      <w:r>
        <w:rPr>
          <w:rFonts w:ascii="Times New Roman" w:hAnsi="Times New Roman"/>
          <w:spacing w:val="-10"/>
          <w:w w:val="105"/>
          <w:sz w:val="19"/>
        </w:rPr>
        <w:t xml:space="preserve"> </w:t>
      </w:r>
      <w:r>
        <w:rPr>
          <w:rFonts w:ascii="Times New Roman" w:hAnsi="Times New Roman"/>
          <w:w w:val="105"/>
          <w:sz w:val="19"/>
        </w:rPr>
        <w:t>Até</w:t>
      </w:r>
      <w:r>
        <w:rPr>
          <w:rFonts w:ascii="Times New Roman" w:hAnsi="Times New Roman"/>
          <w:spacing w:val="-17"/>
          <w:w w:val="105"/>
          <w:sz w:val="19"/>
        </w:rPr>
        <w:t xml:space="preserve"> </w:t>
      </w:r>
      <w:r>
        <w:rPr>
          <w:rFonts w:ascii="Times New Roman" w:hAnsi="Times New Roman"/>
          <w:w w:val="105"/>
          <w:sz w:val="19"/>
        </w:rPr>
        <w:t>política,</w:t>
      </w:r>
      <w:r>
        <w:rPr>
          <w:rFonts w:ascii="Times New Roman" w:hAnsi="Times New Roman"/>
          <w:spacing w:val="-18"/>
          <w:w w:val="105"/>
          <w:sz w:val="19"/>
        </w:rPr>
        <w:t xml:space="preserve"> </w:t>
      </w:r>
      <w:r>
        <w:rPr>
          <w:rFonts w:ascii="Times New Roman" w:hAnsi="Times New Roman"/>
          <w:w w:val="105"/>
          <w:sz w:val="19"/>
        </w:rPr>
        <w:t>por</w:t>
      </w:r>
      <w:r>
        <w:rPr>
          <w:rFonts w:ascii="Times New Roman" w:hAnsi="Times New Roman"/>
          <w:spacing w:val="-16"/>
          <w:w w:val="105"/>
          <w:sz w:val="19"/>
        </w:rPr>
        <w:t xml:space="preserve"> </w:t>
      </w:r>
      <w:r>
        <w:rPr>
          <w:rFonts w:ascii="Times New Roman" w:hAnsi="Times New Roman"/>
          <w:w w:val="105"/>
          <w:sz w:val="19"/>
        </w:rPr>
        <w:t>que</w:t>
      </w:r>
      <w:r>
        <w:rPr>
          <w:rFonts w:ascii="Times New Roman" w:hAnsi="Times New Roman"/>
          <w:spacing w:val="-17"/>
          <w:w w:val="105"/>
          <w:sz w:val="19"/>
        </w:rPr>
        <w:t xml:space="preserve"> </w:t>
      </w:r>
      <w:r>
        <w:rPr>
          <w:rFonts w:ascii="Times New Roman" w:hAnsi="Times New Roman"/>
          <w:w w:val="105"/>
          <w:sz w:val="19"/>
        </w:rPr>
        <w:t>não?</w:t>
      </w:r>
    </w:p>
    <w:p w:rsidR="00CC7D10" w:rsidRDefault="00CC7D10" w:rsidP="00CC7D10">
      <w:pPr>
        <w:spacing w:before="11"/>
        <w:rPr>
          <w:rFonts w:ascii="Times New Roman" w:eastAsia="Times New Roman" w:hAnsi="Times New Roman"/>
          <w:sz w:val="18"/>
          <w:szCs w:val="18"/>
        </w:rPr>
      </w:pPr>
    </w:p>
    <w:p w:rsidR="00CC7D10" w:rsidRDefault="00CC7D10" w:rsidP="00CC7D10">
      <w:pPr>
        <w:pStyle w:val="Corpodetexto"/>
        <w:spacing w:line="364" w:lineRule="auto"/>
        <w:ind w:right="103"/>
        <w:jc w:val="both"/>
      </w:pPr>
      <w:r>
        <w:t xml:space="preserve">O trecho também ilustra o fenômeno, já abordado aqui, de as publicações da primeira geração terem a necessidade de </w:t>
      </w:r>
      <w:r>
        <w:rPr>
          <w:spacing w:val="-3"/>
        </w:rPr>
        <w:t xml:space="preserve">se </w:t>
      </w:r>
      <w:r>
        <w:t xml:space="preserve">dirigir ao público </w:t>
      </w:r>
      <w:r>
        <w:rPr>
          <w:spacing w:val="3"/>
        </w:rPr>
        <w:t xml:space="preserve">em </w:t>
      </w:r>
      <w:r>
        <w:t xml:space="preserve">geral e não só às mulheres. Até </w:t>
      </w:r>
      <w:r>
        <w:rPr>
          <w:spacing w:val="2"/>
        </w:rPr>
        <w:t xml:space="preserve">por </w:t>
      </w:r>
      <w:r>
        <w:t xml:space="preserve">isso optam pelo formato de noticiar generalidades e não focar no gênero </w:t>
      </w:r>
      <w:r>
        <w:rPr>
          <w:spacing w:val="19"/>
        </w:rPr>
        <w:t xml:space="preserve"> </w:t>
      </w:r>
      <w:r>
        <w:t>feminino.</w:t>
      </w:r>
    </w:p>
    <w:p w:rsidR="00CC7D10" w:rsidRDefault="00CC7D10" w:rsidP="00CC7D10">
      <w:pPr>
        <w:pStyle w:val="Corpodetexto"/>
        <w:spacing w:before="6" w:line="364" w:lineRule="auto"/>
        <w:ind w:right="98"/>
        <w:jc w:val="both"/>
      </w:pPr>
      <w:r>
        <w:t xml:space="preserve">O editorial do número 1, novembro-dezembro de 1990, do periódico </w:t>
      </w:r>
      <w:r>
        <w:rPr>
          <w:i/>
        </w:rPr>
        <w:t>Fala, Mulher</w:t>
      </w:r>
      <w:r>
        <w:t xml:space="preserve">, publicado em João Pessoa (PB), também explica os motivos de </w:t>
      </w:r>
      <w:r>
        <w:rPr>
          <w:spacing w:val="-3"/>
        </w:rPr>
        <w:t xml:space="preserve">se </w:t>
      </w:r>
      <w:r>
        <w:t xml:space="preserve">optar </w:t>
      </w:r>
      <w:r>
        <w:rPr>
          <w:spacing w:val="2"/>
        </w:rPr>
        <w:t xml:space="preserve">por </w:t>
      </w:r>
      <w:r>
        <w:t xml:space="preserve">um jornal de linha editorial mais ampla. Além disso, ele aponta outra vocação </w:t>
      </w:r>
      <w:r>
        <w:rPr>
          <w:spacing w:val="2"/>
        </w:rPr>
        <w:t xml:space="preserve">dos </w:t>
      </w:r>
      <w:r>
        <w:t xml:space="preserve">noticiosos: a documentação do movimento </w:t>
      </w:r>
      <w:r>
        <w:rPr>
          <w:spacing w:val="42"/>
        </w:rPr>
        <w:t xml:space="preserve"> </w:t>
      </w:r>
      <w:r>
        <w:t>feminista.</w:t>
      </w:r>
    </w:p>
    <w:p w:rsidR="00CC7D10" w:rsidRDefault="00CC7D10" w:rsidP="00CC7D10">
      <w:pPr>
        <w:spacing w:before="1"/>
        <w:rPr>
          <w:rFonts w:ascii="Times New Roman" w:eastAsia="Times New Roman" w:hAnsi="Times New Roman"/>
          <w:sz w:val="20"/>
          <w:szCs w:val="20"/>
        </w:rPr>
      </w:pPr>
    </w:p>
    <w:p w:rsidR="00CC7D10" w:rsidRDefault="00CC7D10" w:rsidP="00CC7D10">
      <w:pPr>
        <w:spacing w:line="247" w:lineRule="auto"/>
        <w:ind w:left="1345" w:right="105" w:hanging="1"/>
        <w:rPr>
          <w:rFonts w:ascii="Times New Roman" w:eastAsia="Times New Roman" w:hAnsi="Times New Roman"/>
          <w:sz w:val="19"/>
          <w:szCs w:val="19"/>
        </w:rPr>
      </w:pPr>
      <w:r>
        <w:rPr>
          <w:rFonts w:ascii="Times New Roman" w:hAnsi="Times New Roman"/>
          <w:w w:val="105"/>
          <w:sz w:val="19"/>
        </w:rPr>
        <w:t>Escrever juntas a nossa história, a história das mulheres, FALAR através dos seus passos, atos, gritos, emoções,</w:t>
      </w:r>
      <w:r>
        <w:rPr>
          <w:rFonts w:ascii="Times New Roman" w:hAnsi="Times New Roman"/>
          <w:spacing w:val="-5"/>
          <w:w w:val="105"/>
          <w:sz w:val="19"/>
        </w:rPr>
        <w:t xml:space="preserve"> </w:t>
      </w:r>
      <w:r>
        <w:rPr>
          <w:rFonts w:ascii="Times New Roman" w:hAnsi="Times New Roman"/>
          <w:w w:val="105"/>
          <w:sz w:val="19"/>
        </w:rPr>
        <w:t>rebeldia</w:t>
      </w:r>
      <w:r>
        <w:rPr>
          <w:rFonts w:ascii="Times New Roman" w:hAnsi="Times New Roman"/>
          <w:spacing w:val="-8"/>
          <w:w w:val="105"/>
          <w:sz w:val="19"/>
        </w:rPr>
        <w:t xml:space="preserve"> </w:t>
      </w:r>
      <w:r>
        <w:rPr>
          <w:rFonts w:ascii="Times New Roman" w:hAnsi="Times New Roman"/>
          <w:w w:val="105"/>
          <w:sz w:val="19"/>
        </w:rPr>
        <w:t>[...]</w:t>
      </w:r>
      <w:r>
        <w:rPr>
          <w:rFonts w:ascii="Times New Roman" w:hAnsi="Times New Roman"/>
          <w:spacing w:val="-3"/>
          <w:w w:val="105"/>
          <w:sz w:val="19"/>
        </w:rPr>
        <w:t xml:space="preserve"> fazer</w:t>
      </w:r>
      <w:r>
        <w:rPr>
          <w:rFonts w:ascii="Times New Roman" w:hAnsi="Times New Roman"/>
          <w:spacing w:val="-6"/>
          <w:w w:val="105"/>
          <w:sz w:val="19"/>
        </w:rPr>
        <w:t xml:space="preserve"> </w:t>
      </w:r>
      <w:r>
        <w:rPr>
          <w:rFonts w:ascii="Times New Roman" w:hAnsi="Times New Roman"/>
          <w:w w:val="105"/>
          <w:sz w:val="19"/>
        </w:rPr>
        <w:t>a</w:t>
      </w:r>
      <w:r>
        <w:rPr>
          <w:rFonts w:ascii="Times New Roman" w:hAnsi="Times New Roman"/>
          <w:spacing w:val="-8"/>
          <w:w w:val="105"/>
          <w:sz w:val="19"/>
        </w:rPr>
        <w:t xml:space="preserve"> </w:t>
      </w:r>
      <w:r>
        <w:rPr>
          <w:rFonts w:ascii="Times New Roman" w:hAnsi="Times New Roman"/>
          <w:w w:val="105"/>
          <w:sz w:val="19"/>
        </w:rPr>
        <w:t>história,</w:t>
      </w:r>
      <w:r>
        <w:rPr>
          <w:rFonts w:ascii="Times New Roman" w:hAnsi="Times New Roman"/>
          <w:spacing w:val="-5"/>
          <w:w w:val="105"/>
          <w:sz w:val="19"/>
        </w:rPr>
        <w:t xml:space="preserve"> </w:t>
      </w:r>
      <w:r>
        <w:rPr>
          <w:rFonts w:ascii="Times New Roman" w:hAnsi="Times New Roman"/>
          <w:w w:val="105"/>
          <w:sz w:val="19"/>
        </w:rPr>
        <w:t>romper</w:t>
      </w:r>
      <w:r>
        <w:rPr>
          <w:rFonts w:ascii="Times New Roman" w:hAnsi="Times New Roman"/>
          <w:spacing w:val="-6"/>
          <w:w w:val="105"/>
          <w:sz w:val="19"/>
        </w:rPr>
        <w:t xml:space="preserve"> </w:t>
      </w:r>
      <w:r>
        <w:rPr>
          <w:rFonts w:ascii="Times New Roman" w:hAnsi="Times New Roman"/>
          <w:w w:val="105"/>
          <w:sz w:val="19"/>
        </w:rPr>
        <w:t>o</w:t>
      </w:r>
      <w:r>
        <w:rPr>
          <w:rFonts w:ascii="Times New Roman" w:hAnsi="Times New Roman"/>
          <w:spacing w:val="-7"/>
          <w:w w:val="105"/>
          <w:sz w:val="19"/>
        </w:rPr>
        <w:t xml:space="preserve"> </w:t>
      </w:r>
      <w:r>
        <w:rPr>
          <w:rFonts w:ascii="Times New Roman" w:hAnsi="Times New Roman"/>
          <w:w w:val="105"/>
          <w:sz w:val="19"/>
        </w:rPr>
        <w:t>silêncio,</w:t>
      </w:r>
      <w:r>
        <w:rPr>
          <w:rFonts w:ascii="Times New Roman" w:hAnsi="Times New Roman"/>
          <w:spacing w:val="-8"/>
          <w:w w:val="105"/>
          <w:sz w:val="19"/>
        </w:rPr>
        <w:t xml:space="preserve"> </w:t>
      </w:r>
      <w:r>
        <w:rPr>
          <w:rFonts w:ascii="Times New Roman" w:hAnsi="Times New Roman"/>
          <w:w w:val="105"/>
          <w:sz w:val="19"/>
        </w:rPr>
        <w:t>transgredir</w:t>
      </w:r>
      <w:r>
        <w:rPr>
          <w:rFonts w:ascii="Times New Roman" w:hAnsi="Times New Roman"/>
          <w:spacing w:val="-6"/>
          <w:w w:val="105"/>
          <w:sz w:val="19"/>
        </w:rPr>
        <w:t xml:space="preserve"> </w:t>
      </w:r>
      <w:r>
        <w:rPr>
          <w:rFonts w:ascii="Times New Roman" w:hAnsi="Times New Roman"/>
          <w:w w:val="105"/>
          <w:sz w:val="19"/>
        </w:rPr>
        <w:t>a</w:t>
      </w:r>
      <w:r>
        <w:rPr>
          <w:rFonts w:ascii="Times New Roman" w:hAnsi="Times New Roman"/>
          <w:spacing w:val="-8"/>
          <w:w w:val="105"/>
          <w:sz w:val="19"/>
        </w:rPr>
        <w:t xml:space="preserve"> </w:t>
      </w:r>
      <w:r>
        <w:rPr>
          <w:rFonts w:ascii="Times New Roman" w:hAnsi="Times New Roman"/>
          <w:w w:val="105"/>
          <w:sz w:val="19"/>
        </w:rPr>
        <w:t>ordem</w:t>
      </w:r>
      <w:r>
        <w:rPr>
          <w:rFonts w:ascii="Times New Roman" w:hAnsi="Times New Roman"/>
          <w:spacing w:val="-7"/>
          <w:w w:val="105"/>
          <w:sz w:val="19"/>
        </w:rPr>
        <w:t xml:space="preserve"> </w:t>
      </w:r>
      <w:r>
        <w:rPr>
          <w:rFonts w:ascii="Times New Roman" w:hAnsi="Times New Roman"/>
          <w:w w:val="105"/>
          <w:sz w:val="19"/>
        </w:rPr>
        <w:t>patriarcal</w:t>
      </w:r>
      <w:r>
        <w:rPr>
          <w:rFonts w:ascii="Times New Roman" w:hAnsi="Times New Roman"/>
          <w:spacing w:val="-9"/>
          <w:w w:val="105"/>
          <w:sz w:val="19"/>
        </w:rPr>
        <w:t xml:space="preserve"> </w:t>
      </w:r>
      <w:r>
        <w:rPr>
          <w:rFonts w:ascii="Times New Roman" w:hAnsi="Times New Roman"/>
          <w:w w:val="105"/>
          <w:sz w:val="19"/>
        </w:rPr>
        <w:t>reinante,</w:t>
      </w:r>
      <w:r>
        <w:rPr>
          <w:rFonts w:ascii="Times New Roman" w:hAnsi="Times New Roman"/>
          <w:spacing w:val="-7"/>
          <w:w w:val="105"/>
          <w:sz w:val="19"/>
        </w:rPr>
        <w:t xml:space="preserve"> </w:t>
      </w:r>
      <w:r>
        <w:rPr>
          <w:rFonts w:ascii="Times New Roman" w:hAnsi="Times New Roman"/>
          <w:w w:val="105"/>
          <w:sz w:val="19"/>
        </w:rPr>
        <w:t xml:space="preserve">transformar as relações de igualdade, homens e mulheres livres e iguais! [...] Nossos objetivos serão a documentação, a memória, a formação e a informação do movimento </w:t>
      </w:r>
      <w:r>
        <w:rPr>
          <w:rFonts w:ascii="Times New Roman" w:hAnsi="Times New Roman"/>
          <w:spacing w:val="3"/>
          <w:w w:val="105"/>
          <w:sz w:val="19"/>
        </w:rPr>
        <w:t xml:space="preserve">de </w:t>
      </w:r>
      <w:r>
        <w:rPr>
          <w:rFonts w:ascii="Times New Roman" w:hAnsi="Times New Roman"/>
          <w:w w:val="105"/>
          <w:sz w:val="19"/>
        </w:rPr>
        <w:t xml:space="preserve">mulheres </w:t>
      </w:r>
      <w:r>
        <w:rPr>
          <w:rFonts w:ascii="Times New Roman" w:hAnsi="Times New Roman"/>
          <w:spacing w:val="3"/>
          <w:w w:val="105"/>
          <w:sz w:val="19"/>
        </w:rPr>
        <w:t xml:space="preserve">da </w:t>
      </w:r>
      <w:r>
        <w:rPr>
          <w:rFonts w:ascii="Times New Roman" w:hAnsi="Times New Roman"/>
          <w:w w:val="105"/>
          <w:sz w:val="19"/>
        </w:rPr>
        <w:t>Paraíba, englobando a discussão dos diversos temas que envolvem o movimento de mulheres, o feminismo e a participação efetiva nos movimentos</w:t>
      </w:r>
      <w:r>
        <w:rPr>
          <w:rFonts w:ascii="Times New Roman" w:hAnsi="Times New Roman"/>
          <w:spacing w:val="-30"/>
          <w:w w:val="105"/>
          <w:sz w:val="19"/>
        </w:rPr>
        <w:t xml:space="preserve"> </w:t>
      </w:r>
      <w:r>
        <w:rPr>
          <w:rFonts w:ascii="Times New Roman" w:hAnsi="Times New Roman"/>
          <w:w w:val="105"/>
          <w:sz w:val="19"/>
        </w:rPr>
        <w:t>sociais.</w:t>
      </w:r>
      <w:r>
        <w:rPr>
          <w:rFonts w:ascii="Times New Roman" w:hAnsi="Times New Roman"/>
          <w:spacing w:val="-29"/>
          <w:w w:val="105"/>
          <w:sz w:val="19"/>
        </w:rPr>
        <w:t xml:space="preserve"> </w:t>
      </w:r>
      <w:r>
        <w:rPr>
          <w:rFonts w:ascii="Times New Roman" w:hAnsi="Times New Roman"/>
          <w:w w:val="105"/>
          <w:sz w:val="19"/>
        </w:rPr>
        <w:t>[...]</w:t>
      </w:r>
    </w:p>
    <w:p w:rsidR="00CC7D10" w:rsidRDefault="00CC7D10" w:rsidP="00CC7D10">
      <w:pPr>
        <w:rPr>
          <w:rFonts w:ascii="Times New Roman" w:eastAsia="Times New Roman" w:hAnsi="Times New Roman"/>
          <w:sz w:val="20"/>
          <w:szCs w:val="20"/>
        </w:rPr>
      </w:pPr>
    </w:p>
    <w:p w:rsidR="00CC7D10" w:rsidRDefault="00CC7D10" w:rsidP="00CC7D10">
      <w:pPr>
        <w:spacing w:before="165" w:line="364" w:lineRule="auto"/>
        <w:ind w:left="116" w:right="104" w:firstLine="700"/>
        <w:rPr>
          <w:rFonts w:ascii="Times New Roman" w:eastAsia="Times New Roman" w:hAnsi="Times New Roman"/>
          <w:sz w:val="23"/>
          <w:szCs w:val="23"/>
        </w:rPr>
      </w:pPr>
      <w:r>
        <w:rPr>
          <w:rFonts w:ascii="Times New Roman" w:eastAsia="Times New Roman" w:hAnsi="Times New Roman"/>
          <w:sz w:val="23"/>
          <w:szCs w:val="23"/>
        </w:rPr>
        <w:t xml:space="preserve">A estratégia de fundar </w:t>
      </w:r>
      <w:r>
        <w:rPr>
          <w:rFonts w:ascii="Times New Roman" w:eastAsia="Times New Roman" w:hAnsi="Times New Roman"/>
          <w:spacing w:val="4"/>
          <w:sz w:val="23"/>
          <w:szCs w:val="23"/>
        </w:rPr>
        <w:t xml:space="preserve">um </w:t>
      </w:r>
      <w:r>
        <w:rPr>
          <w:rFonts w:ascii="Times New Roman" w:eastAsia="Times New Roman" w:hAnsi="Times New Roman"/>
          <w:sz w:val="23"/>
          <w:szCs w:val="23"/>
        </w:rPr>
        <w:t xml:space="preserve">jornal dentro da categoria dos noticiosos também serviu para publicações que tinham como finalidade a preparação do repertório das mulheres para grandes eventos feministas. É o caso da </w:t>
      </w:r>
      <w:r>
        <w:rPr>
          <w:rFonts w:ascii="Times New Roman" w:eastAsia="Times New Roman" w:hAnsi="Times New Roman"/>
          <w:i/>
          <w:spacing w:val="-3"/>
          <w:sz w:val="23"/>
          <w:szCs w:val="23"/>
        </w:rPr>
        <w:t xml:space="preserve">Folha </w:t>
      </w:r>
      <w:r>
        <w:rPr>
          <w:rFonts w:ascii="Times New Roman" w:eastAsia="Times New Roman" w:hAnsi="Times New Roman"/>
          <w:i/>
          <w:sz w:val="23"/>
          <w:szCs w:val="23"/>
        </w:rPr>
        <w:t>da Década – Boletim Informativo do Fórum de Mulheres de São  Paulo  para Avaliação da Década</w:t>
      </w:r>
      <w:r>
        <w:rPr>
          <w:rFonts w:ascii="Times New Roman" w:eastAsia="Times New Roman" w:hAnsi="Times New Roman"/>
          <w:sz w:val="23"/>
          <w:szCs w:val="23"/>
        </w:rPr>
        <w:t xml:space="preserve">. O editorial do número zero deixa claro </w:t>
      </w:r>
      <w:r>
        <w:rPr>
          <w:rFonts w:ascii="Times New Roman" w:eastAsia="Times New Roman" w:hAnsi="Times New Roman"/>
          <w:spacing w:val="22"/>
          <w:sz w:val="23"/>
          <w:szCs w:val="23"/>
        </w:rPr>
        <w:t xml:space="preserve"> </w:t>
      </w:r>
      <w:r>
        <w:rPr>
          <w:rFonts w:ascii="Times New Roman" w:eastAsia="Times New Roman" w:hAnsi="Times New Roman"/>
          <w:sz w:val="23"/>
          <w:szCs w:val="23"/>
        </w:rPr>
        <w:t>que:</w:t>
      </w:r>
    </w:p>
    <w:p w:rsidR="00CC7D10" w:rsidRDefault="00CC7D10" w:rsidP="00CC7D10">
      <w:pPr>
        <w:spacing w:before="6"/>
        <w:rPr>
          <w:rFonts w:ascii="Times New Roman" w:eastAsia="Times New Roman" w:hAnsi="Times New Roman"/>
          <w:sz w:val="20"/>
          <w:szCs w:val="20"/>
        </w:rPr>
      </w:pPr>
    </w:p>
    <w:p w:rsidR="00CC7D10" w:rsidRDefault="00CC7D10" w:rsidP="00CC7D10">
      <w:pPr>
        <w:spacing w:line="247" w:lineRule="auto"/>
        <w:ind w:left="1340" w:right="104"/>
        <w:rPr>
          <w:rFonts w:ascii="Times New Roman" w:eastAsia="Times New Roman" w:hAnsi="Times New Roman"/>
          <w:sz w:val="19"/>
          <w:szCs w:val="19"/>
        </w:rPr>
      </w:pPr>
      <w:r>
        <w:rPr>
          <w:rFonts w:ascii="Times New Roman" w:hAnsi="Times New Roman"/>
          <w:w w:val="105"/>
          <w:sz w:val="19"/>
        </w:rPr>
        <w:lastRenderedPageBreak/>
        <w:t>[...]</w:t>
      </w:r>
      <w:r>
        <w:rPr>
          <w:rFonts w:ascii="Times New Roman" w:hAnsi="Times New Roman"/>
          <w:spacing w:val="-3"/>
          <w:w w:val="105"/>
          <w:sz w:val="19"/>
        </w:rPr>
        <w:t xml:space="preserve"> </w:t>
      </w:r>
      <w:r>
        <w:rPr>
          <w:rFonts w:ascii="Times New Roman" w:hAnsi="Times New Roman"/>
          <w:w w:val="105"/>
          <w:sz w:val="19"/>
        </w:rPr>
        <w:t>a</w:t>
      </w:r>
      <w:r>
        <w:rPr>
          <w:rFonts w:ascii="Times New Roman" w:hAnsi="Times New Roman"/>
          <w:spacing w:val="-5"/>
          <w:w w:val="105"/>
          <w:sz w:val="19"/>
        </w:rPr>
        <w:t xml:space="preserve"> </w:t>
      </w:r>
      <w:r>
        <w:rPr>
          <w:rFonts w:ascii="Times New Roman" w:hAnsi="Times New Roman"/>
          <w:w w:val="105"/>
          <w:sz w:val="19"/>
        </w:rPr>
        <w:t>Folha</w:t>
      </w:r>
      <w:r>
        <w:rPr>
          <w:rFonts w:ascii="Times New Roman" w:hAnsi="Times New Roman"/>
          <w:spacing w:val="-1"/>
          <w:w w:val="105"/>
          <w:sz w:val="19"/>
        </w:rPr>
        <w:t xml:space="preserve"> </w:t>
      </w:r>
      <w:r>
        <w:rPr>
          <w:rFonts w:ascii="Times New Roman" w:hAnsi="Times New Roman"/>
          <w:w w:val="105"/>
          <w:sz w:val="19"/>
        </w:rPr>
        <w:t>da</w:t>
      </w:r>
      <w:r>
        <w:rPr>
          <w:rFonts w:ascii="Times New Roman" w:hAnsi="Times New Roman"/>
          <w:spacing w:val="-5"/>
          <w:w w:val="105"/>
          <w:sz w:val="19"/>
        </w:rPr>
        <w:t xml:space="preserve"> </w:t>
      </w:r>
      <w:r>
        <w:rPr>
          <w:rFonts w:ascii="Times New Roman" w:hAnsi="Times New Roman"/>
          <w:w w:val="105"/>
          <w:sz w:val="19"/>
        </w:rPr>
        <w:t>Década</w:t>
      </w:r>
      <w:r>
        <w:rPr>
          <w:rFonts w:ascii="Times New Roman" w:hAnsi="Times New Roman"/>
          <w:spacing w:val="-1"/>
          <w:w w:val="105"/>
          <w:sz w:val="19"/>
        </w:rPr>
        <w:t xml:space="preserve"> </w:t>
      </w:r>
      <w:r>
        <w:rPr>
          <w:rFonts w:ascii="Times New Roman" w:hAnsi="Times New Roman"/>
          <w:spacing w:val="-3"/>
          <w:w w:val="105"/>
          <w:sz w:val="19"/>
        </w:rPr>
        <w:t>vai</w:t>
      </w:r>
      <w:r>
        <w:rPr>
          <w:rFonts w:ascii="Times New Roman" w:hAnsi="Times New Roman"/>
          <w:spacing w:val="-2"/>
          <w:w w:val="105"/>
          <w:sz w:val="19"/>
        </w:rPr>
        <w:t xml:space="preserve"> </w:t>
      </w:r>
      <w:r>
        <w:rPr>
          <w:rFonts w:ascii="Times New Roman" w:hAnsi="Times New Roman"/>
          <w:w w:val="105"/>
          <w:sz w:val="19"/>
        </w:rPr>
        <w:t>acompanhar</w:t>
      </w:r>
      <w:r>
        <w:rPr>
          <w:rFonts w:ascii="Times New Roman" w:hAnsi="Times New Roman"/>
          <w:spacing w:val="-3"/>
          <w:w w:val="105"/>
          <w:sz w:val="19"/>
        </w:rPr>
        <w:t xml:space="preserve"> </w:t>
      </w:r>
      <w:r>
        <w:rPr>
          <w:rFonts w:ascii="Times New Roman" w:hAnsi="Times New Roman"/>
          <w:w w:val="105"/>
          <w:sz w:val="19"/>
        </w:rPr>
        <w:t>todas</w:t>
      </w:r>
      <w:r>
        <w:rPr>
          <w:rFonts w:ascii="Times New Roman" w:hAnsi="Times New Roman"/>
          <w:spacing w:val="-4"/>
          <w:w w:val="105"/>
          <w:sz w:val="19"/>
        </w:rPr>
        <w:t xml:space="preserve"> </w:t>
      </w:r>
      <w:r>
        <w:rPr>
          <w:rFonts w:ascii="Times New Roman" w:hAnsi="Times New Roman"/>
          <w:w w:val="105"/>
          <w:sz w:val="19"/>
        </w:rPr>
        <w:t>as</w:t>
      </w:r>
      <w:r>
        <w:rPr>
          <w:rFonts w:ascii="Times New Roman" w:hAnsi="Times New Roman"/>
          <w:spacing w:val="-4"/>
          <w:w w:val="105"/>
          <w:sz w:val="19"/>
        </w:rPr>
        <w:t xml:space="preserve"> </w:t>
      </w:r>
      <w:r>
        <w:rPr>
          <w:rFonts w:ascii="Times New Roman" w:hAnsi="Times New Roman"/>
          <w:w w:val="105"/>
          <w:sz w:val="19"/>
        </w:rPr>
        <w:t>atividades</w:t>
      </w:r>
      <w:r>
        <w:rPr>
          <w:rFonts w:ascii="Times New Roman" w:hAnsi="Times New Roman"/>
          <w:spacing w:val="-4"/>
          <w:w w:val="105"/>
          <w:sz w:val="19"/>
        </w:rPr>
        <w:t xml:space="preserve"> </w:t>
      </w:r>
      <w:r>
        <w:rPr>
          <w:rFonts w:ascii="Times New Roman" w:hAnsi="Times New Roman"/>
          <w:w w:val="105"/>
          <w:sz w:val="19"/>
        </w:rPr>
        <w:t>do</w:t>
      </w:r>
      <w:r>
        <w:rPr>
          <w:rFonts w:ascii="Times New Roman" w:hAnsi="Times New Roman"/>
          <w:spacing w:val="-3"/>
          <w:w w:val="105"/>
          <w:sz w:val="19"/>
        </w:rPr>
        <w:t xml:space="preserve"> </w:t>
      </w:r>
      <w:r>
        <w:rPr>
          <w:rFonts w:ascii="Times New Roman" w:hAnsi="Times New Roman"/>
          <w:w w:val="105"/>
          <w:sz w:val="19"/>
        </w:rPr>
        <w:t>Fórum.</w:t>
      </w:r>
      <w:r>
        <w:rPr>
          <w:rFonts w:ascii="Times New Roman" w:hAnsi="Times New Roman"/>
          <w:spacing w:val="-9"/>
          <w:w w:val="105"/>
          <w:sz w:val="19"/>
        </w:rPr>
        <w:t xml:space="preserve"> </w:t>
      </w:r>
      <w:r>
        <w:rPr>
          <w:rFonts w:ascii="Times New Roman" w:hAnsi="Times New Roman"/>
          <w:w w:val="105"/>
          <w:sz w:val="19"/>
        </w:rPr>
        <w:t>Pretende</w:t>
      </w:r>
      <w:r>
        <w:rPr>
          <w:rFonts w:ascii="Times New Roman" w:hAnsi="Times New Roman"/>
          <w:spacing w:val="-5"/>
          <w:w w:val="105"/>
          <w:sz w:val="19"/>
        </w:rPr>
        <w:t xml:space="preserve"> </w:t>
      </w:r>
      <w:r>
        <w:rPr>
          <w:rFonts w:ascii="Times New Roman" w:hAnsi="Times New Roman"/>
          <w:w w:val="105"/>
          <w:sz w:val="19"/>
        </w:rPr>
        <w:t>ser</w:t>
      </w:r>
      <w:r>
        <w:rPr>
          <w:rFonts w:ascii="Times New Roman" w:hAnsi="Times New Roman"/>
          <w:spacing w:val="-3"/>
          <w:w w:val="105"/>
          <w:sz w:val="19"/>
        </w:rPr>
        <w:t xml:space="preserve"> </w:t>
      </w:r>
      <w:r>
        <w:rPr>
          <w:rFonts w:ascii="Times New Roman" w:hAnsi="Times New Roman"/>
          <w:w w:val="105"/>
          <w:sz w:val="19"/>
        </w:rPr>
        <w:t>um</w:t>
      </w:r>
      <w:r>
        <w:rPr>
          <w:rFonts w:ascii="Times New Roman" w:hAnsi="Times New Roman"/>
          <w:spacing w:val="-3"/>
          <w:w w:val="105"/>
          <w:sz w:val="19"/>
        </w:rPr>
        <w:t xml:space="preserve"> </w:t>
      </w:r>
      <w:r>
        <w:rPr>
          <w:rFonts w:ascii="Times New Roman" w:hAnsi="Times New Roman"/>
          <w:w w:val="105"/>
          <w:sz w:val="19"/>
        </w:rPr>
        <w:t>veículo</w:t>
      </w:r>
      <w:r>
        <w:rPr>
          <w:rFonts w:ascii="Times New Roman" w:hAnsi="Times New Roman"/>
          <w:spacing w:val="-3"/>
          <w:w w:val="105"/>
          <w:sz w:val="19"/>
        </w:rPr>
        <w:t xml:space="preserve"> </w:t>
      </w:r>
      <w:r>
        <w:rPr>
          <w:rFonts w:ascii="Times New Roman" w:hAnsi="Times New Roman"/>
          <w:w w:val="105"/>
          <w:sz w:val="19"/>
        </w:rPr>
        <w:t>ágil,</w:t>
      </w:r>
      <w:r>
        <w:rPr>
          <w:rFonts w:ascii="Times New Roman" w:hAnsi="Times New Roman"/>
          <w:spacing w:val="-2"/>
          <w:w w:val="105"/>
          <w:sz w:val="19"/>
        </w:rPr>
        <w:t xml:space="preserve"> </w:t>
      </w:r>
      <w:r>
        <w:rPr>
          <w:rFonts w:ascii="Times New Roman" w:hAnsi="Times New Roman"/>
          <w:w w:val="105"/>
          <w:sz w:val="19"/>
        </w:rPr>
        <w:t>para</w:t>
      </w:r>
      <w:r>
        <w:rPr>
          <w:rFonts w:ascii="Times New Roman" w:hAnsi="Times New Roman"/>
          <w:spacing w:val="-5"/>
          <w:w w:val="105"/>
          <w:sz w:val="19"/>
        </w:rPr>
        <w:t xml:space="preserve"> </w:t>
      </w:r>
      <w:r>
        <w:rPr>
          <w:rFonts w:ascii="Times New Roman" w:hAnsi="Times New Roman"/>
          <w:w w:val="105"/>
          <w:sz w:val="19"/>
        </w:rPr>
        <w:t xml:space="preserve">que cada vez mais mulheres tenham acesso </w:t>
      </w:r>
      <w:r>
        <w:rPr>
          <w:rFonts w:ascii="Times New Roman" w:hAnsi="Times New Roman"/>
          <w:spacing w:val="-3"/>
          <w:w w:val="105"/>
          <w:sz w:val="19"/>
        </w:rPr>
        <w:t xml:space="preserve">às </w:t>
      </w:r>
      <w:r>
        <w:rPr>
          <w:rFonts w:ascii="Times New Roman" w:hAnsi="Times New Roman"/>
          <w:w w:val="105"/>
          <w:sz w:val="19"/>
        </w:rPr>
        <w:t xml:space="preserve">informações, todas as mulheres organizadas nos bairros, grupos feministas, comissões de sindicatos e partidos políticos, grupos de mulheres negras, de lésbicas, de </w:t>
      </w:r>
      <w:r>
        <w:rPr>
          <w:rFonts w:ascii="Times New Roman" w:hAnsi="Times New Roman"/>
          <w:spacing w:val="-2"/>
          <w:w w:val="105"/>
          <w:sz w:val="19"/>
        </w:rPr>
        <w:t xml:space="preserve">teólogas, </w:t>
      </w:r>
      <w:r>
        <w:rPr>
          <w:rFonts w:ascii="Times New Roman" w:hAnsi="Times New Roman"/>
          <w:sz w:val="19"/>
        </w:rPr>
        <w:t xml:space="preserve">pesquisadoras e mulheres </w:t>
      </w:r>
      <w:r>
        <w:rPr>
          <w:rFonts w:ascii="Times New Roman" w:hAnsi="Times New Roman"/>
          <w:spacing w:val="7"/>
          <w:sz w:val="19"/>
        </w:rPr>
        <w:t xml:space="preserve"> </w:t>
      </w:r>
      <w:r>
        <w:rPr>
          <w:rFonts w:ascii="Times New Roman" w:hAnsi="Times New Roman"/>
          <w:sz w:val="19"/>
        </w:rPr>
        <w:t>independentes.</w:t>
      </w:r>
    </w:p>
    <w:p w:rsidR="00CC7D10" w:rsidRDefault="00CC7D10" w:rsidP="00CC7D10">
      <w:pPr>
        <w:spacing w:before="6"/>
        <w:rPr>
          <w:rFonts w:ascii="Times New Roman" w:eastAsia="Times New Roman" w:hAnsi="Times New Roman"/>
          <w:sz w:val="18"/>
          <w:szCs w:val="18"/>
        </w:rPr>
      </w:pPr>
    </w:p>
    <w:p w:rsidR="00BC7986" w:rsidRDefault="00BC7986" w:rsidP="00CC7D10">
      <w:pPr>
        <w:pStyle w:val="Corpodetexto"/>
        <w:spacing w:line="364" w:lineRule="auto"/>
        <w:ind w:right="101"/>
        <w:jc w:val="both"/>
      </w:pPr>
    </w:p>
    <w:p w:rsidR="00CC7D10" w:rsidRDefault="00CC7D10" w:rsidP="00BC7986">
      <w:pPr>
        <w:pStyle w:val="Corpodetexto"/>
        <w:spacing w:line="364" w:lineRule="auto"/>
        <w:ind w:right="101"/>
        <w:jc w:val="both"/>
      </w:pPr>
      <w:r>
        <w:t xml:space="preserve">Interessante frisar </w:t>
      </w:r>
      <w:r>
        <w:rPr>
          <w:spacing w:val="2"/>
        </w:rPr>
        <w:t xml:space="preserve">que dos </w:t>
      </w:r>
      <w:r>
        <w:t xml:space="preserve">nove jornais que compõem a primeira geração da imprensa feminista, oito são noticiosos (um é da categoria universitário), ou seja, não são especializados em um  tema. Abordam assuntos em geral, do ponto de vista das mulheres, gerando um </w:t>
      </w:r>
      <w:r>
        <w:rPr>
          <w:i/>
        </w:rPr>
        <w:t xml:space="preserve">mix </w:t>
      </w:r>
      <w:r>
        <w:t xml:space="preserve">de notícias. Tal fato se justifica pelo que apontamos como uma das características que marca a diferença entre  primeira  e segunda  geração: </w:t>
      </w:r>
      <w:r>
        <w:rPr>
          <w:spacing w:val="4"/>
        </w:rPr>
        <w:t xml:space="preserve">os </w:t>
      </w:r>
      <w:r>
        <w:t>veículos  da primeira  geração  buscavam  temas  gerais  que  interessassem  a  toda</w:t>
      </w:r>
      <w:r>
        <w:rPr>
          <w:spacing w:val="18"/>
        </w:rPr>
        <w:t xml:space="preserve"> </w:t>
      </w:r>
      <w:r>
        <w:t>a</w:t>
      </w:r>
      <w:r w:rsidR="00BC7986">
        <w:t xml:space="preserve"> </w:t>
      </w:r>
      <w:r>
        <w:t xml:space="preserve">sociedade – homens e mulheres. </w:t>
      </w:r>
      <w:r>
        <w:rPr>
          <w:spacing w:val="-3"/>
        </w:rPr>
        <w:t xml:space="preserve">Já </w:t>
      </w:r>
      <w:r>
        <w:t xml:space="preserve">os jornais da segunda geração tendem mais para as especificidades do tema “gênero”, focando suas pautas nos temas relacionados diretamente à </w:t>
      </w:r>
      <w:r>
        <w:rPr>
          <w:spacing w:val="30"/>
        </w:rPr>
        <w:t xml:space="preserve"> </w:t>
      </w:r>
      <w:r>
        <w:t>mulher.</w:t>
      </w:r>
    </w:p>
    <w:p w:rsidR="00CC7D10" w:rsidRDefault="00CC7D10" w:rsidP="00CC7D10">
      <w:pPr>
        <w:pStyle w:val="Corpodetexto"/>
        <w:spacing w:line="364" w:lineRule="auto"/>
        <w:ind w:right="98"/>
        <w:jc w:val="both"/>
      </w:pPr>
      <w:r>
        <w:t xml:space="preserve">A categoria “noticioso” também abriga um subgrupo, os jornais feministas com fins comerciais. São jornais sem ligação política com grupos feministas, mas com conteúdo feminista e administrados por empresas jornalísticas. Nos acervos pesquisados, quatro publicações com esse perfil  foram  registradas, três pertencentes à segunda geração. É o caso do </w:t>
      </w:r>
      <w:r>
        <w:rPr>
          <w:i/>
        </w:rPr>
        <w:t>Correio da Mulher</w:t>
      </w:r>
      <w:r>
        <w:t xml:space="preserve">, de Porto Alegre (RS), editado pela Zero Hora Editora Jornalística S.A., com 30 mil exemplares de tiragem; o </w:t>
      </w:r>
      <w:r>
        <w:rPr>
          <w:i/>
        </w:rPr>
        <w:t>Maria – O Jornal da Maioria</w:t>
      </w:r>
      <w:r>
        <w:t xml:space="preserve">,  de Brasília (DF), publicado pela Dublê Comunicação, com 80 mil exemplares de  tiragem; e  o  jornal </w:t>
      </w:r>
      <w:r>
        <w:rPr>
          <w:i/>
        </w:rPr>
        <w:t>Nova Família</w:t>
      </w:r>
      <w:r>
        <w:t xml:space="preserve">, de </w:t>
      </w:r>
      <w:r>
        <w:rPr>
          <w:spacing w:val="-3"/>
        </w:rPr>
        <w:t xml:space="preserve">São </w:t>
      </w:r>
      <w:r>
        <w:t xml:space="preserve">Paulo (SP), editado pela Nova Pauta Comunicação e Publicações  Ltda.,  com tiragem não declarada. E um pertencente à primeira geração, o </w:t>
      </w:r>
      <w:r>
        <w:rPr>
          <w:i/>
        </w:rPr>
        <w:t>Mulher ABC</w:t>
      </w:r>
      <w:r>
        <w:t xml:space="preserve">, de São Bernardo do Campo, sem tiragem e gráfica declaradas. Apesar dessas publicações não terem o caráter político das demais, elas traziam agenda dos eventos e atos feministas, artigos sobre o feminismo </w:t>
      </w:r>
      <w:r>
        <w:rPr>
          <w:spacing w:val="-6"/>
        </w:rPr>
        <w:t xml:space="preserve">(o </w:t>
      </w:r>
      <w:r>
        <w:t xml:space="preserve">mais comum era o que esclarecia o que é ser feminista, estabelecendo diferenças e igualdades com o que é ser feminina) e entrevistas com lideranças feministas </w:t>
      </w:r>
      <w:r>
        <w:rPr>
          <w:spacing w:val="4"/>
        </w:rPr>
        <w:t xml:space="preserve">da </w:t>
      </w:r>
      <w:r>
        <w:t xml:space="preserve">época. A existência de tais iniciativas comerciais demonstra o interesse crescente </w:t>
      </w:r>
      <w:r>
        <w:rPr>
          <w:spacing w:val="4"/>
        </w:rPr>
        <w:t xml:space="preserve">da </w:t>
      </w:r>
      <w:r>
        <w:t xml:space="preserve">sociedade pelos temas envolvendo o gênero feminino, durante </w:t>
      </w:r>
      <w:r>
        <w:rPr>
          <w:spacing w:val="4"/>
        </w:rPr>
        <w:t xml:space="preserve">os </w:t>
      </w:r>
      <w:r>
        <w:t>anos 1980  e  1990.</w:t>
      </w:r>
    </w:p>
    <w:p w:rsidR="00CC7D10" w:rsidRDefault="00CC7D10" w:rsidP="00CC7D10">
      <w:pPr>
        <w:pStyle w:val="Corpodetexto"/>
        <w:spacing w:before="161" w:line="364" w:lineRule="auto"/>
        <w:ind w:right="98"/>
        <w:jc w:val="both"/>
      </w:pPr>
      <w:r>
        <w:rPr>
          <w:b/>
          <w:bCs/>
        </w:rPr>
        <w:t xml:space="preserve">Estatal </w:t>
      </w:r>
      <w:r>
        <w:t xml:space="preserve">— A categoria “estatal” agregou as publicações feministas com financiamento do </w:t>
      </w:r>
      <w:r>
        <w:lastRenderedPageBreak/>
        <w:t xml:space="preserve">Estado (prefeitura, governo estadual, governo federal, diretamente ou através de empresas públicas) e com linha editorial voltada para a cobertura das ações de políticas públicas dirigidas para a mulher. Na maioria dos casos, os jornais em questão são dirigidos </w:t>
      </w:r>
      <w:r>
        <w:rPr>
          <w:spacing w:val="2"/>
        </w:rPr>
        <w:t xml:space="preserve">por </w:t>
      </w:r>
      <w:r>
        <w:t xml:space="preserve">Conselhos Municipais, Estaduais ou Federal da Condição Feminina. No total de periódicos pesquisados, 10 deles foram classificados como estatais, todos pertencentes à segunda geração da imprensa feminista. Mesmo porque esta é uma forte característica da imprensa feminista da segunda geração: apoio do Estado, que, a partir da abertura política, adota o tema “mulher” como assunto de prioridade política, junto com segurança, saúde, educação e </w:t>
      </w:r>
      <w:r>
        <w:rPr>
          <w:spacing w:val="53"/>
        </w:rPr>
        <w:t xml:space="preserve"> </w:t>
      </w:r>
      <w:r>
        <w:t>habitação.</w:t>
      </w:r>
    </w:p>
    <w:p w:rsidR="00CC7D10" w:rsidRDefault="00CC7D10" w:rsidP="00BC7986">
      <w:pPr>
        <w:pStyle w:val="Corpodetexto"/>
        <w:spacing w:before="1" w:line="367" w:lineRule="auto"/>
        <w:ind w:right="98"/>
        <w:jc w:val="both"/>
      </w:pPr>
      <w:r>
        <w:t xml:space="preserve">Assim como os Conselhos, as publicações tinham como objetivo garantir a participação e a informação das mulheres em todas as áreas do governo. O conteúdo </w:t>
      </w:r>
      <w:r>
        <w:rPr>
          <w:spacing w:val="2"/>
        </w:rPr>
        <w:t xml:space="preserve">dos </w:t>
      </w:r>
      <w:r>
        <w:t>jornais era  marcado  por  informes e matérias sobre a Constituinte, reforma agrária, mulheres negras, violência contra a mulher, educação, encaminhamentos das comissões oficiais voltadas para as mulheres, saúde, dicas de leitura,  lazer e agenda, onde com freqüência aparecem governadores, prefeitos e respectivas primeiras-damas inaugurando</w:t>
      </w:r>
      <w:r>
        <w:rPr>
          <w:spacing w:val="26"/>
        </w:rPr>
        <w:t xml:space="preserve"> </w:t>
      </w:r>
      <w:r>
        <w:t>serviços</w:t>
      </w:r>
      <w:r>
        <w:rPr>
          <w:spacing w:val="18"/>
        </w:rPr>
        <w:t xml:space="preserve"> </w:t>
      </w:r>
      <w:r>
        <w:t>dirigidos</w:t>
      </w:r>
      <w:r>
        <w:rPr>
          <w:spacing w:val="22"/>
        </w:rPr>
        <w:t xml:space="preserve"> </w:t>
      </w:r>
      <w:r>
        <w:t>à</w:t>
      </w:r>
      <w:r>
        <w:rPr>
          <w:spacing w:val="19"/>
        </w:rPr>
        <w:t xml:space="preserve"> </w:t>
      </w:r>
      <w:r>
        <w:t>população</w:t>
      </w:r>
      <w:r>
        <w:rPr>
          <w:spacing w:val="26"/>
        </w:rPr>
        <w:t xml:space="preserve"> </w:t>
      </w:r>
      <w:r>
        <w:t>feminina.</w:t>
      </w:r>
      <w:r>
        <w:rPr>
          <w:spacing w:val="21"/>
        </w:rPr>
        <w:t xml:space="preserve"> </w:t>
      </w:r>
      <w:r>
        <w:t>É</w:t>
      </w:r>
      <w:r>
        <w:rPr>
          <w:spacing w:val="23"/>
        </w:rPr>
        <w:t xml:space="preserve"> </w:t>
      </w:r>
      <w:r>
        <w:t>comum</w:t>
      </w:r>
      <w:r>
        <w:rPr>
          <w:spacing w:val="18"/>
        </w:rPr>
        <w:t xml:space="preserve"> </w:t>
      </w:r>
      <w:r>
        <w:t>a</w:t>
      </w:r>
      <w:r>
        <w:rPr>
          <w:spacing w:val="19"/>
        </w:rPr>
        <w:t xml:space="preserve"> </w:t>
      </w:r>
      <w:r>
        <w:t>presença</w:t>
      </w:r>
      <w:r>
        <w:rPr>
          <w:spacing w:val="19"/>
        </w:rPr>
        <w:t xml:space="preserve"> </w:t>
      </w:r>
      <w:r>
        <w:t>de</w:t>
      </w:r>
      <w:r>
        <w:rPr>
          <w:spacing w:val="25"/>
        </w:rPr>
        <w:t xml:space="preserve"> </w:t>
      </w:r>
      <w:r>
        <w:t>textos</w:t>
      </w:r>
      <w:r>
        <w:rPr>
          <w:spacing w:val="22"/>
        </w:rPr>
        <w:t xml:space="preserve"> </w:t>
      </w:r>
      <w:r>
        <w:t>festejando</w:t>
      </w:r>
      <w:r>
        <w:rPr>
          <w:spacing w:val="26"/>
        </w:rPr>
        <w:t xml:space="preserve"> </w:t>
      </w:r>
      <w:r>
        <w:t>vitórias</w:t>
      </w:r>
      <w:r w:rsidR="00BC7986">
        <w:t xml:space="preserve"> </w:t>
      </w:r>
      <w:r>
        <w:t xml:space="preserve">pré-eleitorais e eleitorais dos partidos governantes </w:t>
      </w:r>
      <w:r>
        <w:rPr>
          <w:spacing w:val="3"/>
        </w:rPr>
        <w:t xml:space="preserve">e, </w:t>
      </w:r>
      <w:r>
        <w:t xml:space="preserve">conseqüentemente, apoiadores da publicação. É o caso do editorial do número zero do </w:t>
      </w:r>
      <w:r>
        <w:rPr>
          <w:i/>
        </w:rPr>
        <w:t>Jornal Mulher</w:t>
      </w:r>
      <w:r>
        <w:t xml:space="preserve">, publicado pelo Conselho Estadual da Condição Feminina de São Paulo (SP), lançado no início da gestão de Orestes Quércia </w:t>
      </w:r>
      <w:r>
        <w:rPr>
          <w:spacing w:val="37"/>
        </w:rPr>
        <w:t xml:space="preserve"> </w:t>
      </w:r>
      <w:r>
        <w:t>(1986-1990).</w:t>
      </w:r>
    </w:p>
    <w:p w:rsidR="00CC7D10" w:rsidRDefault="00CC7D10" w:rsidP="00CC7D10">
      <w:pPr>
        <w:spacing w:before="6"/>
        <w:rPr>
          <w:rFonts w:ascii="Times New Roman" w:eastAsia="Times New Roman" w:hAnsi="Times New Roman"/>
          <w:sz w:val="20"/>
          <w:szCs w:val="20"/>
        </w:rPr>
      </w:pPr>
    </w:p>
    <w:p w:rsidR="00CC7D10" w:rsidRDefault="00CC7D10" w:rsidP="00CC7D10">
      <w:pPr>
        <w:ind w:left="1340"/>
        <w:rPr>
          <w:rFonts w:ascii="Times New Roman" w:eastAsia="Times New Roman" w:hAnsi="Times New Roman"/>
          <w:sz w:val="19"/>
          <w:szCs w:val="19"/>
        </w:rPr>
      </w:pPr>
      <w:r>
        <w:rPr>
          <w:rFonts w:ascii="Times New Roman" w:hAnsi="Times New Roman"/>
          <w:w w:val="105"/>
          <w:sz w:val="19"/>
        </w:rPr>
        <w:t>Alerta</w:t>
      </w:r>
      <w:r>
        <w:rPr>
          <w:rFonts w:ascii="Times New Roman" w:hAnsi="Times New Roman"/>
          <w:spacing w:val="-24"/>
          <w:w w:val="105"/>
          <w:sz w:val="19"/>
        </w:rPr>
        <w:t xml:space="preserve"> </w:t>
      </w:r>
      <w:r>
        <w:rPr>
          <w:rFonts w:ascii="Times New Roman" w:hAnsi="Times New Roman"/>
          <w:w w:val="105"/>
          <w:sz w:val="19"/>
        </w:rPr>
        <w:t>Constituinte:</w:t>
      </w:r>
      <w:r>
        <w:rPr>
          <w:rFonts w:ascii="Times New Roman" w:hAnsi="Times New Roman"/>
          <w:spacing w:val="-25"/>
          <w:w w:val="105"/>
          <w:sz w:val="19"/>
        </w:rPr>
        <w:t xml:space="preserve"> </w:t>
      </w:r>
      <w:r>
        <w:rPr>
          <w:rFonts w:ascii="Times New Roman" w:hAnsi="Times New Roman"/>
          <w:w w:val="105"/>
          <w:sz w:val="19"/>
        </w:rPr>
        <w:t>as</w:t>
      </w:r>
      <w:r>
        <w:rPr>
          <w:rFonts w:ascii="Times New Roman" w:hAnsi="Times New Roman"/>
          <w:spacing w:val="-23"/>
          <w:w w:val="105"/>
          <w:sz w:val="19"/>
        </w:rPr>
        <w:t xml:space="preserve"> </w:t>
      </w:r>
      <w:r>
        <w:rPr>
          <w:rFonts w:ascii="Times New Roman" w:hAnsi="Times New Roman"/>
          <w:w w:val="105"/>
          <w:sz w:val="19"/>
        </w:rPr>
        <w:t>mulheres</w:t>
      </w:r>
      <w:r>
        <w:rPr>
          <w:rFonts w:ascii="Times New Roman" w:hAnsi="Times New Roman"/>
          <w:spacing w:val="-21"/>
          <w:w w:val="105"/>
          <w:sz w:val="19"/>
        </w:rPr>
        <w:t xml:space="preserve"> </w:t>
      </w:r>
      <w:r>
        <w:rPr>
          <w:rFonts w:ascii="Times New Roman" w:hAnsi="Times New Roman"/>
          <w:w w:val="105"/>
          <w:sz w:val="19"/>
        </w:rPr>
        <w:t>estão</w:t>
      </w:r>
      <w:r>
        <w:rPr>
          <w:rFonts w:ascii="Times New Roman" w:hAnsi="Times New Roman"/>
          <w:spacing w:val="-22"/>
          <w:w w:val="105"/>
          <w:sz w:val="19"/>
        </w:rPr>
        <w:t xml:space="preserve"> </w:t>
      </w:r>
      <w:r>
        <w:rPr>
          <w:rFonts w:ascii="Times New Roman" w:hAnsi="Times New Roman"/>
          <w:w w:val="105"/>
          <w:sz w:val="19"/>
        </w:rPr>
        <w:t>chegando!</w:t>
      </w:r>
    </w:p>
    <w:p w:rsidR="00CC7D10" w:rsidRDefault="00CC7D10" w:rsidP="00CC7D10">
      <w:pPr>
        <w:spacing w:before="7" w:line="244" w:lineRule="auto"/>
        <w:ind w:left="1340" w:right="111"/>
        <w:rPr>
          <w:rFonts w:ascii="Times New Roman" w:eastAsia="Times New Roman" w:hAnsi="Times New Roman"/>
          <w:sz w:val="19"/>
          <w:szCs w:val="19"/>
        </w:rPr>
      </w:pPr>
      <w:r>
        <w:rPr>
          <w:rFonts w:ascii="Times New Roman" w:hAnsi="Times New Roman"/>
          <w:w w:val="105"/>
          <w:sz w:val="19"/>
        </w:rPr>
        <w:t xml:space="preserve">Estamos apresentando ao público </w:t>
      </w:r>
      <w:r>
        <w:rPr>
          <w:rFonts w:ascii="Times New Roman" w:hAnsi="Times New Roman"/>
          <w:spacing w:val="-3"/>
          <w:w w:val="105"/>
          <w:sz w:val="19"/>
        </w:rPr>
        <w:t xml:space="preserve">feminino </w:t>
      </w:r>
      <w:r>
        <w:rPr>
          <w:rFonts w:ascii="Times New Roman" w:hAnsi="Times New Roman"/>
          <w:w w:val="105"/>
          <w:sz w:val="19"/>
        </w:rPr>
        <w:t>de nosso Estado o primeiro número do jornal do Conselho Estadual</w:t>
      </w:r>
      <w:r>
        <w:rPr>
          <w:rFonts w:ascii="Times New Roman" w:hAnsi="Times New Roman"/>
          <w:spacing w:val="-11"/>
          <w:w w:val="105"/>
          <w:sz w:val="19"/>
        </w:rPr>
        <w:t xml:space="preserve"> </w:t>
      </w:r>
      <w:r>
        <w:rPr>
          <w:rFonts w:ascii="Times New Roman" w:hAnsi="Times New Roman"/>
          <w:w w:val="105"/>
          <w:sz w:val="19"/>
        </w:rPr>
        <w:t>da</w:t>
      </w:r>
      <w:r>
        <w:rPr>
          <w:rFonts w:ascii="Times New Roman" w:hAnsi="Times New Roman"/>
          <w:spacing w:val="-6"/>
          <w:w w:val="105"/>
          <w:sz w:val="19"/>
        </w:rPr>
        <w:t xml:space="preserve"> </w:t>
      </w:r>
      <w:r>
        <w:rPr>
          <w:rFonts w:ascii="Times New Roman" w:hAnsi="Times New Roman"/>
          <w:w w:val="105"/>
          <w:sz w:val="19"/>
        </w:rPr>
        <w:t>Condição</w:t>
      </w:r>
      <w:r>
        <w:rPr>
          <w:rFonts w:ascii="Times New Roman" w:hAnsi="Times New Roman"/>
          <w:spacing w:val="-7"/>
          <w:w w:val="105"/>
          <w:sz w:val="19"/>
        </w:rPr>
        <w:t xml:space="preserve"> </w:t>
      </w:r>
      <w:r>
        <w:rPr>
          <w:rFonts w:ascii="Times New Roman" w:hAnsi="Times New Roman"/>
          <w:w w:val="105"/>
          <w:sz w:val="19"/>
        </w:rPr>
        <w:t>Feminina.</w:t>
      </w:r>
      <w:r>
        <w:rPr>
          <w:rFonts w:ascii="Times New Roman" w:hAnsi="Times New Roman"/>
          <w:spacing w:val="-10"/>
          <w:w w:val="105"/>
          <w:sz w:val="19"/>
        </w:rPr>
        <w:t xml:space="preserve"> </w:t>
      </w:r>
      <w:r>
        <w:rPr>
          <w:rFonts w:ascii="Times New Roman" w:hAnsi="Times New Roman"/>
          <w:w w:val="105"/>
          <w:sz w:val="19"/>
        </w:rPr>
        <w:t>Ele</w:t>
      </w:r>
      <w:r>
        <w:rPr>
          <w:rFonts w:ascii="Times New Roman" w:hAnsi="Times New Roman"/>
          <w:spacing w:val="-6"/>
          <w:w w:val="105"/>
          <w:sz w:val="19"/>
        </w:rPr>
        <w:t xml:space="preserve"> </w:t>
      </w:r>
      <w:r>
        <w:rPr>
          <w:rFonts w:ascii="Times New Roman" w:hAnsi="Times New Roman"/>
          <w:w w:val="105"/>
          <w:sz w:val="19"/>
        </w:rPr>
        <w:t>chega</w:t>
      </w:r>
      <w:r>
        <w:rPr>
          <w:rFonts w:ascii="Times New Roman" w:hAnsi="Times New Roman"/>
          <w:spacing w:val="-6"/>
          <w:w w:val="105"/>
          <w:sz w:val="19"/>
        </w:rPr>
        <w:t xml:space="preserve"> </w:t>
      </w:r>
      <w:r>
        <w:rPr>
          <w:rFonts w:ascii="Times New Roman" w:hAnsi="Times New Roman"/>
          <w:w w:val="105"/>
          <w:sz w:val="19"/>
        </w:rPr>
        <w:t>em</w:t>
      </w:r>
      <w:r>
        <w:rPr>
          <w:rFonts w:ascii="Times New Roman" w:hAnsi="Times New Roman"/>
          <w:spacing w:val="-8"/>
          <w:w w:val="105"/>
          <w:sz w:val="19"/>
        </w:rPr>
        <w:t xml:space="preserve"> </w:t>
      </w:r>
      <w:r>
        <w:rPr>
          <w:rFonts w:ascii="Times New Roman" w:hAnsi="Times New Roman"/>
          <w:w w:val="105"/>
          <w:sz w:val="19"/>
        </w:rPr>
        <w:t>momento</w:t>
      </w:r>
      <w:r>
        <w:rPr>
          <w:rFonts w:ascii="Times New Roman" w:hAnsi="Times New Roman"/>
          <w:spacing w:val="-9"/>
          <w:w w:val="105"/>
          <w:sz w:val="19"/>
        </w:rPr>
        <w:t xml:space="preserve"> </w:t>
      </w:r>
      <w:r>
        <w:rPr>
          <w:rFonts w:ascii="Times New Roman" w:hAnsi="Times New Roman"/>
          <w:w w:val="105"/>
          <w:sz w:val="19"/>
        </w:rPr>
        <w:t>oportuno</w:t>
      </w:r>
      <w:r>
        <w:rPr>
          <w:rFonts w:ascii="Times New Roman" w:hAnsi="Times New Roman"/>
          <w:spacing w:val="-11"/>
          <w:w w:val="105"/>
          <w:sz w:val="19"/>
        </w:rPr>
        <w:t xml:space="preserve"> </w:t>
      </w:r>
      <w:r>
        <w:rPr>
          <w:rFonts w:ascii="Times New Roman" w:hAnsi="Times New Roman"/>
          <w:w w:val="105"/>
          <w:sz w:val="19"/>
        </w:rPr>
        <w:t>para</w:t>
      </w:r>
      <w:r>
        <w:rPr>
          <w:rFonts w:ascii="Times New Roman" w:hAnsi="Times New Roman"/>
          <w:spacing w:val="-6"/>
          <w:w w:val="105"/>
          <w:sz w:val="19"/>
        </w:rPr>
        <w:t xml:space="preserve"> </w:t>
      </w:r>
      <w:r>
        <w:rPr>
          <w:rFonts w:ascii="Times New Roman" w:hAnsi="Times New Roman"/>
          <w:spacing w:val="-4"/>
          <w:w w:val="105"/>
          <w:sz w:val="19"/>
        </w:rPr>
        <w:t xml:space="preserve">falar </w:t>
      </w:r>
      <w:r>
        <w:rPr>
          <w:rFonts w:ascii="Times New Roman" w:hAnsi="Times New Roman"/>
          <w:w w:val="105"/>
          <w:sz w:val="19"/>
        </w:rPr>
        <w:t>da</w:t>
      </w:r>
      <w:r>
        <w:rPr>
          <w:rFonts w:ascii="Times New Roman" w:hAnsi="Times New Roman"/>
          <w:spacing w:val="-10"/>
          <w:w w:val="105"/>
          <w:sz w:val="19"/>
        </w:rPr>
        <w:t xml:space="preserve"> </w:t>
      </w:r>
      <w:r>
        <w:rPr>
          <w:rFonts w:ascii="Times New Roman" w:hAnsi="Times New Roman"/>
          <w:w w:val="105"/>
          <w:sz w:val="19"/>
        </w:rPr>
        <w:t>mulher,</w:t>
      </w:r>
      <w:r>
        <w:rPr>
          <w:rFonts w:ascii="Times New Roman" w:hAnsi="Times New Roman"/>
          <w:spacing w:val="-10"/>
          <w:w w:val="105"/>
          <w:sz w:val="19"/>
        </w:rPr>
        <w:t xml:space="preserve"> </w:t>
      </w:r>
      <w:r>
        <w:rPr>
          <w:rFonts w:ascii="Times New Roman" w:hAnsi="Times New Roman"/>
          <w:w w:val="105"/>
          <w:sz w:val="19"/>
        </w:rPr>
        <w:t>de</w:t>
      </w:r>
      <w:r>
        <w:rPr>
          <w:rFonts w:ascii="Times New Roman" w:hAnsi="Times New Roman"/>
          <w:spacing w:val="-10"/>
          <w:w w:val="105"/>
          <w:sz w:val="19"/>
        </w:rPr>
        <w:t xml:space="preserve"> </w:t>
      </w:r>
      <w:r>
        <w:rPr>
          <w:rFonts w:ascii="Times New Roman" w:hAnsi="Times New Roman"/>
          <w:w w:val="105"/>
          <w:sz w:val="19"/>
        </w:rPr>
        <w:t>suas</w:t>
      </w:r>
      <w:r>
        <w:rPr>
          <w:rFonts w:ascii="Times New Roman" w:hAnsi="Times New Roman"/>
          <w:spacing w:val="-5"/>
          <w:w w:val="105"/>
          <w:sz w:val="19"/>
        </w:rPr>
        <w:t xml:space="preserve"> </w:t>
      </w:r>
      <w:r>
        <w:rPr>
          <w:rFonts w:ascii="Times New Roman" w:hAnsi="Times New Roman"/>
          <w:w w:val="105"/>
          <w:sz w:val="19"/>
        </w:rPr>
        <w:t>lutas,</w:t>
      </w:r>
      <w:r>
        <w:rPr>
          <w:rFonts w:ascii="Times New Roman" w:hAnsi="Times New Roman"/>
          <w:spacing w:val="-10"/>
          <w:w w:val="105"/>
          <w:sz w:val="19"/>
        </w:rPr>
        <w:t xml:space="preserve"> </w:t>
      </w:r>
      <w:r>
        <w:rPr>
          <w:rFonts w:ascii="Times New Roman" w:hAnsi="Times New Roman"/>
          <w:w w:val="105"/>
          <w:sz w:val="19"/>
        </w:rPr>
        <w:t>de</w:t>
      </w:r>
      <w:r>
        <w:rPr>
          <w:rFonts w:ascii="Times New Roman" w:hAnsi="Times New Roman"/>
          <w:spacing w:val="-10"/>
          <w:w w:val="105"/>
          <w:sz w:val="19"/>
        </w:rPr>
        <w:t xml:space="preserve"> </w:t>
      </w:r>
      <w:r>
        <w:rPr>
          <w:rFonts w:ascii="Times New Roman" w:hAnsi="Times New Roman"/>
          <w:w w:val="105"/>
          <w:sz w:val="19"/>
        </w:rPr>
        <w:t>seus sonhos,</w:t>
      </w:r>
      <w:r>
        <w:rPr>
          <w:rFonts w:ascii="Times New Roman" w:hAnsi="Times New Roman"/>
          <w:spacing w:val="-14"/>
          <w:w w:val="105"/>
          <w:sz w:val="19"/>
        </w:rPr>
        <w:t xml:space="preserve"> </w:t>
      </w:r>
      <w:r>
        <w:rPr>
          <w:rFonts w:ascii="Times New Roman" w:hAnsi="Times New Roman"/>
          <w:w w:val="105"/>
          <w:sz w:val="19"/>
        </w:rPr>
        <w:t>de</w:t>
      </w:r>
      <w:r>
        <w:rPr>
          <w:rFonts w:ascii="Times New Roman" w:hAnsi="Times New Roman"/>
          <w:spacing w:val="-14"/>
          <w:w w:val="105"/>
          <w:sz w:val="19"/>
        </w:rPr>
        <w:t xml:space="preserve"> </w:t>
      </w:r>
      <w:r>
        <w:rPr>
          <w:rFonts w:ascii="Times New Roman" w:hAnsi="Times New Roman"/>
          <w:w w:val="105"/>
          <w:sz w:val="19"/>
        </w:rPr>
        <w:t>seus</w:t>
      </w:r>
      <w:r>
        <w:rPr>
          <w:rFonts w:ascii="Times New Roman" w:hAnsi="Times New Roman"/>
          <w:spacing w:val="-17"/>
          <w:w w:val="105"/>
          <w:sz w:val="19"/>
        </w:rPr>
        <w:t xml:space="preserve"> </w:t>
      </w:r>
      <w:r>
        <w:rPr>
          <w:rFonts w:ascii="Times New Roman" w:hAnsi="Times New Roman"/>
          <w:w w:val="105"/>
          <w:sz w:val="19"/>
        </w:rPr>
        <w:t>projetos</w:t>
      </w:r>
      <w:r>
        <w:rPr>
          <w:rFonts w:ascii="Times New Roman" w:hAnsi="Times New Roman"/>
          <w:spacing w:val="-13"/>
          <w:w w:val="105"/>
          <w:sz w:val="19"/>
        </w:rPr>
        <w:t xml:space="preserve"> </w:t>
      </w:r>
      <w:r>
        <w:rPr>
          <w:rFonts w:ascii="Times New Roman" w:hAnsi="Times New Roman"/>
          <w:w w:val="105"/>
          <w:sz w:val="19"/>
        </w:rPr>
        <w:t>e</w:t>
      </w:r>
      <w:r>
        <w:rPr>
          <w:rFonts w:ascii="Times New Roman" w:hAnsi="Times New Roman"/>
          <w:spacing w:val="-17"/>
          <w:w w:val="105"/>
          <w:sz w:val="19"/>
        </w:rPr>
        <w:t xml:space="preserve"> </w:t>
      </w:r>
      <w:r>
        <w:rPr>
          <w:rFonts w:ascii="Times New Roman" w:hAnsi="Times New Roman"/>
          <w:w w:val="105"/>
          <w:sz w:val="19"/>
        </w:rPr>
        <w:t>de</w:t>
      </w:r>
      <w:r>
        <w:rPr>
          <w:rFonts w:ascii="Times New Roman" w:hAnsi="Times New Roman"/>
          <w:spacing w:val="-14"/>
          <w:w w:val="105"/>
          <w:sz w:val="19"/>
        </w:rPr>
        <w:t xml:space="preserve"> </w:t>
      </w:r>
      <w:r>
        <w:rPr>
          <w:rFonts w:ascii="Times New Roman" w:hAnsi="Times New Roman"/>
          <w:w w:val="105"/>
          <w:sz w:val="19"/>
        </w:rPr>
        <w:t>seu</w:t>
      </w:r>
      <w:r>
        <w:rPr>
          <w:rFonts w:ascii="Times New Roman" w:hAnsi="Times New Roman"/>
          <w:spacing w:val="-7"/>
          <w:w w:val="105"/>
          <w:sz w:val="19"/>
        </w:rPr>
        <w:t xml:space="preserve"> </w:t>
      </w:r>
      <w:r>
        <w:rPr>
          <w:rFonts w:ascii="Times New Roman" w:hAnsi="Times New Roman"/>
          <w:w w:val="105"/>
          <w:sz w:val="19"/>
        </w:rPr>
        <w:t>futuro.</w:t>
      </w:r>
      <w:r>
        <w:rPr>
          <w:rFonts w:ascii="Times New Roman" w:hAnsi="Times New Roman"/>
          <w:spacing w:val="-18"/>
          <w:w w:val="105"/>
          <w:sz w:val="19"/>
        </w:rPr>
        <w:t xml:space="preserve"> </w:t>
      </w:r>
      <w:r>
        <w:rPr>
          <w:rFonts w:ascii="Times New Roman" w:hAnsi="Times New Roman"/>
          <w:w w:val="105"/>
          <w:sz w:val="19"/>
        </w:rPr>
        <w:t>[...]</w:t>
      </w:r>
    </w:p>
    <w:p w:rsidR="00CC7D10" w:rsidRDefault="00CC7D10" w:rsidP="00CC7D10">
      <w:pPr>
        <w:spacing w:before="3" w:line="244" w:lineRule="auto"/>
        <w:ind w:left="1340" w:right="105"/>
        <w:rPr>
          <w:rFonts w:ascii="Times New Roman" w:eastAsia="Times New Roman" w:hAnsi="Times New Roman"/>
          <w:sz w:val="19"/>
          <w:szCs w:val="19"/>
        </w:rPr>
      </w:pPr>
      <w:r>
        <w:rPr>
          <w:rFonts w:ascii="Times New Roman" w:hAnsi="Times New Roman"/>
          <w:w w:val="105"/>
          <w:sz w:val="19"/>
        </w:rPr>
        <w:t xml:space="preserve">Estivemos em Belo Horizonte [...] para participar </w:t>
      </w:r>
      <w:r>
        <w:rPr>
          <w:rFonts w:ascii="Times New Roman" w:hAnsi="Times New Roman"/>
          <w:spacing w:val="-3"/>
          <w:w w:val="105"/>
          <w:sz w:val="19"/>
        </w:rPr>
        <w:t xml:space="preserve">de </w:t>
      </w:r>
      <w:r>
        <w:rPr>
          <w:rFonts w:ascii="Times New Roman" w:hAnsi="Times New Roman"/>
          <w:w w:val="105"/>
          <w:sz w:val="19"/>
        </w:rPr>
        <w:t xml:space="preserve">uma grande promoção da </w:t>
      </w:r>
      <w:r>
        <w:rPr>
          <w:rFonts w:ascii="Times New Roman" w:hAnsi="Times New Roman"/>
          <w:spacing w:val="-3"/>
          <w:w w:val="105"/>
          <w:sz w:val="19"/>
        </w:rPr>
        <w:t xml:space="preserve">Federação </w:t>
      </w:r>
      <w:r>
        <w:rPr>
          <w:rFonts w:ascii="Times New Roman" w:hAnsi="Times New Roman"/>
          <w:w w:val="105"/>
          <w:sz w:val="19"/>
        </w:rPr>
        <w:t>de Mulheres Mineiras</w:t>
      </w:r>
      <w:r>
        <w:rPr>
          <w:rFonts w:ascii="Times New Roman" w:hAnsi="Times New Roman"/>
          <w:spacing w:val="-9"/>
          <w:w w:val="105"/>
          <w:sz w:val="19"/>
        </w:rPr>
        <w:t xml:space="preserve"> </w:t>
      </w:r>
      <w:r>
        <w:rPr>
          <w:rFonts w:ascii="Times New Roman" w:hAnsi="Times New Roman"/>
          <w:spacing w:val="-3"/>
          <w:w w:val="105"/>
          <w:sz w:val="19"/>
        </w:rPr>
        <w:t>ao</w:t>
      </w:r>
      <w:r>
        <w:rPr>
          <w:rFonts w:ascii="Times New Roman" w:hAnsi="Times New Roman"/>
          <w:spacing w:val="-7"/>
          <w:w w:val="105"/>
          <w:sz w:val="19"/>
        </w:rPr>
        <w:t xml:space="preserve"> </w:t>
      </w:r>
      <w:r>
        <w:rPr>
          <w:rFonts w:ascii="Times New Roman" w:hAnsi="Times New Roman"/>
          <w:w w:val="105"/>
          <w:sz w:val="19"/>
        </w:rPr>
        <w:t>lançamento</w:t>
      </w:r>
      <w:r>
        <w:rPr>
          <w:rFonts w:ascii="Times New Roman" w:hAnsi="Times New Roman"/>
          <w:spacing w:val="-11"/>
          <w:w w:val="105"/>
          <w:sz w:val="19"/>
        </w:rPr>
        <w:t xml:space="preserve"> </w:t>
      </w:r>
      <w:r>
        <w:rPr>
          <w:rFonts w:ascii="Times New Roman" w:hAnsi="Times New Roman"/>
          <w:w w:val="105"/>
          <w:sz w:val="19"/>
        </w:rPr>
        <w:t>das</w:t>
      </w:r>
      <w:r>
        <w:rPr>
          <w:rFonts w:ascii="Times New Roman" w:hAnsi="Times New Roman"/>
          <w:spacing w:val="-12"/>
          <w:w w:val="105"/>
          <w:sz w:val="19"/>
        </w:rPr>
        <w:t xml:space="preserve"> </w:t>
      </w:r>
      <w:r>
        <w:rPr>
          <w:rFonts w:ascii="Times New Roman" w:hAnsi="Times New Roman"/>
          <w:w w:val="105"/>
          <w:sz w:val="19"/>
        </w:rPr>
        <w:t>pré-candidatas</w:t>
      </w:r>
      <w:r>
        <w:rPr>
          <w:rFonts w:ascii="Times New Roman" w:hAnsi="Times New Roman"/>
          <w:spacing w:val="-9"/>
          <w:w w:val="105"/>
          <w:sz w:val="19"/>
        </w:rPr>
        <w:t xml:space="preserve"> </w:t>
      </w:r>
      <w:r>
        <w:rPr>
          <w:rFonts w:ascii="Times New Roman" w:hAnsi="Times New Roman"/>
          <w:w w:val="105"/>
          <w:sz w:val="19"/>
        </w:rPr>
        <w:t>de</w:t>
      </w:r>
      <w:r>
        <w:rPr>
          <w:rFonts w:ascii="Times New Roman" w:hAnsi="Times New Roman"/>
          <w:spacing w:val="-10"/>
          <w:w w:val="105"/>
          <w:sz w:val="19"/>
        </w:rPr>
        <w:t xml:space="preserve"> </w:t>
      </w:r>
      <w:r>
        <w:rPr>
          <w:rFonts w:ascii="Times New Roman" w:hAnsi="Times New Roman"/>
          <w:w w:val="105"/>
          <w:sz w:val="19"/>
        </w:rPr>
        <w:t>todos</w:t>
      </w:r>
      <w:r>
        <w:rPr>
          <w:rFonts w:ascii="Times New Roman" w:hAnsi="Times New Roman"/>
          <w:spacing w:val="-11"/>
          <w:w w:val="105"/>
          <w:sz w:val="19"/>
        </w:rPr>
        <w:t xml:space="preserve"> </w:t>
      </w:r>
      <w:r>
        <w:rPr>
          <w:rFonts w:ascii="Times New Roman" w:hAnsi="Times New Roman"/>
          <w:w w:val="105"/>
          <w:sz w:val="19"/>
        </w:rPr>
        <w:t>os</w:t>
      </w:r>
      <w:r>
        <w:rPr>
          <w:rFonts w:ascii="Times New Roman" w:hAnsi="Times New Roman"/>
          <w:spacing w:val="-12"/>
          <w:w w:val="105"/>
          <w:sz w:val="19"/>
        </w:rPr>
        <w:t xml:space="preserve"> </w:t>
      </w:r>
      <w:r>
        <w:rPr>
          <w:rFonts w:ascii="Times New Roman" w:hAnsi="Times New Roman"/>
          <w:w w:val="105"/>
          <w:sz w:val="19"/>
        </w:rPr>
        <w:t>partidos</w:t>
      </w:r>
      <w:r>
        <w:rPr>
          <w:rFonts w:ascii="Times New Roman" w:hAnsi="Times New Roman"/>
          <w:spacing w:val="-12"/>
          <w:w w:val="105"/>
          <w:sz w:val="19"/>
        </w:rPr>
        <w:t xml:space="preserve"> </w:t>
      </w:r>
      <w:r>
        <w:rPr>
          <w:rFonts w:ascii="Times New Roman" w:hAnsi="Times New Roman"/>
          <w:w w:val="105"/>
          <w:sz w:val="19"/>
        </w:rPr>
        <w:t>[...].</w:t>
      </w:r>
      <w:r>
        <w:rPr>
          <w:rFonts w:ascii="Times New Roman" w:hAnsi="Times New Roman"/>
          <w:spacing w:val="-14"/>
          <w:w w:val="105"/>
          <w:sz w:val="19"/>
        </w:rPr>
        <w:t xml:space="preserve"> </w:t>
      </w:r>
      <w:r>
        <w:rPr>
          <w:rFonts w:ascii="Times New Roman" w:hAnsi="Times New Roman"/>
          <w:w w:val="105"/>
          <w:sz w:val="19"/>
        </w:rPr>
        <w:t>E...</w:t>
      </w:r>
      <w:r>
        <w:rPr>
          <w:rFonts w:ascii="Times New Roman" w:hAnsi="Times New Roman"/>
          <w:spacing w:val="-10"/>
          <w:w w:val="105"/>
          <w:sz w:val="19"/>
        </w:rPr>
        <w:t xml:space="preserve"> </w:t>
      </w:r>
      <w:r>
        <w:rPr>
          <w:rFonts w:ascii="Times New Roman" w:hAnsi="Times New Roman"/>
          <w:w w:val="105"/>
          <w:sz w:val="19"/>
        </w:rPr>
        <w:t>surpresa!</w:t>
      </w:r>
      <w:r>
        <w:rPr>
          <w:rFonts w:ascii="Times New Roman" w:hAnsi="Times New Roman"/>
          <w:spacing w:val="-12"/>
          <w:w w:val="105"/>
          <w:sz w:val="19"/>
        </w:rPr>
        <w:t xml:space="preserve"> </w:t>
      </w:r>
      <w:r>
        <w:rPr>
          <w:rFonts w:ascii="Times New Roman" w:hAnsi="Times New Roman"/>
          <w:w w:val="105"/>
          <w:sz w:val="19"/>
        </w:rPr>
        <w:t>46</w:t>
      </w:r>
      <w:r>
        <w:rPr>
          <w:rFonts w:ascii="Times New Roman" w:hAnsi="Times New Roman"/>
          <w:spacing w:val="-7"/>
          <w:w w:val="105"/>
          <w:sz w:val="19"/>
        </w:rPr>
        <w:t xml:space="preserve"> </w:t>
      </w:r>
      <w:r>
        <w:rPr>
          <w:rFonts w:ascii="Times New Roman" w:hAnsi="Times New Roman"/>
          <w:spacing w:val="-3"/>
          <w:w w:val="105"/>
          <w:sz w:val="19"/>
        </w:rPr>
        <w:t>mulheres</w:t>
      </w:r>
      <w:r>
        <w:rPr>
          <w:rFonts w:ascii="Times New Roman" w:hAnsi="Times New Roman"/>
          <w:spacing w:val="-12"/>
          <w:w w:val="105"/>
          <w:sz w:val="19"/>
        </w:rPr>
        <w:t xml:space="preserve"> </w:t>
      </w:r>
      <w:r>
        <w:rPr>
          <w:rFonts w:ascii="Times New Roman" w:hAnsi="Times New Roman"/>
          <w:spacing w:val="3"/>
          <w:w w:val="105"/>
          <w:sz w:val="19"/>
        </w:rPr>
        <w:t>de</w:t>
      </w:r>
      <w:r>
        <w:rPr>
          <w:rFonts w:ascii="Times New Roman" w:hAnsi="Times New Roman"/>
          <w:spacing w:val="-14"/>
          <w:w w:val="105"/>
          <w:sz w:val="19"/>
        </w:rPr>
        <w:t xml:space="preserve"> </w:t>
      </w:r>
      <w:r>
        <w:rPr>
          <w:rFonts w:ascii="Times New Roman" w:hAnsi="Times New Roman"/>
          <w:w w:val="105"/>
          <w:sz w:val="19"/>
        </w:rPr>
        <w:t>11</w:t>
      </w:r>
      <w:r>
        <w:rPr>
          <w:rFonts w:ascii="Times New Roman" w:hAnsi="Times New Roman"/>
          <w:spacing w:val="-9"/>
          <w:w w:val="105"/>
          <w:sz w:val="19"/>
        </w:rPr>
        <w:t xml:space="preserve"> </w:t>
      </w:r>
      <w:r>
        <w:rPr>
          <w:rFonts w:ascii="Times New Roman" w:hAnsi="Times New Roman"/>
          <w:w w:val="105"/>
          <w:sz w:val="19"/>
        </w:rPr>
        <w:t xml:space="preserve">partidos políticos desfilaram pela tribuna do auditório do Instituto de Educação, apresentando suas plataformas e programas políticos. Em São Paulo, as pré-candidatas do PMDB </w:t>
      </w:r>
      <w:r>
        <w:rPr>
          <w:rFonts w:ascii="Times New Roman" w:hAnsi="Times New Roman"/>
          <w:spacing w:val="-3"/>
          <w:w w:val="105"/>
          <w:sz w:val="19"/>
        </w:rPr>
        <w:t xml:space="preserve">foram </w:t>
      </w:r>
      <w:r>
        <w:rPr>
          <w:rFonts w:ascii="Times New Roman" w:hAnsi="Times New Roman"/>
          <w:w w:val="105"/>
          <w:sz w:val="19"/>
        </w:rPr>
        <w:t>recebidas no dia 13 de junho pelo Exmo. Sr. Governador do Estado e... outra surpresa! Embora pertencentes às diferentes correntes políticas existentes</w:t>
      </w:r>
      <w:r>
        <w:rPr>
          <w:rFonts w:ascii="Times New Roman" w:hAnsi="Times New Roman"/>
          <w:spacing w:val="-11"/>
          <w:w w:val="105"/>
          <w:sz w:val="19"/>
        </w:rPr>
        <w:t xml:space="preserve"> </w:t>
      </w:r>
      <w:r>
        <w:rPr>
          <w:rFonts w:ascii="Times New Roman" w:hAnsi="Times New Roman"/>
          <w:w w:val="105"/>
          <w:sz w:val="19"/>
        </w:rPr>
        <w:t>no</w:t>
      </w:r>
      <w:r>
        <w:rPr>
          <w:rFonts w:ascii="Times New Roman" w:hAnsi="Times New Roman"/>
          <w:spacing w:val="-13"/>
          <w:w w:val="105"/>
          <w:sz w:val="19"/>
        </w:rPr>
        <w:t xml:space="preserve"> </w:t>
      </w:r>
      <w:r>
        <w:rPr>
          <w:rFonts w:ascii="Times New Roman" w:hAnsi="Times New Roman"/>
          <w:w w:val="105"/>
          <w:sz w:val="19"/>
        </w:rPr>
        <w:t>partido,</w:t>
      </w:r>
      <w:r>
        <w:rPr>
          <w:rFonts w:ascii="Times New Roman" w:hAnsi="Times New Roman"/>
          <w:spacing w:val="-12"/>
          <w:w w:val="105"/>
          <w:sz w:val="19"/>
        </w:rPr>
        <w:t xml:space="preserve"> </w:t>
      </w:r>
      <w:r>
        <w:rPr>
          <w:rFonts w:ascii="Times New Roman" w:hAnsi="Times New Roman"/>
          <w:w w:val="105"/>
          <w:sz w:val="19"/>
        </w:rPr>
        <w:t>elas</w:t>
      </w:r>
      <w:r>
        <w:rPr>
          <w:rFonts w:ascii="Times New Roman" w:hAnsi="Times New Roman"/>
          <w:spacing w:val="-14"/>
          <w:w w:val="105"/>
          <w:sz w:val="19"/>
        </w:rPr>
        <w:t xml:space="preserve"> </w:t>
      </w:r>
      <w:r>
        <w:rPr>
          <w:rFonts w:ascii="Times New Roman" w:hAnsi="Times New Roman"/>
          <w:w w:val="105"/>
          <w:sz w:val="19"/>
        </w:rPr>
        <w:t>deram</w:t>
      </w:r>
      <w:r>
        <w:rPr>
          <w:rFonts w:ascii="Times New Roman" w:hAnsi="Times New Roman"/>
          <w:spacing w:val="-14"/>
          <w:w w:val="105"/>
          <w:sz w:val="19"/>
        </w:rPr>
        <w:t xml:space="preserve"> </w:t>
      </w:r>
      <w:r>
        <w:rPr>
          <w:rFonts w:ascii="Times New Roman" w:hAnsi="Times New Roman"/>
          <w:w w:val="105"/>
          <w:sz w:val="19"/>
        </w:rPr>
        <w:t>extraordinária</w:t>
      </w:r>
      <w:r>
        <w:rPr>
          <w:rFonts w:ascii="Times New Roman" w:hAnsi="Times New Roman"/>
          <w:spacing w:val="-16"/>
          <w:w w:val="105"/>
          <w:sz w:val="19"/>
        </w:rPr>
        <w:t xml:space="preserve"> </w:t>
      </w:r>
      <w:r>
        <w:rPr>
          <w:rFonts w:ascii="Times New Roman" w:hAnsi="Times New Roman"/>
          <w:w w:val="105"/>
          <w:sz w:val="19"/>
        </w:rPr>
        <w:t>demonstração</w:t>
      </w:r>
      <w:r>
        <w:rPr>
          <w:rFonts w:ascii="Times New Roman" w:hAnsi="Times New Roman"/>
          <w:spacing w:val="-13"/>
          <w:w w:val="105"/>
          <w:sz w:val="19"/>
        </w:rPr>
        <w:t xml:space="preserve"> </w:t>
      </w:r>
      <w:r>
        <w:rPr>
          <w:rFonts w:ascii="Times New Roman" w:hAnsi="Times New Roman"/>
          <w:w w:val="105"/>
          <w:sz w:val="19"/>
        </w:rPr>
        <w:t>de</w:t>
      </w:r>
      <w:r>
        <w:rPr>
          <w:rFonts w:ascii="Times New Roman" w:hAnsi="Times New Roman"/>
          <w:spacing w:val="-16"/>
          <w:w w:val="105"/>
          <w:sz w:val="19"/>
        </w:rPr>
        <w:t xml:space="preserve"> </w:t>
      </w:r>
      <w:r>
        <w:rPr>
          <w:rFonts w:ascii="Times New Roman" w:hAnsi="Times New Roman"/>
          <w:w w:val="105"/>
          <w:sz w:val="19"/>
        </w:rPr>
        <w:t>unidade</w:t>
      </w:r>
      <w:r>
        <w:rPr>
          <w:rFonts w:ascii="Times New Roman" w:hAnsi="Times New Roman"/>
          <w:spacing w:val="-16"/>
          <w:w w:val="105"/>
          <w:sz w:val="19"/>
        </w:rPr>
        <w:t xml:space="preserve"> </w:t>
      </w:r>
      <w:r>
        <w:rPr>
          <w:rFonts w:ascii="Times New Roman" w:hAnsi="Times New Roman"/>
          <w:w w:val="105"/>
          <w:sz w:val="19"/>
        </w:rPr>
        <w:t>no</w:t>
      </w:r>
      <w:r>
        <w:rPr>
          <w:rFonts w:ascii="Times New Roman" w:hAnsi="Times New Roman"/>
          <w:spacing w:val="-13"/>
          <w:w w:val="105"/>
          <w:sz w:val="19"/>
        </w:rPr>
        <w:t xml:space="preserve"> </w:t>
      </w:r>
      <w:r>
        <w:rPr>
          <w:rFonts w:ascii="Times New Roman" w:hAnsi="Times New Roman"/>
          <w:w w:val="105"/>
          <w:sz w:val="19"/>
        </w:rPr>
        <w:t>desejo</w:t>
      </w:r>
      <w:r>
        <w:rPr>
          <w:rFonts w:ascii="Times New Roman" w:hAnsi="Times New Roman"/>
          <w:spacing w:val="-9"/>
          <w:w w:val="105"/>
          <w:sz w:val="19"/>
        </w:rPr>
        <w:t xml:space="preserve"> </w:t>
      </w:r>
      <w:r>
        <w:rPr>
          <w:rFonts w:ascii="Times New Roman" w:hAnsi="Times New Roman"/>
          <w:w w:val="105"/>
          <w:sz w:val="19"/>
        </w:rPr>
        <w:t>de</w:t>
      </w:r>
      <w:r>
        <w:rPr>
          <w:rFonts w:ascii="Times New Roman" w:hAnsi="Times New Roman"/>
          <w:spacing w:val="-16"/>
          <w:w w:val="105"/>
          <w:sz w:val="19"/>
        </w:rPr>
        <w:t xml:space="preserve"> </w:t>
      </w:r>
      <w:r>
        <w:rPr>
          <w:rFonts w:ascii="Times New Roman" w:hAnsi="Times New Roman"/>
          <w:w w:val="105"/>
          <w:sz w:val="19"/>
        </w:rPr>
        <w:t>que</w:t>
      </w:r>
      <w:r>
        <w:rPr>
          <w:rFonts w:ascii="Times New Roman" w:hAnsi="Times New Roman"/>
          <w:spacing w:val="-16"/>
          <w:w w:val="105"/>
          <w:sz w:val="19"/>
        </w:rPr>
        <w:t xml:space="preserve"> </w:t>
      </w:r>
      <w:r>
        <w:rPr>
          <w:rFonts w:ascii="Times New Roman" w:hAnsi="Times New Roman"/>
          <w:w w:val="105"/>
          <w:sz w:val="19"/>
        </w:rPr>
        <w:t>o</w:t>
      </w:r>
      <w:r>
        <w:rPr>
          <w:rFonts w:ascii="Times New Roman" w:hAnsi="Times New Roman"/>
          <w:spacing w:val="-9"/>
          <w:w w:val="105"/>
          <w:sz w:val="19"/>
        </w:rPr>
        <w:t xml:space="preserve"> </w:t>
      </w:r>
      <w:r>
        <w:rPr>
          <w:rFonts w:ascii="Times New Roman" w:hAnsi="Times New Roman"/>
          <w:w w:val="105"/>
          <w:sz w:val="19"/>
        </w:rPr>
        <w:t>PMDB</w:t>
      </w:r>
      <w:r>
        <w:rPr>
          <w:rFonts w:ascii="Times New Roman" w:hAnsi="Times New Roman"/>
          <w:spacing w:val="-12"/>
          <w:w w:val="105"/>
          <w:sz w:val="19"/>
        </w:rPr>
        <w:t xml:space="preserve"> </w:t>
      </w:r>
      <w:r>
        <w:rPr>
          <w:rFonts w:ascii="Times New Roman" w:hAnsi="Times New Roman"/>
          <w:spacing w:val="-3"/>
          <w:w w:val="105"/>
          <w:sz w:val="19"/>
        </w:rPr>
        <w:t xml:space="preserve">apresente </w:t>
      </w:r>
      <w:r>
        <w:rPr>
          <w:rFonts w:ascii="Times New Roman" w:hAnsi="Times New Roman"/>
          <w:w w:val="105"/>
          <w:sz w:val="19"/>
        </w:rPr>
        <w:t>um</w:t>
      </w:r>
      <w:r>
        <w:rPr>
          <w:rFonts w:ascii="Times New Roman" w:hAnsi="Times New Roman"/>
          <w:spacing w:val="-10"/>
          <w:w w:val="105"/>
          <w:sz w:val="19"/>
        </w:rPr>
        <w:t xml:space="preserve"> </w:t>
      </w:r>
      <w:r>
        <w:rPr>
          <w:rFonts w:ascii="Times New Roman" w:hAnsi="Times New Roman"/>
          <w:w w:val="105"/>
          <w:sz w:val="19"/>
        </w:rPr>
        <w:t>compacto</w:t>
      </w:r>
      <w:r>
        <w:rPr>
          <w:rFonts w:ascii="Times New Roman" w:hAnsi="Times New Roman"/>
          <w:spacing w:val="-5"/>
          <w:w w:val="105"/>
          <w:sz w:val="19"/>
        </w:rPr>
        <w:t xml:space="preserve"> </w:t>
      </w:r>
      <w:r>
        <w:rPr>
          <w:rFonts w:ascii="Times New Roman" w:hAnsi="Times New Roman"/>
          <w:w w:val="105"/>
          <w:sz w:val="19"/>
        </w:rPr>
        <w:t>bloco</w:t>
      </w:r>
      <w:r>
        <w:rPr>
          <w:rFonts w:ascii="Times New Roman" w:hAnsi="Times New Roman"/>
          <w:spacing w:val="-5"/>
          <w:w w:val="105"/>
          <w:sz w:val="19"/>
        </w:rPr>
        <w:t xml:space="preserve"> </w:t>
      </w:r>
      <w:r>
        <w:rPr>
          <w:rFonts w:ascii="Times New Roman" w:hAnsi="Times New Roman"/>
          <w:w w:val="105"/>
          <w:sz w:val="19"/>
        </w:rPr>
        <w:t>de</w:t>
      </w:r>
      <w:r>
        <w:rPr>
          <w:rFonts w:ascii="Times New Roman" w:hAnsi="Times New Roman"/>
          <w:spacing w:val="-4"/>
          <w:w w:val="105"/>
          <w:sz w:val="19"/>
        </w:rPr>
        <w:t xml:space="preserve"> </w:t>
      </w:r>
      <w:r>
        <w:rPr>
          <w:rFonts w:ascii="Times New Roman" w:hAnsi="Times New Roman"/>
          <w:w w:val="105"/>
          <w:sz w:val="19"/>
        </w:rPr>
        <w:t>candidatas</w:t>
      </w:r>
      <w:r>
        <w:rPr>
          <w:rFonts w:ascii="Times New Roman" w:hAnsi="Times New Roman"/>
          <w:spacing w:val="-3"/>
          <w:w w:val="105"/>
          <w:sz w:val="19"/>
        </w:rPr>
        <w:t xml:space="preserve"> </w:t>
      </w:r>
      <w:r>
        <w:rPr>
          <w:rFonts w:ascii="Times New Roman" w:hAnsi="Times New Roman"/>
          <w:w w:val="105"/>
          <w:sz w:val="19"/>
        </w:rPr>
        <w:t>mulheres,</w:t>
      </w:r>
      <w:r>
        <w:rPr>
          <w:rFonts w:ascii="Times New Roman" w:hAnsi="Times New Roman"/>
          <w:spacing w:val="-4"/>
          <w:w w:val="105"/>
          <w:sz w:val="19"/>
        </w:rPr>
        <w:t xml:space="preserve"> </w:t>
      </w:r>
      <w:r>
        <w:rPr>
          <w:rFonts w:ascii="Times New Roman" w:hAnsi="Times New Roman"/>
          <w:w w:val="105"/>
          <w:sz w:val="19"/>
        </w:rPr>
        <w:t>inclusive</w:t>
      </w:r>
      <w:r>
        <w:rPr>
          <w:rFonts w:ascii="Times New Roman" w:hAnsi="Times New Roman"/>
          <w:spacing w:val="-6"/>
          <w:w w:val="105"/>
          <w:sz w:val="19"/>
        </w:rPr>
        <w:t xml:space="preserve"> </w:t>
      </w:r>
      <w:r>
        <w:rPr>
          <w:rFonts w:ascii="Times New Roman" w:hAnsi="Times New Roman"/>
          <w:w w:val="105"/>
          <w:sz w:val="19"/>
        </w:rPr>
        <w:t>aos</w:t>
      </w:r>
      <w:r>
        <w:rPr>
          <w:rFonts w:ascii="Times New Roman" w:hAnsi="Times New Roman"/>
          <w:spacing w:val="-3"/>
          <w:w w:val="105"/>
          <w:sz w:val="19"/>
        </w:rPr>
        <w:t xml:space="preserve"> </w:t>
      </w:r>
      <w:r>
        <w:rPr>
          <w:rFonts w:ascii="Times New Roman" w:hAnsi="Times New Roman"/>
          <w:w w:val="105"/>
          <w:sz w:val="19"/>
        </w:rPr>
        <w:t>cargos</w:t>
      </w:r>
      <w:r>
        <w:rPr>
          <w:rFonts w:ascii="Times New Roman" w:hAnsi="Times New Roman"/>
          <w:spacing w:val="-7"/>
          <w:w w:val="105"/>
          <w:sz w:val="19"/>
        </w:rPr>
        <w:t xml:space="preserve"> </w:t>
      </w:r>
      <w:r>
        <w:rPr>
          <w:rFonts w:ascii="Times New Roman" w:hAnsi="Times New Roman"/>
          <w:w w:val="105"/>
          <w:sz w:val="19"/>
        </w:rPr>
        <w:t>majoritários,</w:t>
      </w:r>
      <w:r>
        <w:rPr>
          <w:rFonts w:ascii="Times New Roman" w:hAnsi="Times New Roman"/>
          <w:spacing w:val="-7"/>
          <w:w w:val="105"/>
          <w:sz w:val="19"/>
        </w:rPr>
        <w:t xml:space="preserve"> </w:t>
      </w:r>
      <w:r>
        <w:rPr>
          <w:rFonts w:ascii="Times New Roman" w:hAnsi="Times New Roman"/>
          <w:w w:val="105"/>
          <w:sz w:val="19"/>
        </w:rPr>
        <w:t>aos</w:t>
      </w:r>
      <w:r>
        <w:rPr>
          <w:rFonts w:ascii="Times New Roman" w:hAnsi="Times New Roman"/>
          <w:spacing w:val="-3"/>
          <w:w w:val="105"/>
          <w:sz w:val="19"/>
        </w:rPr>
        <w:t xml:space="preserve"> </w:t>
      </w:r>
      <w:r>
        <w:rPr>
          <w:rFonts w:ascii="Times New Roman" w:hAnsi="Times New Roman"/>
          <w:w w:val="105"/>
          <w:sz w:val="19"/>
        </w:rPr>
        <w:t>pleitos</w:t>
      </w:r>
      <w:r>
        <w:rPr>
          <w:rFonts w:ascii="Times New Roman" w:hAnsi="Times New Roman"/>
          <w:spacing w:val="-3"/>
          <w:w w:val="105"/>
          <w:sz w:val="19"/>
        </w:rPr>
        <w:t xml:space="preserve"> </w:t>
      </w:r>
      <w:r>
        <w:rPr>
          <w:rFonts w:ascii="Times New Roman" w:hAnsi="Times New Roman"/>
          <w:w w:val="105"/>
          <w:sz w:val="19"/>
        </w:rPr>
        <w:t>eleitorais</w:t>
      </w:r>
      <w:r>
        <w:rPr>
          <w:rFonts w:ascii="Times New Roman" w:hAnsi="Times New Roman"/>
          <w:spacing w:val="-7"/>
          <w:w w:val="105"/>
          <w:sz w:val="19"/>
        </w:rPr>
        <w:t xml:space="preserve"> </w:t>
      </w:r>
      <w:r>
        <w:rPr>
          <w:rFonts w:ascii="Times New Roman" w:hAnsi="Times New Roman"/>
          <w:w w:val="105"/>
          <w:sz w:val="19"/>
        </w:rPr>
        <w:t>de</w:t>
      </w:r>
      <w:r>
        <w:rPr>
          <w:rFonts w:ascii="Times New Roman" w:hAnsi="Times New Roman"/>
          <w:spacing w:val="-9"/>
          <w:w w:val="105"/>
          <w:sz w:val="19"/>
        </w:rPr>
        <w:t xml:space="preserve"> </w:t>
      </w:r>
      <w:r>
        <w:rPr>
          <w:rFonts w:ascii="Times New Roman" w:hAnsi="Times New Roman"/>
          <w:spacing w:val="3"/>
          <w:w w:val="105"/>
          <w:sz w:val="19"/>
        </w:rPr>
        <w:t>11</w:t>
      </w:r>
      <w:r>
        <w:rPr>
          <w:rFonts w:ascii="Times New Roman" w:hAnsi="Times New Roman"/>
          <w:spacing w:val="-1"/>
          <w:w w:val="105"/>
          <w:sz w:val="19"/>
        </w:rPr>
        <w:t xml:space="preserve"> </w:t>
      </w:r>
      <w:r>
        <w:rPr>
          <w:rFonts w:ascii="Times New Roman" w:hAnsi="Times New Roman"/>
          <w:w w:val="105"/>
          <w:sz w:val="19"/>
        </w:rPr>
        <w:t xml:space="preserve">de </w:t>
      </w:r>
      <w:r>
        <w:rPr>
          <w:rFonts w:ascii="Times New Roman" w:hAnsi="Times New Roman"/>
          <w:sz w:val="19"/>
        </w:rPr>
        <w:t>novembro.</w:t>
      </w:r>
      <w:r>
        <w:rPr>
          <w:rFonts w:ascii="Times New Roman" w:hAnsi="Times New Roman"/>
          <w:spacing w:val="17"/>
          <w:sz w:val="19"/>
        </w:rPr>
        <w:t xml:space="preserve"> </w:t>
      </w:r>
      <w:r>
        <w:rPr>
          <w:rFonts w:ascii="Times New Roman" w:hAnsi="Times New Roman"/>
          <w:sz w:val="19"/>
        </w:rPr>
        <w:t>[...]</w:t>
      </w:r>
    </w:p>
    <w:p w:rsidR="00CC7D10" w:rsidRDefault="00CC7D10" w:rsidP="00CC7D10">
      <w:pPr>
        <w:spacing w:before="1"/>
        <w:rPr>
          <w:rFonts w:ascii="Times New Roman" w:eastAsia="Times New Roman" w:hAnsi="Times New Roman"/>
          <w:sz w:val="19"/>
          <w:szCs w:val="19"/>
        </w:rPr>
      </w:pPr>
    </w:p>
    <w:p w:rsidR="00CC7D10" w:rsidRDefault="00CC7D10" w:rsidP="00CC7D10">
      <w:pPr>
        <w:pStyle w:val="Corpodetexto"/>
        <w:spacing w:line="364" w:lineRule="auto"/>
        <w:ind w:right="101"/>
        <w:jc w:val="both"/>
      </w:pPr>
      <w:r>
        <w:t xml:space="preserve">Na edição número 2 do </w:t>
      </w:r>
      <w:r>
        <w:rPr>
          <w:spacing w:val="-3"/>
        </w:rPr>
        <w:t xml:space="preserve">mesmo </w:t>
      </w:r>
      <w:r>
        <w:rPr>
          <w:i/>
        </w:rPr>
        <w:t>Jornal Mulher</w:t>
      </w:r>
      <w:r>
        <w:t xml:space="preserve">, de novembro-dezembro  de 1986, há entrevista  </w:t>
      </w:r>
      <w:r>
        <w:lastRenderedPageBreak/>
        <w:t xml:space="preserve">com o governador sobre os temas que dizem respeito à mulher. E no número 3, outubro de 1987, a principal chamada de capa é “Mulheres conquistam novos espaços no governo Quércia”.  O  </w:t>
      </w:r>
      <w:r>
        <w:rPr>
          <w:i/>
        </w:rPr>
        <w:t>Jornal Mulher</w:t>
      </w:r>
      <w:r>
        <w:t xml:space="preserve">, do Conselho Estadual </w:t>
      </w:r>
      <w:r>
        <w:rPr>
          <w:spacing w:val="4"/>
        </w:rPr>
        <w:t xml:space="preserve">da </w:t>
      </w:r>
      <w:r>
        <w:t>Condição Feminina, não é um caso isolado, mas sim modelo para os demais jornais aqui classificados como</w:t>
      </w:r>
      <w:r>
        <w:rPr>
          <w:spacing w:val="57"/>
        </w:rPr>
        <w:t xml:space="preserve"> </w:t>
      </w:r>
      <w:r>
        <w:t>estatais.</w:t>
      </w:r>
    </w:p>
    <w:p w:rsidR="00CC7D10" w:rsidRDefault="00CC7D10" w:rsidP="00CC7D10">
      <w:pPr>
        <w:rPr>
          <w:rFonts w:ascii="Times New Roman" w:eastAsia="Times New Roman" w:hAnsi="Times New Roman"/>
        </w:rPr>
      </w:pPr>
    </w:p>
    <w:p w:rsidR="00BC7986" w:rsidRDefault="00BC7986" w:rsidP="00CC7D10">
      <w:pPr>
        <w:rPr>
          <w:rFonts w:ascii="Times New Roman" w:eastAsia="Times New Roman" w:hAnsi="Times New Roman"/>
        </w:rPr>
      </w:pPr>
    </w:p>
    <w:p w:rsidR="00BC7986" w:rsidRDefault="00BC7986" w:rsidP="00CC7D10">
      <w:pPr>
        <w:rPr>
          <w:rFonts w:ascii="Times New Roman" w:eastAsia="Times New Roman" w:hAnsi="Times New Roman"/>
        </w:rPr>
      </w:pPr>
    </w:p>
    <w:p w:rsidR="00BC7986" w:rsidRDefault="00BC7986" w:rsidP="00CC7D10">
      <w:pPr>
        <w:rPr>
          <w:rFonts w:ascii="Times New Roman" w:eastAsia="Times New Roman" w:hAnsi="Times New Roman"/>
        </w:rPr>
      </w:pPr>
    </w:p>
    <w:p w:rsidR="00BC7986" w:rsidRDefault="00BC7986" w:rsidP="00CC7D10">
      <w:pPr>
        <w:rPr>
          <w:rFonts w:ascii="Times New Roman" w:eastAsia="Times New Roman" w:hAnsi="Times New Roman"/>
        </w:rPr>
      </w:pPr>
    </w:p>
    <w:p w:rsidR="00BC7986" w:rsidRDefault="00BC7986" w:rsidP="00CC7D10">
      <w:pPr>
        <w:rPr>
          <w:rFonts w:ascii="Times New Roman" w:eastAsia="Times New Roman" w:hAnsi="Times New Roman"/>
        </w:rPr>
      </w:pPr>
    </w:p>
    <w:p w:rsidR="00CC7D10" w:rsidRDefault="00CC7D10" w:rsidP="00BC7986">
      <w:pPr>
        <w:pStyle w:val="Corpodetexto"/>
        <w:spacing w:before="151" w:line="364" w:lineRule="auto"/>
        <w:ind w:right="99"/>
        <w:jc w:val="both"/>
      </w:pPr>
      <w:r>
        <w:rPr>
          <w:b/>
          <w:bCs/>
        </w:rPr>
        <w:t xml:space="preserve">Saúde </w:t>
      </w:r>
      <w:r>
        <w:t xml:space="preserve">— O tema “saúde da mulher” sempre esteve presente nas publicações  feministas, mas,  com o início da segunda geração da imprensa feminista, voltada para a especialidade de temas e mais próxima do conceito de gênero feminino, deixou de ser coluna para ser jornal inteiro. Do total  de periódicos pesquisados, nove podem ser classificados </w:t>
      </w:r>
      <w:r>
        <w:rPr>
          <w:spacing w:val="4"/>
        </w:rPr>
        <w:t xml:space="preserve">na </w:t>
      </w:r>
      <w:r>
        <w:t xml:space="preserve">categoria saúde. É curioso perceber  que, dos nove jornais, três </w:t>
      </w:r>
      <w:r>
        <w:rPr>
          <w:spacing w:val="-3"/>
        </w:rPr>
        <w:t xml:space="preserve">foram </w:t>
      </w:r>
      <w:r>
        <w:t xml:space="preserve">fundados na década de 1980 e os outros seis, durante a década de 1990. </w:t>
      </w:r>
      <w:r>
        <w:rPr>
          <w:spacing w:val="2"/>
        </w:rPr>
        <w:t xml:space="preserve">Tal </w:t>
      </w:r>
      <w:r>
        <w:t xml:space="preserve">fato possibilita levantar a hipótese de que, quanto mais o conceito de gênero se sedimenta no movimento feminista, mais as publicações vão se especializando. Os títulos em questão tratam de aborto, direitos reprodutivos, reprodução  humana, aleitamento, educação, aids, menopausa, LER, planejamento  familiar  e violência contra a mulher. Aborto, aids e diretos reprodutivos são os temas mais presentes. A  sexualidade surge dentro </w:t>
      </w:r>
      <w:r>
        <w:rPr>
          <w:spacing w:val="4"/>
        </w:rPr>
        <w:t xml:space="preserve">da </w:t>
      </w:r>
      <w:r>
        <w:t xml:space="preserve">perspectiva de saúde </w:t>
      </w:r>
      <w:r>
        <w:rPr>
          <w:spacing w:val="4"/>
        </w:rPr>
        <w:t xml:space="preserve">da </w:t>
      </w:r>
      <w:r>
        <w:t xml:space="preserve">mulher e não como uma discussão comportamental sobre opções sexuais. Por isso o periódico </w:t>
      </w:r>
      <w:r>
        <w:rPr>
          <w:i/>
        </w:rPr>
        <w:t xml:space="preserve">ChanacomChana </w:t>
      </w:r>
      <w:r>
        <w:t xml:space="preserve">(lésbico-feminista) está classificado, dentro  da categoria variados, como pertencente ao subgrupo sexualidade, e o </w:t>
      </w:r>
      <w:r>
        <w:rPr>
          <w:i/>
        </w:rPr>
        <w:t xml:space="preserve">Fazendo Gênero </w:t>
      </w:r>
      <w:r>
        <w:t>está classificado como</w:t>
      </w:r>
      <w:r>
        <w:rPr>
          <w:spacing w:val="18"/>
        </w:rPr>
        <w:t xml:space="preserve"> </w:t>
      </w:r>
      <w:r>
        <w:t>saúde.</w:t>
      </w:r>
      <w:r w:rsidR="00BC7986">
        <w:t xml:space="preserve"> </w:t>
      </w:r>
      <w:r>
        <w:t xml:space="preserve">O jornal </w:t>
      </w:r>
      <w:r>
        <w:rPr>
          <w:i/>
        </w:rPr>
        <w:t>Fazendo Gênero</w:t>
      </w:r>
      <w:r>
        <w:t xml:space="preserve">, de Goiânia (GO), foi fundado em maio de 1997 e, segundo o acervo pesquisado, circulou até meados de 2001. A entidade </w:t>
      </w:r>
      <w:r>
        <w:rPr>
          <w:spacing w:val="2"/>
        </w:rPr>
        <w:t xml:space="preserve">por </w:t>
      </w:r>
      <w:r>
        <w:t xml:space="preserve">trás da publicação é a ONG Grupo Transas do Corpo, que se dedica à educação sexual de mulheres. O editorial do número 1 explica: “por que fazemos gênero? [...] O boletim originou-se </w:t>
      </w:r>
      <w:r>
        <w:rPr>
          <w:spacing w:val="4"/>
        </w:rPr>
        <w:t xml:space="preserve">da </w:t>
      </w:r>
      <w:r>
        <w:t xml:space="preserve">necessidade de difundir o trabalho do grupo Transas do Corpo e de estimular o debate das questões de </w:t>
      </w:r>
      <w:r>
        <w:lastRenderedPageBreak/>
        <w:t xml:space="preserve">gênero no âmbito da educação sexual, dos direitos reprodutivos e </w:t>
      </w:r>
      <w:r>
        <w:rPr>
          <w:spacing w:val="4"/>
        </w:rPr>
        <w:t xml:space="preserve">da </w:t>
      </w:r>
      <w:r>
        <w:t xml:space="preserve">saúde da mulher”. Vale notar que a presença da palavra “gênero” no título do periódico é sintomática </w:t>
      </w:r>
      <w:r>
        <w:rPr>
          <w:spacing w:val="2"/>
        </w:rPr>
        <w:t xml:space="preserve">da </w:t>
      </w:r>
      <w:r>
        <w:t xml:space="preserve">difusão do conceito no Brasil durante a década de </w:t>
      </w:r>
      <w:r>
        <w:rPr>
          <w:spacing w:val="6"/>
        </w:rPr>
        <w:t xml:space="preserve"> </w:t>
      </w:r>
      <w:r>
        <w:t>1990.</w:t>
      </w:r>
    </w:p>
    <w:p w:rsidR="00CC7D10" w:rsidRDefault="00CC7D10" w:rsidP="00CC7D10">
      <w:pPr>
        <w:pStyle w:val="Corpodetexto"/>
        <w:spacing w:before="6" w:line="364" w:lineRule="auto"/>
        <w:ind w:right="101"/>
        <w:jc w:val="both"/>
      </w:pPr>
      <w:r>
        <w:t xml:space="preserve">Os jornais que compõem a categoria “saúde” têm vida longa  — duraram mais  </w:t>
      </w:r>
      <w:r>
        <w:rPr>
          <w:spacing w:val="4"/>
        </w:rPr>
        <w:t xml:space="preserve">de </w:t>
      </w:r>
      <w:r>
        <w:t xml:space="preserve">10  anos e  alguns ainda estão em circulação — e têm produção profissional — tanto de textos e imagens como de impressão. Os nove títulos mereceriam detalhamento individual, devido ao tempo de circulação e às altas tiragens, mas aqui destacaremos as publicações da RedeSaúde encontradas nos acervos </w:t>
      </w:r>
      <w:r>
        <w:rPr>
          <w:spacing w:val="55"/>
        </w:rPr>
        <w:t xml:space="preserve"> </w:t>
      </w:r>
      <w:r>
        <w:t>pesquisados.</w:t>
      </w: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BC7986" w:rsidRDefault="00BC7986" w:rsidP="00CC7D10">
      <w:pPr>
        <w:pStyle w:val="Corpodetexto"/>
        <w:spacing w:line="271" w:lineRule="exact"/>
        <w:jc w:val="both"/>
      </w:pPr>
    </w:p>
    <w:p w:rsidR="00CC7D10" w:rsidRDefault="00CC7D10" w:rsidP="00CC7D10">
      <w:pPr>
        <w:pStyle w:val="Corpodetexto"/>
        <w:spacing w:line="271" w:lineRule="exact"/>
        <w:jc w:val="both"/>
      </w:pPr>
      <w:r>
        <w:t>A Rede Nacional de Saúde e Direitos Reprodutivos (RedeSaúde),</w:t>
      </w:r>
      <w:r>
        <w:rPr>
          <w:position w:val="11"/>
          <w:sz w:val="15"/>
        </w:rPr>
        <w:t xml:space="preserve">10  </w:t>
      </w:r>
      <w:r>
        <w:t xml:space="preserve">primeiro com sede </w:t>
      </w:r>
      <w:r>
        <w:rPr>
          <w:spacing w:val="3"/>
        </w:rPr>
        <w:t xml:space="preserve">em  </w:t>
      </w:r>
      <w:r>
        <w:rPr>
          <w:spacing w:val="18"/>
        </w:rPr>
        <w:t xml:space="preserve"> </w:t>
      </w:r>
      <w:r>
        <w:t>Recife</w:t>
      </w:r>
    </w:p>
    <w:p w:rsidR="00CC7D10" w:rsidRDefault="00CC7D10" w:rsidP="00CC7D10">
      <w:pPr>
        <w:pStyle w:val="Corpodetexto"/>
        <w:spacing w:before="134" w:line="364" w:lineRule="auto"/>
        <w:ind w:right="101" w:firstLine="0"/>
        <w:jc w:val="both"/>
      </w:pPr>
      <w:r>
        <w:t xml:space="preserve">(PE) e depois </w:t>
      </w:r>
      <w:r>
        <w:rPr>
          <w:spacing w:val="3"/>
        </w:rPr>
        <w:t xml:space="preserve">em </w:t>
      </w:r>
      <w:r>
        <w:t xml:space="preserve">São Paulo (SP), publicou durante toda a década de 1990, chegando até os nossos dias,    o periódico </w:t>
      </w:r>
      <w:r>
        <w:rPr>
          <w:i/>
        </w:rPr>
        <w:t>Jornal da Rede</w:t>
      </w:r>
      <w:r>
        <w:t xml:space="preserve">. Fundado em maio de 1992, o </w:t>
      </w:r>
      <w:r>
        <w:rPr>
          <w:i/>
        </w:rPr>
        <w:t xml:space="preserve">Jornal da Rede </w:t>
      </w:r>
      <w:r>
        <w:t xml:space="preserve">circulou até 1997, no formato boletim, duas cores. A partir de 1997, a publicação muda para o formato revista, com o nome de </w:t>
      </w:r>
      <w:r>
        <w:rPr>
          <w:i/>
        </w:rPr>
        <w:t>Jornal   da RedeSaúde</w:t>
      </w:r>
      <w:r>
        <w:t xml:space="preserve">, com até 52 páginas </w:t>
      </w:r>
      <w:r>
        <w:rPr>
          <w:spacing w:val="2"/>
        </w:rPr>
        <w:t xml:space="preserve">por </w:t>
      </w:r>
      <w:r>
        <w:t xml:space="preserve">edição, em papel </w:t>
      </w:r>
      <w:r>
        <w:rPr>
          <w:i/>
        </w:rPr>
        <w:t>couché</w:t>
      </w:r>
      <w:r>
        <w:t xml:space="preserve">. A periodicidade variou entre mensal e bimestral. E, simultaneamente, a entidade RedeSaúde editou o </w:t>
      </w:r>
      <w:r>
        <w:rPr>
          <w:i/>
        </w:rPr>
        <w:t>Redefax</w:t>
      </w:r>
      <w:r>
        <w:t xml:space="preserve">, uma espécie de </w:t>
      </w:r>
      <w:r>
        <w:rPr>
          <w:i/>
        </w:rPr>
        <w:t>news letter</w:t>
      </w:r>
      <w:r>
        <w:t xml:space="preserve">, enviada via fax, sem fotos ou ilustrações, com o resumo das principais notícias do setor de saúde  </w:t>
      </w:r>
      <w:r>
        <w:rPr>
          <w:spacing w:val="4"/>
        </w:rPr>
        <w:t xml:space="preserve">da </w:t>
      </w:r>
      <w:r>
        <w:t xml:space="preserve">mulher (em circulação até julho de 2006). A RedeSaúde, </w:t>
      </w:r>
      <w:r>
        <w:rPr>
          <w:spacing w:val="3"/>
        </w:rPr>
        <w:t xml:space="preserve">em </w:t>
      </w:r>
      <w:r>
        <w:t xml:space="preserve">1997, reunia 130 grupos feministas e pesquisadoras que desenvolviam trabalhos políticos e profissionais na área da saúde da mulher e direitos reprodutivos. Em vários editoriais </w:t>
      </w:r>
      <w:r>
        <w:rPr>
          <w:spacing w:val="4"/>
        </w:rPr>
        <w:t xml:space="preserve">da </w:t>
      </w:r>
      <w:r>
        <w:t xml:space="preserve">publicação, aparecem seus objetivos: “a conceituação dos direitos reprodutivos e sexuais como direitos humanos; a retomada do Programa de Assistência Integral à Saúde   da Mulher (PAISM) </w:t>
      </w:r>
      <w:r>
        <w:rPr>
          <w:spacing w:val="2"/>
        </w:rPr>
        <w:t xml:space="preserve">como </w:t>
      </w:r>
      <w:r>
        <w:t xml:space="preserve">referência para a otimização dos serviços e a luta pelo direito </w:t>
      </w:r>
      <w:r>
        <w:rPr>
          <w:spacing w:val="4"/>
        </w:rPr>
        <w:t xml:space="preserve">de </w:t>
      </w:r>
      <w:r>
        <w:t>decidir sobre  o</w:t>
      </w:r>
      <w:r>
        <w:rPr>
          <w:spacing w:val="13"/>
        </w:rPr>
        <w:t xml:space="preserve"> </w:t>
      </w:r>
      <w:r>
        <w:t>aborto”.</w:t>
      </w:r>
    </w:p>
    <w:p w:rsidR="00CC7D10" w:rsidRDefault="00CC7D10" w:rsidP="00CC7D10">
      <w:pPr>
        <w:rPr>
          <w:rFonts w:ascii="Times New Roman" w:eastAsia="Times New Roman" w:hAnsi="Times New Roman"/>
        </w:rPr>
      </w:pPr>
    </w:p>
    <w:p w:rsidR="00CC7D10" w:rsidRDefault="00CC7D10" w:rsidP="00CC7D10">
      <w:pPr>
        <w:pStyle w:val="Corpodetexto"/>
        <w:spacing w:before="151" w:line="367" w:lineRule="auto"/>
        <w:ind w:right="101"/>
        <w:jc w:val="both"/>
      </w:pPr>
      <w:r>
        <w:rPr>
          <w:b/>
          <w:bCs/>
        </w:rPr>
        <w:t xml:space="preserve">Universitário </w:t>
      </w:r>
      <w:r>
        <w:t xml:space="preserve">— A pesquisa acadêmica e a militância feminista </w:t>
      </w:r>
      <w:r>
        <w:rPr>
          <w:spacing w:val="-3"/>
        </w:rPr>
        <w:t xml:space="preserve">se </w:t>
      </w:r>
      <w:r>
        <w:t xml:space="preserve">entrecruzam nos  vários  núcleos de estudos feministas criados nas universidades brasileiras durante o período </w:t>
      </w:r>
      <w:r>
        <w:rPr>
          <w:spacing w:val="3"/>
        </w:rPr>
        <w:t xml:space="preserve">em </w:t>
      </w:r>
      <w:r>
        <w:t xml:space="preserve">questão, pós- 1974. O fato ocorre porque, “quando o movimento  feminista chega no  Brasil, a partir de 1975, muitas  das suas  ativistas ou  simpatizantes  </w:t>
      </w:r>
      <w:r>
        <w:rPr>
          <w:spacing w:val="-4"/>
        </w:rPr>
        <w:t xml:space="preserve">já  </w:t>
      </w:r>
      <w:r>
        <w:t xml:space="preserve">estavam  inseridas  </w:t>
      </w:r>
      <w:r>
        <w:rPr>
          <w:spacing w:val="4"/>
        </w:rPr>
        <w:t xml:space="preserve">na </w:t>
      </w:r>
      <w:r>
        <w:t>academia  e</w:t>
      </w:r>
      <w:r>
        <w:rPr>
          <w:spacing w:val="2"/>
        </w:rPr>
        <w:t xml:space="preserve"> </w:t>
      </w:r>
      <w:r>
        <w:t>trabalhavam nas universidades”</w:t>
      </w: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CC7D10" w:rsidRDefault="00CC7D10" w:rsidP="00CC7D10">
      <w:pPr>
        <w:spacing w:before="6"/>
        <w:rPr>
          <w:rFonts w:ascii="Times New Roman" w:eastAsia="Times New Roman" w:hAnsi="Times New Roman"/>
          <w:sz w:val="16"/>
          <w:szCs w:val="16"/>
        </w:rPr>
      </w:pPr>
      <w:r w:rsidRPr="00CC7D10">
        <w:rPr>
          <w:lang w:val="en-US"/>
        </w:rPr>
        <w:pict>
          <v:group id="_x0000_s1689" style="position:absolute;left:0;text-align:left;margin-left:68.9pt;margin-top:10.85pt;width:140.2pt;height:.1pt;z-index:251695616;mso-wrap-distance-left:0;mso-wrap-distance-right:0;mso-position-horizontal-relative:page" coordorigin="1378,217" coordsize="2804,2">
            <v:shape id="_x0000_s1690" style="position:absolute;left:1378;top:217;width:2804;height:2" coordorigin="1378,217" coordsize="2804,0" path="m1378,217r2803,e" filled="f" strokeweight=".25367mm">
              <v:path arrowok="t"/>
            </v:shape>
            <w10:wrap type="topAndBottom" anchorx="page"/>
          </v:group>
        </w:pict>
      </w:r>
    </w:p>
    <w:p w:rsidR="00CC7D10" w:rsidRDefault="00CC7D10" w:rsidP="00CC7D10">
      <w:pPr>
        <w:spacing w:before="66"/>
        <w:ind w:left="116"/>
        <w:rPr>
          <w:rFonts w:ascii="Times New Roman" w:eastAsia="Times New Roman" w:hAnsi="Times New Roman"/>
          <w:sz w:val="15"/>
          <w:szCs w:val="15"/>
        </w:rPr>
      </w:pPr>
      <w:r>
        <w:rPr>
          <w:rFonts w:ascii="Times New Roman" w:hAnsi="Times New Roman"/>
          <w:w w:val="105"/>
          <w:position w:val="7"/>
          <w:sz w:val="10"/>
        </w:rPr>
        <w:t>10</w:t>
      </w:r>
      <w:r>
        <w:rPr>
          <w:rFonts w:ascii="Times New Roman" w:hAnsi="Times New Roman"/>
          <w:spacing w:val="-1"/>
          <w:w w:val="105"/>
          <w:position w:val="7"/>
          <w:sz w:val="10"/>
        </w:rPr>
        <w:t xml:space="preserve"> </w:t>
      </w:r>
      <w:r>
        <w:rPr>
          <w:rFonts w:ascii="Times New Roman" w:hAnsi="Times New Roman"/>
          <w:w w:val="105"/>
          <w:sz w:val="15"/>
        </w:rPr>
        <w:t>Atualmente,</w:t>
      </w:r>
      <w:r>
        <w:rPr>
          <w:rFonts w:ascii="Times New Roman" w:hAnsi="Times New Roman"/>
          <w:spacing w:val="-6"/>
          <w:w w:val="105"/>
          <w:sz w:val="15"/>
        </w:rPr>
        <w:t xml:space="preserve"> </w:t>
      </w:r>
      <w:r>
        <w:rPr>
          <w:rFonts w:ascii="Times New Roman" w:hAnsi="Times New Roman"/>
          <w:w w:val="105"/>
          <w:sz w:val="15"/>
        </w:rPr>
        <w:t>o</w:t>
      </w:r>
      <w:r>
        <w:rPr>
          <w:rFonts w:ascii="Times New Roman" w:hAnsi="Times New Roman"/>
          <w:spacing w:val="-10"/>
          <w:w w:val="105"/>
          <w:sz w:val="15"/>
        </w:rPr>
        <w:t xml:space="preserve"> </w:t>
      </w:r>
      <w:r>
        <w:rPr>
          <w:rFonts w:ascii="Times New Roman" w:hAnsi="Times New Roman"/>
          <w:w w:val="105"/>
          <w:sz w:val="15"/>
        </w:rPr>
        <w:t>nome</w:t>
      </w:r>
      <w:r>
        <w:rPr>
          <w:rFonts w:ascii="Times New Roman" w:hAnsi="Times New Roman"/>
          <w:spacing w:val="-7"/>
          <w:w w:val="105"/>
          <w:sz w:val="15"/>
        </w:rPr>
        <w:t xml:space="preserve"> </w:t>
      </w:r>
      <w:r>
        <w:rPr>
          <w:rFonts w:ascii="Times New Roman" w:hAnsi="Times New Roman"/>
          <w:w w:val="105"/>
          <w:sz w:val="15"/>
        </w:rPr>
        <w:t>da</w:t>
      </w:r>
      <w:r>
        <w:rPr>
          <w:rFonts w:ascii="Times New Roman" w:hAnsi="Times New Roman"/>
          <w:spacing w:val="-11"/>
          <w:w w:val="105"/>
          <w:sz w:val="15"/>
        </w:rPr>
        <w:t xml:space="preserve"> </w:t>
      </w:r>
      <w:r>
        <w:rPr>
          <w:rFonts w:ascii="Times New Roman" w:hAnsi="Times New Roman"/>
          <w:w w:val="105"/>
          <w:sz w:val="15"/>
        </w:rPr>
        <w:t>entidade</w:t>
      </w:r>
      <w:r>
        <w:rPr>
          <w:rFonts w:ascii="Times New Roman" w:hAnsi="Times New Roman"/>
          <w:spacing w:val="-7"/>
          <w:w w:val="105"/>
          <w:sz w:val="15"/>
        </w:rPr>
        <w:t xml:space="preserve"> </w:t>
      </w:r>
      <w:r>
        <w:rPr>
          <w:rFonts w:ascii="Times New Roman" w:hAnsi="Times New Roman"/>
          <w:w w:val="105"/>
          <w:sz w:val="15"/>
        </w:rPr>
        <w:t>é</w:t>
      </w:r>
      <w:r>
        <w:rPr>
          <w:rFonts w:ascii="Times New Roman" w:hAnsi="Times New Roman"/>
          <w:spacing w:val="-15"/>
          <w:w w:val="105"/>
          <w:sz w:val="15"/>
        </w:rPr>
        <w:t xml:space="preserve"> </w:t>
      </w:r>
      <w:r>
        <w:rPr>
          <w:rFonts w:ascii="Times New Roman" w:hAnsi="Times New Roman"/>
          <w:w w:val="105"/>
          <w:sz w:val="15"/>
        </w:rPr>
        <w:t>Rede</w:t>
      </w:r>
      <w:r>
        <w:rPr>
          <w:rFonts w:ascii="Times New Roman" w:hAnsi="Times New Roman"/>
          <w:spacing w:val="-11"/>
          <w:w w:val="105"/>
          <w:sz w:val="15"/>
        </w:rPr>
        <w:t xml:space="preserve"> </w:t>
      </w:r>
      <w:r>
        <w:rPr>
          <w:rFonts w:ascii="Times New Roman" w:hAnsi="Times New Roman"/>
          <w:w w:val="105"/>
          <w:sz w:val="15"/>
        </w:rPr>
        <w:t>Nacional</w:t>
      </w:r>
      <w:r>
        <w:rPr>
          <w:rFonts w:ascii="Times New Roman" w:hAnsi="Times New Roman"/>
          <w:spacing w:val="-6"/>
          <w:w w:val="105"/>
          <w:sz w:val="15"/>
        </w:rPr>
        <w:t xml:space="preserve"> </w:t>
      </w:r>
      <w:r>
        <w:rPr>
          <w:rFonts w:ascii="Times New Roman" w:hAnsi="Times New Roman"/>
          <w:w w:val="105"/>
          <w:sz w:val="15"/>
        </w:rPr>
        <w:t>Feminista</w:t>
      </w:r>
      <w:r>
        <w:rPr>
          <w:rFonts w:ascii="Times New Roman" w:hAnsi="Times New Roman"/>
          <w:spacing w:val="-7"/>
          <w:w w:val="105"/>
          <w:sz w:val="15"/>
        </w:rPr>
        <w:t xml:space="preserve"> </w:t>
      </w:r>
      <w:r>
        <w:rPr>
          <w:rFonts w:ascii="Times New Roman" w:hAnsi="Times New Roman"/>
          <w:w w:val="105"/>
          <w:sz w:val="15"/>
        </w:rPr>
        <w:t>de</w:t>
      </w:r>
      <w:r>
        <w:rPr>
          <w:rFonts w:ascii="Times New Roman" w:hAnsi="Times New Roman"/>
          <w:spacing w:val="-7"/>
          <w:w w:val="105"/>
          <w:sz w:val="15"/>
        </w:rPr>
        <w:t xml:space="preserve"> </w:t>
      </w:r>
      <w:r>
        <w:rPr>
          <w:rFonts w:ascii="Times New Roman" w:hAnsi="Times New Roman"/>
          <w:w w:val="105"/>
          <w:sz w:val="15"/>
        </w:rPr>
        <w:t>Saúde,</w:t>
      </w:r>
      <w:r>
        <w:rPr>
          <w:rFonts w:ascii="Times New Roman" w:hAnsi="Times New Roman"/>
          <w:spacing w:val="-13"/>
          <w:w w:val="105"/>
          <w:sz w:val="15"/>
        </w:rPr>
        <w:t xml:space="preserve"> </w:t>
      </w:r>
      <w:r>
        <w:rPr>
          <w:rFonts w:ascii="Times New Roman" w:hAnsi="Times New Roman"/>
          <w:w w:val="105"/>
          <w:sz w:val="15"/>
        </w:rPr>
        <w:t>Direitos</w:t>
      </w:r>
      <w:r>
        <w:rPr>
          <w:rFonts w:ascii="Times New Roman" w:hAnsi="Times New Roman"/>
          <w:spacing w:val="-12"/>
          <w:w w:val="105"/>
          <w:sz w:val="15"/>
        </w:rPr>
        <w:t xml:space="preserve"> </w:t>
      </w:r>
      <w:r>
        <w:rPr>
          <w:rFonts w:ascii="Times New Roman" w:hAnsi="Times New Roman"/>
          <w:w w:val="105"/>
          <w:sz w:val="15"/>
        </w:rPr>
        <w:t>Sexuais</w:t>
      </w:r>
      <w:r>
        <w:rPr>
          <w:rFonts w:ascii="Times New Roman" w:hAnsi="Times New Roman"/>
          <w:spacing w:val="-12"/>
          <w:w w:val="105"/>
          <w:sz w:val="15"/>
        </w:rPr>
        <w:t xml:space="preserve"> </w:t>
      </w:r>
      <w:r>
        <w:rPr>
          <w:rFonts w:ascii="Times New Roman" w:hAnsi="Times New Roman"/>
          <w:w w:val="105"/>
          <w:sz w:val="15"/>
        </w:rPr>
        <w:t>e</w:t>
      </w:r>
      <w:r>
        <w:rPr>
          <w:rFonts w:ascii="Times New Roman" w:hAnsi="Times New Roman"/>
          <w:spacing w:val="-7"/>
          <w:w w:val="105"/>
          <w:sz w:val="15"/>
        </w:rPr>
        <w:t xml:space="preserve"> </w:t>
      </w:r>
      <w:r>
        <w:rPr>
          <w:rFonts w:ascii="Times New Roman" w:hAnsi="Times New Roman"/>
          <w:w w:val="105"/>
          <w:sz w:val="15"/>
        </w:rPr>
        <w:t>Direitos</w:t>
      </w:r>
      <w:r>
        <w:rPr>
          <w:rFonts w:ascii="Times New Roman" w:hAnsi="Times New Roman"/>
          <w:spacing w:val="-12"/>
          <w:w w:val="105"/>
          <w:sz w:val="15"/>
        </w:rPr>
        <w:t xml:space="preserve"> </w:t>
      </w:r>
      <w:r>
        <w:rPr>
          <w:rFonts w:ascii="Times New Roman" w:hAnsi="Times New Roman"/>
          <w:w w:val="105"/>
          <w:sz w:val="15"/>
        </w:rPr>
        <w:t>Reprodutivos.</w:t>
      </w:r>
    </w:p>
    <w:p w:rsidR="00CC7D10" w:rsidRDefault="00CC7D10" w:rsidP="00CC7D10">
      <w:pPr>
        <w:rPr>
          <w:rFonts w:ascii="Times New Roman" w:eastAsia="Times New Roman" w:hAnsi="Times New Roman"/>
          <w:sz w:val="15"/>
          <w:szCs w:val="15"/>
        </w:rPr>
        <w:sectPr w:rsidR="00CC7D10">
          <w:pgSz w:w="11900" w:h="16840"/>
          <w:pgMar w:top="1600" w:right="1260" w:bottom="280" w:left="560" w:header="720" w:footer="720" w:gutter="0"/>
          <w:cols w:space="720"/>
        </w:sectPr>
      </w:pPr>
    </w:p>
    <w:p w:rsidR="00CC7D10" w:rsidRDefault="00CC7D10" w:rsidP="00CC7D10">
      <w:pPr>
        <w:rPr>
          <w:rFonts w:ascii="Times New Roman" w:eastAsia="Times New Roman" w:hAnsi="Times New Roman"/>
          <w:sz w:val="20"/>
          <w:szCs w:val="20"/>
        </w:rPr>
      </w:pPr>
    </w:p>
    <w:p w:rsidR="00CC7D10" w:rsidRDefault="00CC7D10" w:rsidP="00CC7D10">
      <w:pPr>
        <w:spacing w:before="1"/>
        <w:rPr>
          <w:rFonts w:ascii="Times New Roman" w:eastAsia="Times New Roman" w:hAnsi="Times New Roman"/>
          <w:sz w:val="19"/>
          <w:szCs w:val="19"/>
        </w:rPr>
      </w:pPr>
    </w:p>
    <w:p w:rsidR="00CC7D10" w:rsidRDefault="00CC7D10" w:rsidP="00CC7D10">
      <w:pPr>
        <w:pStyle w:val="Corpodetexto"/>
        <w:spacing w:line="364" w:lineRule="auto"/>
        <w:ind w:right="101" w:firstLine="0"/>
        <w:jc w:val="both"/>
      </w:pPr>
      <w:r>
        <w:t>(Heilborn e Sorj, 1999).</w:t>
      </w:r>
      <w:r>
        <w:rPr>
          <w:position w:val="11"/>
          <w:sz w:val="15"/>
        </w:rPr>
        <w:t xml:space="preserve">11 </w:t>
      </w:r>
      <w:r>
        <w:rPr>
          <w:spacing w:val="2"/>
        </w:rPr>
        <w:t xml:space="preserve">Tal </w:t>
      </w:r>
      <w:r>
        <w:t xml:space="preserve">quadro propiciou a publicação de inúmeros cadernos, revistas e periódicos feministas sob a responsabilidade de pesquisadoras, estudantes e professoras universitárias. Como já observado, este artigo incluiu as publicações de caráter noticioso-jornalístico, deixando de </w:t>
      </w:r>
      <w:r>
        <w:rPr>
          <w:spacing w:val="-3"/>
        </w:rPr>
        <w:t xml:space="preserve">fora </w:t>
      </w:r>
      <w:r>
        <w:t xml:space="preserve">as publicações analíticas e </w:t>
      </w:r>
      <w:r>
        <w:rPr>
          <w:spacing w:val="4"/>
        </w:rPr>
        <w:t xml:space="preserve">de </w:t>
      </w:r>
      <w:r>
        <w:t xml:space="preserve">divulgação de textos científicos ou acadêmicos.  Então,  observando-se  o acervo </w:t>
      </w:r>
      <w:r>
        <w:rPr>
          <w:spacing w:val="4"/>
        </w:rPr>
        <w:t xml:space="preserve">de </w:t>
      </w:r>
      <w:r>
        <w:t xml:space="preserve">75 periódicos, percebeu-se a existência </w:t>
      </w:r>
      <w:r>
        <w:rPr>
          <w:spacing w:val="-3"/>
        </w:rPr>
        <w:t xml:space="preserve">de </w:t>
      </w:r>
      <w:r>
        <w:rPr>
          <w:spacing w:val="4"/>
        </w:rPr>
        <w:t xml:space="preserve">um </w:t>
      </w:r>
      <w:r>
        <w:t xml:space="preserve">novo subgrupo: </w:t>
      </w:r>
      <w:r>
        <w:rPr>
          <w:spacing w:val="4"/>
        </w:rPr>
        <w:t xml:space="preserve">os </w:t>
      </w:r>
      <w:r>
        <w:t xml:space="preserve">universitários. Formada por oito títulos, essa categoria está localizada na segunda geração </w:t>
      </w:r>
      <w:r>
        <w:rPr>
          <w:spacing w:val="4"/>
        </w:rPr>
        <w:t xml:space="preserve">da </w:t>
      </w:r>
      <w:r>
        <w:t xml:space="preserve">imprensa feminista (salvo o </w:t>
      </w:r>
      <w:r>
        <w:rPr>
          <w:i/>
        </w:rPr>
        <w:t xml:space="preserve">Mulher Liberta Mulher </w:t>
      </w:r>
      <w:r>
        <w:t>que é da primeira geração), e sete deles estão ligados a alguma universidade, em cinco casos, públicas e, em dois casos,</w:t>
      </w:r>
      <w:r>
        <w:rPr>
          <w:spacing w:val="52"/>
        </w:rPr>
        <w:t xml:space="preserve"> </w:t>
      </w:r>
      <w:r>
        <w:t>privadas.</w:t>
      </w:r>
    </w:p>
    <w:p w:rsidR="00CC7D10" w:rsidRDefault="00CC7D10" w:rsidP="00CC7D10">
      <w:pPr>
        <w:pStyle w:val="Corpodetexto"/>
        <w:spacing w:before="6" w:line="364" w:lineRule="auto"/>
        <w:ind w:right="98"/>
        <w:jc w:val="both"/>
      </w:pPr>
      <w:r>
        <w:t xml:space="preserve">Os assuntos presentes nos jornais feministas universitários diferem dos demais periódicos ao abordar agenda </w:t>
      </w:r>
      <w:r>
        <w:rPr>
          <w:spacing w:val="4"/>
        </w:rPr>
        <w:t xml:space="preserve">de </w:t>
      </w:r>
      <w:r>
        <w:t xml:space="preserve">cursos, eventos e congressos acadêmicos sobre gênero, poesia, cinema, literatura, relatório de pesquisas desenvolvidas pelos grupos e participação de mulheres no movimento estudantil. </w:t>
      </w:r>
      <w:r>
        <w:rPr>
          <w:spacing w:val="2"/>
        </w:rPr>
        <w:t xml:space="preserve">Dos </w:t>
      </w:r>
      <w:r>
        <w:t xml:space="preserve">temas presentes no restante </w:t>
      </w:r>
      <w:r>
        <w:rPr>
          <w:spacing w:val="4"/>
        </w:rPr>
        <w:t xml:space="preserve">da </w:t>
      </w:r>
      <w:r>
        <w:t xml:space="preserve">imprensa feminista, creches aborto e violência contra  a  mulher também freqüentaram a pauta dos </w:t>
      </w:r>
      <w:r>
        <w:rPr>
          <w:spacing w:val="1"/>
        </w:rPr>
        <w:t xml:space="preserve"> </w:t>
      </w:r>
      <w:r>
        <w:t>universitários.</w:t>
      </w:r>
    </w:p>
    <w:p w:rsidR="00CC7D10" w:rsidRDefault="00CC7D10" w:rsidP="00CC7D10">
      <w:pPr>
        <w:pStyle w:val="Corpodetexto"/>
        <w:spacing w:before="11" w:line="364" w:lineRule="auto"/>
        <w:ind w:right="98"/>
        <w:jc w:val="both"/>
      </w:pPr>
      <w:r>
        <w:t xml:space="preserve">Em termos de produção editorial, não há um padrão entre eles. Alguns com envolvimento de profissionais em edição e financiamento conseguiram tiragens significativas, impressão duas cores e circulação durante anos, como é o caso do </w:t>
      </w:r>
      <w:r>
        <w:rPr>
          <w:i/>
        </w:rPr>
        <w:t xml:space="preserve">Núcleo de Estudos sobre a Mulher </w:t>
      </w:r>
      <w:r>
        <w:t>(NEM), da PUC-RJ, que  teve sua primeira edição em outubro de 1981 e, segundo dados encontrados na pesquisa de campo,  circulou</w:t>
      </w:r>
      <w:r>
        <w:rPr>
          <w:spacing w:val="43"/>
        </w:rPr>
        <w:t xml:space="preserve"> </w:t>
      </w:r>
      <w:r>
        <w:rPr>
          <w:spacing w:val="-3"/>
        </w:rPr>
        <w:t>até</w:t>
      </w:r>
      <w:r>
        <w:rPr>
          <w:spacing w:val="37"/>
        </w:rPr>
        <w:t xml:space="preserve"> </w:t>
      </w:r>
      <w:r>
        <w:t>1989.</w:t>
      </w:r>
      <w:r>
        <w:rPr>
          <w:spacing w:val="34"/>
        </w:rPr>
        <w:t xml:space="preserve"> </w:t>
      </w:r>
      <w:r>
        <w:t>Outros</w:t>
      </w:r>
      <w:r>
        <w:rPr>
          <w:spacing w:val="35"/>
        </w:rPr>
        <w:t xml:space="preserve"> </w:t>
      </w:r>
      <w:r>
        <w:t>eram</w:t>
      </w:r>
      <w:r>
        <w:rPr>
          <w:spacing w:val="36"/>
        </w:rPr>
        <w:t xml:space="preserve"> </w:t>
      </w:r>
      <w:r>
        <w:t>mimeografados</w:t>
      </w:r>
      <w:r>
        <w:rPr>
          <w:spacing w:val="35"/>
        </w:rPr>
        <w:t xml:space="preserve"> </w:t>
      </w:r>
      <w:r>
        <w:t>e</w:t>
      </w:r>
      <w:r>
        <w:rPr>
          <w:spacing w:val="37"/>
        </w:rPr>
        <w:t xml:space="preserve"> </w:t>
      </w:r>
      <w:r>
        <w:t>com</w:t>
      </w:r>
      <w:r>
        <w:rPr>
          <w:spacing w:val="38"/>
        </w:rPr>
        <w:t xml:space="preserve"> </w:t>
      </w:r>
      <w:r>
        <w:t>vida</w:t>
      </w:r>
      <w:r>
        <w:rPr>
          <w:spacing w:val="32"/>
        </w:rPr>
        <w:t xml:space="preserve"> </w:t>
      </w:r>
      <w:r>
        <w:t>curta,</w:t>
      </w:r>
      <w:r>
        <w:rPr>
          <w:spacing w:val="34"/>
        </w:rPr>
        <w:t xml:space="preserve"> </w:t>
      </w:r>
      <w:r>
        <w:t>como</w:t>
      </w:r>
      <w:r>
        <w:rPr>
          <w:spacing w:val="38"/>
        </w:rPr>
        <w:t xml:space="preserve"> </w:t>
      </w:r>
      <w:r>
        <w:t>o</w:t>
      </w:r>
      <w:r>
        <w:rPr>
          <w:spacing w:val="42"/>
        </w:rPr>
        <w:t xml:space="preserve"> </w:t>
      </w:r>
      <w:r>
        <w:rPr>
          <w:i/>
        </w:rPr>
        <w:t>Mulher</w:t>
      </w:r>
      <w:r>
        <w:rPr>
          <w:i/>
          <w:spacing w:val="40"/>
        </w:rPr>
        <w:t xml:space="preserve"> </w:t>
      </w:r>
      <w:r>
        <w:rPr>
          <w:i/>
        </w:rPr>
        <w:t>Liberta</w:t>
      </w:r>
      <w:r>
        <w:rPr>
          <w:i/>
          <w:spacing w:val="43"/>
        </w:rPr>
        <w:t xml:space="preserve"> </w:t>
      </w:r>
      <w:r>
        <w:rPr>
          <w:i/>
        </w:rPr>
        <w:lastRenderedPageBreak/>
        <w:t>Mulher</w:t>
      </w:r>
      <w:r>
        <w:t>,</w:t>
      </w:r>
      <w:r>
        <w:rPr>
          <w:spacing w:val="34"/>
        </w:rPr>
        <w:t xml:space="preserve"> </w:t>
      </w:r>
      <w:r>
        <w:rPr>
          <w:spacing w:val="4"/>
        </w:rPr>
        <w:t>da</w:t>
      </w:r>
    </w:p>
    <w:p w:rsidR="00CC7D10" w:rsidRDefault="00CC7D10" w:rsidP="00CC7D10">
      <w:pPr>
        <w:pStyle w:val="Corpodetexto"/>
        <w:spacing w:before="6" w:line="328" w:lineRule="auto"/>
        <w:ind w:right="107" w:firstLine="0"/>
        <w:jc w:val="both"/>
        <w:rPr>
          <w:sz w:val="15"/>
          <w:szCs w:val="15"/>
        </w:rPr>
      </w:pPr>
      <w:r>
        <w:t xml:space="preserve">Universidade Federal do </w:t>
      </w:r>
      <w:r>
        <w:rPr>
          <w:spacing w:val="-2"/>
        </w:rPr>
        <w:t xml:space="preserve">Rio </w:t>
      </w:r>
      <w:r>
        <w:t xml:space="preserve">Grande do Sul, que </w:t>
      </w:r>
      <w:r>
        <w:rPr>
          <w:spacing w:val="-3"/>
        </w:rPr>
        <w:t xml:space="preserve">teve </w:t>
      </w:r>
      <w:r>
        <w:t xml:space="preserve">sua edição de estréia em 1980 e, segundo dados do acervo pesquisado, parou de circular </w:t>
      </w:r>
      <w:r>
        <w:rPr>
          <w:spacing w:val="3"/>
        </w:rPr>
        <w:t>em</w:t>
      </w:r>
      <w:r>
        <w:rPr>
          <w:spacing w:val="46"/>
        </w:rPr>
        <w:t xml:space="preserve"> </w:t>
      </w:r>
      <w:r>
        <w:t>1982.</w:t>
      </w:r>
      <w:r>
        <w:rPr>
          <w:position w:val="11"/>
          <w:sz w:val="15"/>
        </w:rPr>
        <w:t>12</w:t>
      </w:r>
    </w:p>
    <w:p w:rsidR="00CC7D10" w:rsidRDefault="00CC7D10" w:rsidP="00CC7D10">
      <w:pPr>
        <w:pStyle w:val="Corpodetexto"/>
        <w:spacing w:before="30" w:line="364" w:lineRule="auto"/>
        <w:ind w:right="101"/>
        <w:jc w:val="both"/>
      </w:pPr>
      <w:r>
        <w:t xml:space="preserve">No geral, os periódicos desse subgrupo </w:t>
      </w:r>
      <w:r>
        <w:rPr>
          <w:spacing w:val="-3"/>
        </w:rPr>
        <w:t xml:space="preserve">foram </w:t>
      </w:r>
      <w:r>
        <w:t xml:space="preserve">criados para fortalecer os grupos de pesquisas que lhes davam suporte, como declara o editorial do número zero do Boletim “Núcleo de Estudos e Pesquisa sobre a Mulher”, da Universidade Federal de Minas Gerais, de janeiro </w:t>
      </w:r>
      <w:r>
        <w:rPr>
          <w:spacing w:val="4"/>
        </w:rPr>
        <w:t xml:space="preserve">de </w:t>
      </w:r>
      <w:r>
        <w:rPr>
          <w:spacing w:val="23"/>
        </w:rPr>
        <w:t xml:space="preserve"> </w:t>
      </w:r>
      <w:r>
        <w:t>1985:</w:t>
      </w:r>
    </w:p>
    <w:p w:rsidR="00CC7D10" w:rsidRDefault="00CC7D10" w:rsidP="00CC7D10">
      <w:pPr>
        <w:spacing w:before="6"/>
        <w:rPr>
          <w:rFonts w:ascii="Times New Roman" w:eastAsia="Times New Roman" w:hAnsi="Times New Roman"/>
          <w:sz w:val="20"/>
          <w:szCs w:val="20"/>
        </w:rPr>
      </w:pPr>
    </w:p>
    <w:p w:rsidR="00BC7986" w:rsidRDefault="00CC7D10" w:rsidP="00BC7986">
      <w:pPr>
        <w:spacing w:line="247" w:lineRule="auto"/>
        <w:ind w:left="1340"/>
        <w:rPr>
          <w:rFonts w:ascii="Times New Roman" w:eastAsia="Times New Roman" w:hAnsi="Times New Roman"/>
          <w:sz w:val="19"/>
          <w:szCs w:val="19"/>
        </w:rPr>
      </w:pPr>
      <w:r>
        <w:rPr>
          <w:rFonts w:ascii="Times New Roman" w:hAnsi="Times New Roman"/>
          <w:w w:val="105"/>
          <w:sz w:val="19"/>
        </w:rPr>
        <w:t xml:space="preserve">O </w:t>
      </w:r>
      <w:r>
        <w:rPr>
          <w:rFonts w:ascii="Times New Roman" w:hAnsi="Times New Roman"/>
          <w:spacing w:val="-3"/>
          <w:w w:val="105"/>
          <w:sz w:val="19"/>
        </w:rPr>
        <w:t xml:space="preserve">Boletim </w:t>
      </w:r>
      <w:r>
        <w:rPr>
          <w:rFonts w:ascii="Times New Roman" w:hAnsi="Times New Roman"/>
          <w:w w:val="105"/>
          <w:sz w:val="19"/>
        </w:rPr>
        <w:t xml:space="preserve">do Núcleo de Estudos e Pesquisa sobre a Mulher </w:t>
      </w:r>
      <w:r>
        <w:rPr>
          <w:rFonts w:ascii="Times New Roman" w:hAnsi="Times New Roman"/>
          <w:spacing w:val="-4"/>
          <w:w w:val="105"/>
          <w:sz w:val="19"/>
        </w:rPr>
        <w:t xml:space="preserve">foi </w:t>
      </w:r>
      <w:r>
        <w:rPr>
          <w:rFonts w:ascii="Times New Roman" w:hAnsi="Times New Roman"/>
          <w:w w:val="105"/>
          <w:sz w:val="19"/>
        </w:rPr>
        <w:t>criado com o objetivo de divulgar suas atividades,</w:t>
      </w:r>
      <w:r>
        <w:rPr>
          <w:rFonts w:ascii="Times New Roman" w:hAnsi="Times New Roman"/>
          <w:spacing w:val="-16"/>
          <w:w w:val="105"/>
          <w:sz w:val="19"/>
        </w:rPr>
        <w:t xml:space="preserve"> </w:t>
      </w:r>
      <w:r>
        <w:rPr>
          <w:rFonts w:ascii="Times New Roman" w:hAnsi="Times New Roman"/>
          <w:w w:val="105"/>
          <w:sz w:val="19"/>
        </w:rPr>
        <w:t>a</w:t>
      </w:r>
      <w:r>
        <w:rPr>
          <w:rFonts w:ascii="Times New Roman" w:hAnsi="Times New Roman"/>
          <w:spacing w:val="-16"/>
          <w:w w:val="105"/>
          <w:sz w:val="19"/>
        </w:rPr>
        <w:t xml:space="preserve"> </w:t>
      </w:r>
      <w:r>
        <w:rPr>
          <w:rFonts w:ascii="Times New Roman" w:hAnsi="Times New Roman"/>
          <w:w w:val="105"/>
          <w:sz w:val="19"/>
        </w:rPr>
        <w:t>bibliografia</w:t>
      </w:r>
      <w:r>
        <w:rPr>
          <w:rFonts w:ascii="Times New Roman" w:hAnsi="Times New Roman"/>
          <w:spacing w:val="-16"/>
          <w:w w:val="105"/>
          <w:sz w:val="19"/>
        </w:rPr>
        <w:t xml:space="preserve"> </w:t>
      </w:r>
      <w:r>
        <w:rPr>
          <w:rFonts w:ascii="Times New Roman" w:hAnsi="Times New Roman"/>
          <w:w w:val="105"/>
          <w:sz w:val="19"/>
        </w:rPr>
        <w:t>de</w:t>
      </w:r>
      <w:r>
        <w:rPr>
          <w:rFonts w:ascii="Times New Roman" w:hAnsi="Times New Roman"/>
          <w:spacing w:val="-12"/>
          <w:w w:val="105"/>
          <w:sz w:val="19"/>
        </w:rPr>
        <w:t xml:space="preserve"> </w:t>
      </w:r>
      <w:r>
        <w:rPr>
          <w:rFonts w:ascii="Times New Roman" w:hAnsi="Times New Roman"/>
          <w:w w:val="105"/>
          <w:sz w:val="19"/>
        </w:rPr>
        <w:t>trabalhos</w:t>
      </w:r>
      <w:r>
        <w:rPr>
          <w:rFonts w:ascii="Times New Roman" w:hAnsi="Times New Roman"/>
          <w:spacing w:val="-15"/>
          <w:w w:val="105"/>
          <w:sz w:val="19"/>
        </w:rPr>
        <w:t xml:space="preserve"> </w:t>
      </w:r>
      <w:r>
        <w:rPr>
          <w:rFonts w:ascii="Times New Roman" w:hAnsi="Times New Roman"/>
          <w:w w:val="105"/>
          <w:sz w:val="19"/>
        </w:rPr>
        <w:t>realizados</w:t>
      </w:r>
      <w:r>
        <w:rPr>
          <w:rFonts w:ascii="Times New Roman" w:hAnsi="Times New Roman"/>
          <w:spacing w:val="-17"/>
          <w:w w:val="105"/>
          <w:sz w:val="19"/>
        </w:rPr>
        <w:t xml:space="preserve"> </w:t>
      </w:r>
      <w:r>
        <w:rPr>
          <w:rFonts w:ascii="Times New Roman" w:hAnsi="Times New Roman"/>
          <w:w w:val="105"/>
          <w:sz w:val="19"/>
        </w:rPr>
        <w:t>na</w:t>
      </w:r>
      <w:r>
        <w:rPr>
          <w:rFonts w:ascii="Times New Roman" w:hAnsi="Times New Roman"/>
          <w:spacing w:val="-16"/>
          <w:w w:val="105"/>
          <w:sz w:val="19"/>
        </w:rPr>
        <w:t xml:space="preserve"> </w:t>
      </w:r>
      <w:r>
        <w:rPr>
          <w:rFonts w:ascii="Times New Roman" w:hAnsi="Times New Roman"/>
          <w:w w:val="105"/>
          <w:sz w:val="19"/>
        </w:rPr>
        <w:t>área,</w:t>
      </w:r>
      <w:r>
        <w:rPr>
          <w:rFonts w:ascii="Times New Roman" w:hAnsi="Times New Roman"/>
          <w:spacing w:val="-12"/>
          <w:w w:val="105"/>
          <w:sz w:val="19"/>
        </w:rPr>
        <w:t xml:space="preserve"> </w:t>
      </w:r>
      <w:r>
        <w:rPr>
          <w:rFonts w:ascii="Times New Roman" w:hAnsi="Times New Roman"/>
          <w:spacing w:val="-3"/>
          <w:w w:val="105"/>
          <w:sz w:val="19"/>
        </w:rPr>
        <w:t>as</w:t>
      </w:r>
      <w:r>
        <w:rPr>
          <w:rFonts w:ascii="Times New Roman" w:hAnsi="Times New Roman"/>
          <w:spacing w:val="-15"/>
          <w:w w:val="105"/>
          <w:sz w:val="19"/>
        </w:rPr>
        <w:t xml:space="preserve"> </w:t>
      </w:r>
      <w:r>
        <w:rPr>
          <w:rFonts w:ascii="Times New Roman" w:hAnsi="Times New Roman"/>
          <w:w w:val="105"/>
          <w:sz w:val="19"/>
        </w:rPr>
        <w:t>pesquisas</w:t>
      </w:r>
      <w:r>
        <w:rPr>
          <w:rFonts w:ascii="Times New Roman" w:hAnsi="Times New Roman"/>
          <w:spacing w:val="-15"/>
          <w:w w:val="105"/>
          <w:sz w:val="19"/>
        </w:rPr>
        <w:t xml:space="preserve"> </w:t>
      </w:r>
      <w:r>
        <w:rPr>
          <w:rFonts w:ascii="Times New Roman" w:hAnsi="Times New Roman"/>
          <w:spacing w:val="-3"/>
          <w:w w:val="105"/>
          <w:sz w:val="19"/>
        </w:rPr>
        <w:t>em</w:t>
      </w:r>
      <w:r>
        <w:rPr>
          <w:rFonts w:ascii="Times New Roman" w:hAnsi="Times New Roman"/>
          <w:spacing w:val="-15"/>
          <w:w w:val="105"/>
          <w:sz w:val="19"/>
        </w:rPr>
        <w:t xml:space="preserve"> </w:t>
      </w:r>
      <w:r>
        <w:rPr>
          <w:rFonts w:ascii="Times New Roman" w:hAnsi="Times New Roman"/>
          <w:w w:val="105"/>
          <w:sz w:val="19"/>
        </w:rPr>
        <w:t>andamento,</w:t>
      </w:r>
      <w:r>
        <w:rPr>
          <w:rFonts w:ascii="Times New Roman" w:hAnsi="Times New Roman"/>
          <w:spacing w:val="-12"/>
          <w:w w:val="105"/>
          <w:sz w:val="19"/>
        </w:rPr>
        <w:t xml:space="preserve"> </w:t>
      </w:r>
      <w:r>
        <w:rPr>
          <w:rFonts w:ascii="Times New Roman" w:hAnsi="Times New Roman"/>
          <w:w w:val="105"/>
          <w:sz w:val="19"/>
        </w:rPr>
        <w:t>assim</w:t>
      </w:r>
      <w:r>
        <w:rPr>
          <w:rFonts w:ascii="Times New Roman" w:hAnsi="Times New Roman"/>
          <w:spacing w:val="-15"/>
          <w:w w:val="105"/>
          <w:sz w:val="19"/>
        </w:rPr>
        <w:t xml:space="preserve"> </w:t>
      </w:r>
      <w:r>
        <w:rPr>
          <w:rFonts w:ascii="Times New Roman" w:hAnsi="Times New Roman"/>
          <w:w w:val="105"/>
          <w:sz w:val="19"/>
        </w:rPr>
        <w:t>como</w:t>
      </w:r>
      <w:r>
        <w:rPr>
          <w:rFonts w:ascii="Times New Roman" w:hAnsi="Times New Roman"/>
          <w:spacing w:val="-13"/>
          <w:w w:val="105"/>
          <w:sz w:val="19"/>
        </w:rPr>
        <w:t xml:space="preserve"> </w:t>
      </w:r>
      <w:r>
        <w:rPr>
          <w:rFonts w:ascii="Times New Roman" w:hAnsi="Times New Roman"/>
          <w:w w:val="105"/>
          <w:sz w:val="19"/>
        </w:rPr>
        <w:t>os</w:t>
      </w:r>
      <w:r>
        <w:rPr>
          <w:rFonts w:ascii="Times New Roman" w:hAnsi="Times New Roman"/>
          <w:spacing w:val="-15"/>
          <w:w w:val="105"/>
          <w:sz w:val="19"/>
        </w:rPr>
        <w:t xml:space="preserve"> </w:t>
      </w:r>
      <w:r>
        <w:rPr>
          <w:rFonts w:ascii="Times New Roman" w:hAnsi="Times New Roman"/>
          <w:spacing w:val="-3"/>
          <w:w w:val="105"/>
          <w:sz w:val="19"/>
        </w:rPr>
        <w:t>estudos</w:t>
      </w:r>
      <w:r>
        <w:rPr>
          <w:rFonts w:ascii="Times New Roman" w:hAnsi="Times New Roman"/>
          <w:spacing w:val="-15"/>
          <w:w w:val="105"/>
          <w:sz w:val="19"/>
        </w:rPr>
        <w:t xml:space="preserve"> </w:t>
      </w:r>
      <w:r>
        <w:rPr>
          <w:rFonts w:ascii="Times New Roman" w:hAnsi="Times New Roman"/>
          <w:w w:val="105"/>
          <w:sz w:val="19"/>
        </w:rPr>
        <w:t>e</w:t>
      </w:r>
      <w:r w:rsidR="00BC7986" w:rsidRPr="00BC7986">
        <w:rPr>
          <w:rFonts w:ascii="Times New Roman" w:hAnsi="Times New Roman"/>
          <w:w w:val="105"/>
          <w:sz w:val="19"/>
        </w:rPr>
        <w:t xml:space="preserve"> </w:t>
      </w:r>
      <w:r w:rsidR="00BC7986">
        <w:rPr>
          <w:rFonts w:ascii="Times New Roman" w:hAnsi="Times New Roman"/>
          <w:w w:val="105"/>
          <w:sz w:val="19"/>
        </w:rPr>
        <w:t>trabalhos</w:t>
      </w:r>
      <w:r w:rsidR="00BC7986">
        <w:rPr>
          <w:rFonts w:ascii="Times New Roman" w:hAnsi="Times New Roman"/>
          <w:spacing w:val="-5"/>
          <w:w w:val="105"/>
          <w:sz w:val="19"/>
        </w:rPr>
        <w:t xml:space="preserve"> </w:t>
      </w:r>
      <w:r w:rsidR="00BC7986">
        <w:rPr>
          <w:rFonts w:ascii="Times New Roman" w:hAnsi="Times New Roman"/>
          <w:w w:val="105"/>
          <w:sz w:val="19"/>
        </w:rPr>
        <w:t>realizados</w:t>
      </w:r>
      <w:r w:rsidR="00BC7986">
        <w:rPr>
          <w:rFonts w:ascii="Times New Roman" w:hAnsi="Times New Roman"/>
          <w:spacing w:val="-5"/>
          <w:w w:val="105"/>
          <w:sz w:val="19"/>
        </w:rPr>
        <w:t xml:space="preserve"> </w:t>
      </w:r>
      <w:r w:rsidR="00BC7986">
        <w:rPr>
          <w:rFonts w:ascii="Times New Roman" w:hAnsi="Times New Roman"/>
          <w:w w:val="105"/>
          <w:sz w:val="19"/>
        </w:rPr>
        <w:t>pelo núcleo,</w:t>
      </w:r>
      <w:r w:rsidR="00BC7986">
        <w:rPr>
          <w:rFonts w:ascii="Times New Roman" w:hAnsi="Times New Roman"/>
          <w:spacing w:val="-6"/>
          <w:w w:val="105"/>
          <w:sz w:val="19"/>
        </w:rPr>
        <w:t xml:space="preserve"> </w:t>
      </w:r>
      <w:r w:rsidR="00BC7986">
        <w:rPr>
          <w:rFonts w:ascii="Times New Roman" w:hAnsi="Times New Roman"/>
          <w:w w:val="105"/>
          <w:sz w:val="19"/>
        </w:rPr>
        <w:t>no</w:t>
      </w:r>
      <w:r w:rsidR="00BC7986">
        <w:rPr>
          <w:rFonts w:ascii="Times New Roman" w:hAnsi="Times New Roman"/>
          <w:spacing w:val="-3"/>
          <w:w w:val="105"/>
          <w:sz w:val="19"/>
        </w:rPr>
        <w:t xml:space="preserve"> </w:t>
      </w:r>
      <w:r w:rsidR="00BC7986">
        <w:rPr>
          <w:rFonts w:ascii="Times New Roman" w:hAnsi="Times New Roman"/>
          <w:w w:val="105"/>
          <w:sz w:val="19"/>
        </w:rPr>
        <w:t>sentido</w:t>
      </w:r>
      <w:r w:rsidR="00BC7986">
        <w:rPr>
          <w:rFonts w:ascii="Times New Roman" w:hAnsi="Times New Roman"/>
          <w:spacing w:val="-3"/>
          <w:w w:val="105"/>
          <w:sz w:val="19"/>
        </w:rPr>
        <w:t xml:space="preserve"> </w:t>
      </w:r>
      <w:r w:rsidR="00BC7986">
        <w:rPr>
          <w:rFonts w:ascii="Times New Roman" w:hAnsi="Times New Roman"/>
          <w:w w:val="105"/>
          <w:sz w:val="19"/>
        </w:rPr>
        <w:t>de</w:t>
      </w:r>
      <w:r w:rsidR="00BC7986">
        <w:rPr>
          <w:rFonts w:ascii="Times New Roman" w:hAnsi="Times New Roman"/>
          <w:spacing w:val="-2"/>
          <w:w w:val="105"/>
          <w:sz w:val="19"/>
        </w:rPr>
        <w:t xml:space="preserve"> </w:t>
      </w:r>
      <w:r w:rsidR="00BC7986">
        <w:rPr>
          <w:rFonts w:ascii="Times New Roman" w:hAnsi="Times New Roman"/>
          <w:w w:val="105"/>
          <w:sz w:val="19"/>
        </w:rPr>
        <w:t>manter</w:t>
      </w:r>
      <w:r w:rsidR="00BC7986">
        <w:rPr>
          <w:rFonts w:ascii="Times New Roman" w:hAnsi="Times New Roman"/>
          <w:spacing w:val="-4"/>
          <w:w w:val="105"/>
          <w:sz w:val="19"/>
        </w:rPr>
        <w:t xml:space="preserve"> </w:t>
      </w:r>
      <w:r w:rsidR="00BC7986">
        <w:rPr>
          <w:rFonts w:ascii="Times New Roman" w:hAnsi="Times New Roman"/>
          <w:w w:val="105"/>
          <w:sz w:val="19"/>
        </w:rPr>
        <w:t>a</w:t>
      </w:r>
      <w:r w:rsidR="00BC7986">
        <w:rPr>
          <w:rFonts w:ascii="Times New Roman" w:hAnsi="Times New Roman"/>
          <w:spacing w:val="-5"/>
          <w:w w:val="105"/>
          <w:sz w:val="19"/>
        </w:rPr>
        <w:t xml:space="preserve"> </w:t>
      </w:r>
      <w:r w:rsidR="00BC7986">
        <w:rPr>
          <w:rFonts w:ascii="Times New Roman" w:hAnsi="Times New Roman"/>
          <w:w w:val="105"/>
          <w:sz w:val="19"/>
        </w:rPr>
        <w:t>comunidade</w:t>
      </w:r>
      <w:r w:rsidR="00BC7986">
        <w:rPr>
          <w:rFonts w:ascii="Times New Roman" w:hAnsi="Times New Roman"/>
          <w:spacing w:val="-5"/>
          <w:w w:val="105"/>
          <w:sz w:val="19"/>
        </w:rPr>
        <w:t xml:space="preserve"> </w:t>
      </w:r>
      <w:r w:rsidR="00BC7986">
        <w:rPr>
          <w:rFonts w:ascii="Times New Roman" w:hAnsi="Times New Roman"/>
          <w:w w:val="105"/>
          <w:sz w:val="19"/>
        </w:rPr>
        <w:t>universitária</w:t>
      </w:r>
      <w:r w:rsidR="00BC7986">
        <w:rPr>
          <w:rFonts w:ascii="Times New Roman" w:hAnsi="Times New Roman"/>
          <w:spacing w:val="-2"/>
          <w:w w:val="105"/>
          <w:sz w:val="19"/>
        </w:rPr>
        <w:t xml:space="preserve"> </w:t>
      </w:r>
      <w:r w:rsidR="00BC7986">
        <w:rPr>
          <w:rFonts w:ascii="Times New Roman" w:hAnsi="Times New Roman"/>
          <w:w w:val="105"/>
          <w:sz w:val="19"/>
        </w:rPr>
        <w:t>informada</w:t>
      </w:r>
      <w:r w:rsidR="00BC7986">
        <w:rPr>
          <w:rFonts w:ascii="Times New Roman" w:hAnsi="Times New Roman"/>
          <w:spacing w:val="2"/>
          <w:w w:val="105"/>
          <w:sz w:val="19"/>
        </w:rPr>
        <w:t xml:space="preserve"> </w:t>
      </w:r>
      <w:r w:rsidR="00BC7986">
        <w:rPr>
          <w:rFonts w:ascii="Times New Roman" w:hAnsi="Times New Roman"/>
          <w:w w:val="105"/>
          <w:sz w:val="19"/>
        </w:rPr>
        <w:t>e</w:t>
      </w:r>
      <w:r w:rsidR="00BC7986">
        <w:rPr>
          <w:rFonts w:ascii="Times New Roman" w:hAnsi="Times New Roman"/>
          <w:spacing w:val="-5"/>
          <w:w w:val="105"/>
          <w:sz w:val="19"/>
        </w:rPr>
        <w:t xml:space="preserve"> </w:t>
      </w:r>
      <w:r w:rsidR="00BC7986">
        <w:rPr>
          <w:rFonts w:ascii="Times New Roman" w:hAnsi="Times New Roman"/>
          <w:w w:val="105"/>
          <w:sz w:val="19"/>
        </w:rPr>
        <w:t>sensibilizada em</w:t>
      </w:r>
      <w:r w:rsidR="00BC7986">
        <w:rPr>
          <w:rFonts w:ascii="Times New Roman" w:hAnsi="Times New Roman"/>
          <w:spacing w:val="-14"/>
          <w:w w:val="105"/>
          <w:sz w:val="19"/>
        </w:rPr>
        <w:t xml:space="preserve"> </w:t>
      </w:r>
      <w:r w:rsidR="00BC7986">
        <w:rPr>
          <w:rFonts w:ascii="Times New Roman" w:hAnsi="Times New Roman"/>
          <w:w w:val="105"/>
          <w:sz w:val="19"/>
        </w:rPr>
        <w:t>torno</w:t>
      </w:r>
      <w:r w:rsidR="00BC7986">
        <w:rPr>
          <w:rFonts w:ascii="Times New Roman" w:hAnsi="Times New Roman"/>
          <w:spacing w:val="-16"/>
          <w:w w:val="105"/>
          <w:sz w:val="19"/>
        </w:rPr>
        <w:t xml:space="preserve"> </w:t>
      </w:r>
      <w:r w:rsidR="00BC7986">
        <w:rPr>
          <w:rFonts w:ascii="Times New Roman" w:hAnsi="Times New Roman"/>
          <w:w w:val="105"/>
          <w:sz w:val="19"/>
        </w:rPr>
        <w:t>do</w:t>
      </w:r>
      <w:r w:rsidR="00BC7986">
        <w:rPr>
          <w:rFonts w:ascii="Times New Roman" w:hAnsi="Times New Roman"/>
          <w:spacing w:val="-13"/>
          <w:w w:val="105"/>
          <w:sz w:val="19"/>
        </w:rPr>
        <w:t xml:space="preserve"> </w:t>
      </w:r>
      <w:r w:rsidR="00BC7986">
        <w:rPr>
          <w:rFonts w:ascii="Times New Roman" w:hAnsi="Times New Roman"/>
          <w:w w:val="105"/>
          <w:sz w:val="19"/>
        </w:rPr>
        <w:t>debate</w:t>
      </w:r>
      <w:r w:rsidR="00BC7986">
        <w:rPr>
          <w:rFonts w:ascii="Times New Roman" w:hAnsi="Times New Roman"/>
          <w:spacing w:val="-16"/>
          <w:w w:val="105"/>
          <w:sz w:val="19"/>
        </w:rPr>
        <w:t xml:space="preserve"> </w:t>
      </w:r>
      <w:r w:rsidR="00BC7986">
        <w:rPr>
          <w:rFonts w:ascii="Times New Roman" w:hAnsi="Times New Roman"/>
          <w:w w:val="105"/>
          <w:sz w:val="19"/>
        </w:rPr>
        <w:t>da</w:t>
      </w:r>
      <w:r w:rsidR="00BC7986">
        <w:rPr>
          <w:rFonts w:ascii="Times New Roman" w:hAnsi="Times New Roman"/>
          <w:spacing w:val="-16"/>
          <w:w w:val="105"/>
          <w:sz w:val="19"/>
        </w:rPr>
        <w:t xml:space="preserve"> </w:t>
      </w:r>
      <w:r w:rsidR="00BC7986">
        <w:rPr>
          <w:rFonts w:ascii="Times New Roman" w:hAnsi="Times New Roman"/>
          <w:w w:val="105"/>
          <w:sz w:val="19"/>
        </w:rPr>
        <w:t>questão</w:t>
      </w:r>
      <w:r w:rsidR="00BC7986">
        <w:rPr>
          <w:rFonts w:ascii="Times New Roman" w:hAnsi="Times New Roman"/>
          <w:spacing w:val="-16"/>
          <w:w w:val="105"/>
          <w:sz w:val="19"/>
        </w:rPr>
        <w:t xml:space="preserve"> </w:t>
      </w:r>
      <w:r w:rsidR="00BC7986">
        <w:rPr>
          <w:rFonts w:ascii="Times New Roman" w:hAnsi="Times New Roman"/>
          <w:spacing w:val="3"/>
          <w:w w:val="105"/>
          <w:sz w:val="19"/>
        </w:rPr>
        <w:t>da</w:t>
      </w:r>
      <w:r w:rsidR="00BC7986">
        <w:rPr>
          <w:rFonts w:ascii="Times New Roman" w:hAnsi="Times New Roman"/>
          <w:spacing w:val="-19"/>
          <w:w w:val="105"/>
          <w:sz w:val="19"/>
        </w:rPr>
        <w:t xml:space="preserve"> </w:t>
      </w:r>
      <w:r w:rsidR="00BC7986">
        <w:rPr>
          <w:rFonts w:ascii="Times New Roman" w:hAnsi="Times New Roman"/>
          <w:w w:val="105"/>
          <w:sz w:val="19"/>
        </w:rPr>
        <w:t>mulher.</w:t>
      </w:r>
    </w:p>
    <w:p w:rsidR="00CC7D10" w:rsidRDefault="00CC7D10" w:rsidP="00CC7D10">
      <w:pPr>
        <w:spacing w:line="247" w:lineRule="auto"/>
        <w:ind w:left="1340"/>
        <w:rPr>
          <w:rFonts w:ascii="Times New Roman" w:eastAsia="Times New Roman" w:hAnsi="Times New Roman"/>
          <w:sz w:val="19"/>
          <w:szCs w:val="19"/>
        </w:rPr>
      </w:pPr>
    </w:p>
    <w:p w:rsidR="00CC7D10" w:rsidRDefault="00CC7D10" w:rsidP="00CC7D10">
      <w:pPr>
        <w:rPr>
          <w:rFonts w:ascii="Times New Roman" w:eastAsia="Times New Roman" w:hAnsi="Times New Roman"/>
          <w:sz w:val="20"/>
          <w:szCs w:val="20"/>
        </w:rPr>
      </w:pPr>
    </w:p>
    <w:p w:rsidR="00CC7D10" w:rsidRDefault="00CC7D10"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BC7986" w:rsidRDefault="00BC7986" w:rsidP="00CC7D10">
      <w:pPr>
        <w:rPr>
          <w:rFonts w:ascii="Times New Roman" w:eastAsia="Times New Roman" w:hAnsi="Times New Roman"/>
          <w:sz w:val="20"/>
          <w:szCs w:val="20"/>
        </w:rPr>
      </w:pPr>
    </w:p>
    <w:p w:rsidR="00CC7D10" w:rsidRDefault="00CC7D10" w:rsidP="00CC7D10">
      <w:pPr>
        <w:spacing w:before="9"/>
        <w:rPr>
          <w:rFonts w:ascii="Times New Roman" w:eastAsia="Times New Roman" w:hAnsi="Times New Roman"/>
          <w:sz w:val="11"/>
          <w:szCs w:val="11"/>
        </w:rPr>
      </w:pPr>
      <w:r w:rsidRPr="00CC7D10">
        <w:rPr>
          <w:lang w:val="en-US"/>
        </w:rPr>
        <w:pict>
          <v:group id="_x0000_s1691" style="position:absolute;left:0;text-align:left;margin-left:68.9pt;margin-top:8.1pt;width:140.2pt;height:.1pt;z-index:251696640;mso-wrap-distance-left:0;mso-wrap-distance-right:0;mso-position-horizontal-relative:page" coordorigin="1378,162" coordsize="2804,2">
            <v:shape id="_x0000_s1692" style="position:absolute;left:1378;top:162;width:2804;height:2" coordorigin="1378,162" coordsize="2804,0" path="m1378,162r2803,e" filled="f" strokeweight=".25367mm">
              <v:path arrowok="t"/>
            </v:shape>
            <w10:wrap type="topAndBottom" anchorx="page"/>
          </v:group>
        </w:pict>
      </w:r>
    </w:p>
    <w:p w:rsidR="00CC7D10" w:rsidRDefault="00CC7D10" w:rsidP="00CC7D10">
      <w:pPr>
        <w:spacing w:before="66" w:line="249" w:lineRule="auto"/>
        <w:ind w:left="116" w:right="105"/>
        <w:rPr>
          <w:rFonts w:ascii="Times New Roman" w:eastAsia="Times New Roman" w:hAnsi="Times New Roman"/>
          <w:sz w:val="15"/>
          <w:szCs w:val="15"/>
        </w:rPr>
      </w:pPr>
      <w:r>
        <w:rPr>
          <w:rFonts w:ascii="Times New Roman" w:eastAsia="Times New Roman" w:hAnsi="Times New Roman"/>
          <w:w w:val="105"/>
          <w:position w:val="7"/>
          <w:sz w:val="10"/>
          <w:szCs w:val="10"/>
        </w:rPr>
        <w:t xml:space="preserve">11 </w:t>
      </w:r>
      <w:r>
        <w:rPr>
          <w:rFonts w:ascii="Times New Roman" w:eastAsia="Times New Roman" w:hAnsi="Times New Roman"/>
          <w:w w:val="105"/>
          <w:sz w:val="15"/>
          <w:szCs w:val="15"/>
        </w:rPr>
        <w:t>“O</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interesse</w:t>
      </w:r>
      <w:r>
        <w:rPr>
          <w:rFonts w:ascii="Times New Roman" w:eastAsia="Times New Roman" w:hAnsi="Times New Roman"/>
          <w:spacing w:val="-1"/>
          <w:w w:val="105"/>
          <w:sz w:val="15"/>
          <w:szCs w:val="15"/>
        </w:rPr>
        <w:t xml:space="preserve"> </w:t>
      </w:r>
      <w:r>
        <w:rPr>
          <w:rFonts w:ascii="Times New Roman" w:eastAsia="Times New Roman" w:hAnsi="Times New Roman"/>
          <w:w w:val="105"/>
          <w:sz w:val="15"/>
          <w:szCs w:val="15"/>
        </w:rPr>
        <w:t>acadêmico em</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pesquisar</w:t>
      </w:r>
      <w:r>
        <w:rPr>
          <w:rFonts w:ascii="Times New Roman" w:eastAsia="Times New Roman" w:hAnsi="Times New Roman"/>
          <w:spacing w:val="-3"/>
          <w:w w:val="105"/>
          <w:sz w:val="15"/>
          <w:szCs w:val="15"/>
        </w:rPr>
        <w:t xml:space="preserve"> </w:t>
      </w:r>
      <w:r>
        <w:rPr>
          <w:rFonts w:ascii="Times New Roman" w:eastAsia="Times New Roman" w:hAnsi="Times New Roman"/>
          <w:w w:val="105"/>
          <w:sz w:val="15"/>
          <w:szCs w:val="15"/>
        </w:rPr>
        <w:t>a</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situação</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das</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mulheres</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no</w:t>
      </w:r>
      <w:r>
        <w:rPr>
          <w:rFonts w:ascii="Times New Roman" w:eastAsia="Times New Roman" w:hAnsi="Times New Roman"/>
          <w:spacing w:val="-4"/>
          <w:w w:val="105"/>
          <w:sz w:val="15"/>
          <w:szCs w:val="15"/>
        </w:rPr>
        <w:t xml:space="preserve"> </w:t>
      </w:r>
      <w:r>
        <w:rPr>
          <w:rFonts w:ascii="Times New Roman" w:eastAsia="Times New Roman" w:hAnsi="Times New Roman"/>
          <w:w w:val="105"/>
          <w:sz w:val="15"/>
          <w:szCs w:val="15"/>
        </w:rPr>
        <w:t>país</w:t>
      </w:r>
      <w:r>
        <w:rPr>
          <w:rFonts w:ascii="Times New Roman" w:eastAsia="Times New Roman" w:hAnsi="Times New Roman"/>
          <w:spacing w:val="-6"/>
          <w:w w:val="105"/>
          <w:sz w:val="15"/>
          <w:szCs w:val="15"/>
        </w:rPr>
        <w:t xml:space="preserve"> </w:t>
      </w:r>
      <w:r>
        <w:rPr>
          <w:rFonts w:ascii="Times New Roman" w:eastAsia="Times New Roman" w:hAnsi="Times New Roman"/>
          <w:w w:val="105"/>
          <w:sz w:val="15"/>
          <w:szCs w:val="15"/>
        </w:rPr>
        <w:t>já</w:t>
      </w:r>
      <w:r>
        <w:rPr>
          <w:rFonts w:ascii="Times New Roman" w:eastAsia="Times New Roman" w:hAnsi="Times New Roman"/>
          <w:spacing w:val="-5"/>
          <w:w w:val="105"/>
          <w:sz w:val="15"/>
          <w:szCs w:val="15"/>
        </w:rPr>
        <w:t xml:space="preserve"> </w:t>
      </w:r>
      <w:r>
        <w:rPr>
          <w:rFonts w:ascii="Times New Roman" w:eastAsia="Times New Roman" w:hAnsi="Times New Roman"/>
          <w:spacing w:val="-4"/>
          <w:w w:val="105"/>
          <w:sz w:val="15"/>
          <w:szCs w:val="15"/>
        </w:rPr>
        <w:t>se</w:t>
      </w:r>
      <w:r>
        <w:rPr>
          <w:rFonts w:ascii="Times New Roman" w:eastAsia="Times New Roman" w:hAnsi="Times New Roman"/>
          <w:spacing w:val="-1"/>
          <w:w w:val="105"/>
          <w:sz w:val="15"/>
          <w:szCs w:val="15"/>
        </w:rPr>
        <w:t xml:space="preserve"> </w:t>
      </w:r>
      <w:r>
        <w:rPr>
          <w:rFonts w:ascii="Times New Roman" w:eastAsia="Times New Roman" w:hAnsi="Times New Roman"/>
          <w:w w:val="105"/>
          <w:sz w:val="15"/>
          <w:szCs w:val="15"/>
        </w:rPr>
        <w:t>manifesta</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no</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início</w:t>
      </w:r>
      <w:r>
        <w:rPr>
          <w:rFonts w:ascii="Times New Roman" w:eastAsia="Times New Roman" w:hAnsi="Times New Roman"/>
          <w:spacing w:val="-4"/>
          <w:w w:val="105"/>
          <w:sz w:val="15"/>
          <w:szCs w:val="15"/>
        </w:rPr>
        <w:t xml:space="preserve"> </w:t>
      </w:r>
      <w:r>
        <w:rPr>
          <w:rFonts w:ascii="Times New Roman" w:eastAsia="Times New Roman" w:hAnsi="Times New Roman"/>
          <w:w w:val="105"/>
          <w:sz w:val="15"/>
          <w:szCs w:val="15"/>
        </w:rPr>
        <w:t>dos</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anos</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70.</w:t>
      </w:r>
      <w:r>
        <w:rPr>
          <w:rFonts w:ascii="Times New Roman" w:eastAsia="Times New Roman" w:hAnsi="Times New Roman"/>
          <w:spacing w:val="-4"/>
          <w:w w:val="105"/>
          <w:sz w:val="15"/>
          <w:szCs w:val="15"/>
        </w:rPr>
        <w:t xml:space="preserve"> </w:t>
      </w:r>
      <w:r>
        <w:rPr>
          <w:rFonts w:ascii="Times New Roman" w:eastAsia="Times New Roman" w:hAnsi="Times New Roman"/>
          <w:w w:val="105"/>
          <w:sz w:val="15"/>
          <w:szCs w:val="15"/>
        </w:rPr>
        <w:t>Zahidé</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Machado</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Neto</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leciona,</w:t>
      </w:r>
      <w:r>
        <w:rPr>
          <w:rFonts w:ascii="Times New Roman" w:eastAsia="Times New Roman" w:hAnsi="Times New Roman"/>
          <w:spacing w:val="-4"/>
          <w:w w:val="105"/>
          <w:sz w:val="15"/>
          <w:szCs w:val="15"/>
        </w:rPr>
        <w:t xml:space="preserve"> </w:t>
      </w:r>
      <w:r>
        <w:rPr>
          <w:rFonts w:ascii="Times New Roman" w:eastAsia="Times New Roman" w:hAnsi="Times New Roman"/>
          <w:spacing w:val="-3"/>
          <w:w w:val="105"/>
          <w:sz w:val="15"/>
          <w:szCs w:val="15"/>
        </w:rPr>
        <w:t>na</w:t>
      </w:r>
      <w:r>
        <w:rPr>
          <w:rFonts w:ascii="Times New Roman" w:eastAsia="Times New Roman" w:hAnsi="Times New Roman"/>
          <w:spacing w:val="-1"/>
          <w:w w:val="105"/>
          <w:sz w:val="15"/>
          <w:szCs w:val="15"/>
        </w:rPr>
        <w:t xml:space="preserve"> </w:t>
      </w:r>
      <w:r>
        <w:rPr>
          <w:rFonts w:ascii="Times New Roman" w:eastAsia="Times New Roman" w:hAnsi="Times New Roman"/>
          <w:w w:val="105"/>
          <w:sz w:val="15"/>
          <w:szCs w:val="15"/>
        </w:rPr>
        <w:t xml:space="preserve">Universidade Federal da Bahia, disciplina sobre família e relações entre os sexos em 1973; várias pesquisadoras brasileiras participam da Conferência sobre Perspectiva Feminina </w:t>
      </w:r>
      <w:r>
        <w:rPr>
          <w:rFonts w:ascii="Times New Roman" w:eastAsia="Times New Roman" w:hAnsi="Times New Roman"/>
          <w:spacing w:val="2"/>
          <w:w w:val="105"/>
          <w:sz w:val="15"/>
          <w:szCs w:val="15"/>
        </w:rPr>
        <w:t xml:space="preserve">nas </w:t>
      </w:r>
      <w:r>
        <w:rPr>
          <w:rFonts w:ascii="Times New Roman" w:eastAsia="Times New Roman" w:hAnsi="Times New Roman"/>
          <w:w w:val="105"/>
          <w:sz w:val="15"/>
          <w:szCs w:val="15"/>
        </w:rPr>
        <w:t xml:space="preserve">Ciências Sociais Latino-Americanas realizada em Buenos Aires em 1974; acadêmicas brasileiras estão presentes, também, </w:t>
      </w:r>
      <w:r>
        <w:rPr>
          <w:rFonts w:ascii="Times New Roman" w:eastAsia="Times New Roman" w:hAnsi="Times New Roman"/>
          <w:spacing w:val="-3"/>
          <w:w w:val="105"/>
          <w:sz w:val="15"/>
          <w:szCs w:val="15"/>
        </w:rPr>
        <w:t xml:space="preserve">na </w:t>
      </w:r>
      <w:r>
        <w:rPr>
          <w:rFonts w:ascii="Times New Roman" w:eastAsia="Times New Roman" w:hAnsi="Times New Roman"/>
          <w:w w:val="105"/>
          <w:sz w:val="15"/>
          <w:szCs w:val="15"/>
        </w:rPr>
        <w:t xml:space="preserve">Wesley Conference on Women and Development em junho de 1976; o Coletivo </w:t>
      </w:r>
      <w:r>
        <w:rPr>
          <w:rFonts w:ascii="Times New Roman" w:eastAsia="Times New Roman" w:hAnsi="Times New Roman"/>
          <w:spacing w:val="-3"/>
          <w:w w:val="105"/>
          <w:sz w:val="15"/>
          <w:szCs w:val="15"/>
        </w:rPr>
        <w:t xml:space="preserve">de </w:t>
      </w:r>
      <w:r>
        <w:rPr>
          <w:rFonts w:ascii="Times New Roman" w:eastAsia="Times New Roman" w:hAnsi="Times New Roman"/>
          <w:w w:val="105"/>
          <w:sz w:val="15"/>
          <w:szCs w:val="15"/>
        </w:rPr>
        <w:t xml:space="preserve">Pesquisa sobre Mulher da Fundação Carlos Chagas organiza um seminário, “A Contribuição das Ciências Humanas para a Compreensão </w:t>
      </w:r>
      <w:r>
        <w:rPr>
          <w:rFonts w:ascii="Times New Roman" w:eastAsia="Times New Roman" w:hAnsi="Times New Roman"/>
          <w:spacing w:val="-3"/>
          <w:w w:val="105"/>
          <w:sz w:val="15"/>
          <w:szCs w:val="15"/>
        </w:rPr>
        <w:t xml:space="preserve">do </w:t>
      </w:r>
      <w:r>
        <w:rPr>
          <w:rFonts w:ascii="Times New Roman" w:eastAsia="Times New Roman" w:hAnsi="Times New Roman"/>
          <w:w w:val="105"/>
          <w:sz w:val="15"/>
          <w:szCs w:val="15"/>
        </w:rPr>
        <w:t>Papel das Mulheres”, na reunião da SBPC em 1975 e publicado no mesmo ano como um número</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especial</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do</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Caderno</w:t>
      </w:r>
      <w:r>
        <w:rPr>
          <w:rFonts w:ascii="Times New Roman" w:eastAsia="Times New Roman" w:hAnsi="Times New Roman"/>
          <w:spacing w:val="-1"/>
          <w:w w:val="105"/>
          <w:sz w:val="15"/>
          <w:szCs w:val="15"/>
        </w:rPr>
        <w:t xml:space="preserve"> </w:t>
      </w:r>
      <w:r>
        <w:rPr>
          <w:rFonts w:ascii="Times New Roman" w:eastAsia="Times New Roman" w:hAnsi="Times New Roman"/>
          <w:spacing w:val="-3"/>
          <w:w w:val="105"/>
          <w:sz w:val="15"/>
          <w:szCs w:val="15"/>
        </w:rPr>
        <w:t>de</w:t>
      </w:r>
      <w:r>
        <w:rPr>
          <w:rFonts w:ascii="Times New Roman" w:eastAsia="Times New Roman" w:hAnsi="Times New Roman"/>
          <w:spacing w:val="-6"/>
          <w:w w:val="105"/>
          <w:sz w:val="15"/>
          <w:szCs w:val="15"/>
        </w:rPr>
        <w:t xml:space="preserve"> </w:t>
      </w:r>
      <w:r>
        <w:rPr>
          <w:rFonts w:ascii="Times New Roman" w:eastAsia="Times New Roman" w:hAnsi="Times New Roman"/>
          <w:w w:val="105"/>
          <w:sz w:val="15"/>
          <w:szCs w:val="15"/>
        </w:rPr>
        <w:t>Pesquisa.</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Algumas</w:t>
      </w:r>
      <w:r>
        <w:rPr>
          <w:rFonts w:ascii="Times New Roman" w:eastAsia="Times New Roman" w:hAnsi="Times New Roman"/>
          <w:spacing w:val="-7"/>
          <w:w w:val="105"/>
          <w:sz w:val="15"/>
          <w:szCs w:val="15"/>
        </w:rPr>
        <w:t xml:space="preserve"> </w:t>
      </w:r>
      <w:r>
        <w:rPr>
          <w:rFonts w:ascii="Times New Roman" w:eastAsia="Times New Roman" w:hAnsi="Times New Roman"/>
          <w:w w:val="105"/>
          <w:sz w:val="15"/>
          <w:szCs w:val="15"/>
        </w:rPr>
        <w:t>pesquisadoras</w:t>
      </w:r>
      <w:r>
        <w:rPr>
          <w:rFonts w:ascii="Times New Roman" w:eastAsia="Times New Roman" w:hAnsi="Times New Roman"/>
          <w:spacing w:val="-7"/>
          <w:w w:val="105"/>
          <w:sz w:val="15"/>
          <w:szCs w:val="15"/>
        </w:rPr>
        <w:t xml:space="preserve"> </w:t>
      </w:r>
      <w:r>
        <w:rPr>
          <w:rFonts w:ascii="Times New Roman" w:eastAsia="Times New Roman" w:hAnsi="Times New Roman"/>
          <w:spacing w:val="-3"/>
          <w:w w:val="105"/>
          <w:sz w:val="15"/>
          <w:szCs w:val="15"/>
        </w:rPr>
        <w:t>já</w:t>
      </w:r>
      <w:r>
        <w:rPr>
          <w:rFonts w:ascii="Times New Roman" w:eastAsia="Times New Roman" w:hAnsi="Times New Roman"/>
          <w:spacing w:val="-2"/>
          <w:w w:val="105"/>
          <w:sz w:val="15"/>
          <w:szCs w:val="15"/>
        </w:rPr>
        <w:t xml:space="preserve"> </w:t>
      </w:r>
      <w:r>
        <w:rPr>
          <w:rFonts w:ascii="Times New Roman" w:eastAsia="Times New Roman" w:hAnsi="Times New Roman"/>
          <w:w w:val="105"/>
          <w:sz w:val="15"/>
          <w:szCs w:val="15"/>
        </w:rPr>
        <w:t>haviam</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publicado</w:t>
      </w:r>
      <w:r>
        <w:rPr>
          <w:rFonts w:ascii="Times New Roman" w:eastAsia="Times New Roman" w:hAnsi="Times New Roman"/>
          <w:spacing w:val="-14"/>
          <w:w w:val="105"/>
          <w:sz w:val="15"/>
          <w:szCs w:val="15"/>
        </w:rPr>
        <w:t xml:space="preserve"> </w:t>
      </w:r>
      <w:r>
        <w:rPr>
          <w:rFonts w:ascii="Times New Roman" w:eastAsia="Times New Roman" w:hAnsi="Times New Roman"/>
          <w:w w:val="105"/>
          <w:sz w:val="15"/>
          <w:szCs w:val="15"/>
        </w:rPr>
        <w:t>trabalhos</w:t>
      </w:r>
      <w:r>
        <w:rPr>
          <w:rFonts w:ascii="Times New Roman" w:eastAsia="Times New Roman" w:hAnsi="Times New Roman"/>
          <w:spacing w:val="-7"/>
          <w:w w:val="105"/>
          <w:sz w:val="15"/>
          <w:szCs w:val="15"/>
        </w:rPr>
        <w:t xml:space="preserve"> </w:t>
      </w:r>
      <w:r>
        <w:rPr>
          <w:rFonts w:ascii="Times New Roman" w:eastAsia="Times New Roman" w:hAnsi="Times New Roman"/>
          <w:w w:val="105"/>
          <w:sz w:val="15"/>
          <w:szCs w:val="15"/>
        </w:rPr>
        <w:t>tratando</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da</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questão</w:t>
      </w:r>
      <w:r>
        <w:rPr>
          <w:rFonts w:ascii="Times New Roman" w:eastAsia="Times New Roman" w:hAnsi="Times New Roman"/>
          <w:spacing w:val="-10"/>
          <w:w w:val="105"/>
          <w:sz w:val="15"/>
          <w:szCs w:val="15"/>
        </w:rPr>
        <w:t xml:space="preserve"> </w:t>
      </w:r>
      <w:r>
        <w:rPr>
          <w:rFonts w:ascii="Times New Roman" w:eastAsia="Times New Roman" w:hAnsi="Times New Roman"/>
          <w:spacing w:val="2"/>
          <w:w w:val="105"/>
          <w:sz w:val="15"/>
          <w:szCs w:val="15"/>
        </w:rPr>
        <w:t>das</w:t>
      </w:r>
      <w:r>
        <w:rPr>
          <w:rFonts w:ascii="Times New Roman" w:eastAsia="Times New Roman" w:hAnsi="Times New Roman"/>
          <w:spacing w:val="-11"/>
          <w:w w:val="105"/>
          <w:sz w:val="15"/>
          <w:szCs w:val="15"/>
        </w:rPr>
        <w:t xml:space="preserve"> </w:t>
      </w:r>
      <w:r>
        <w:rPr>
          <w:rFonts w:ascii="Times New Roman" w:eastAsia="Times New Roman" w:hAnsi="Times New Roman"/>
          <w:w w:val="105"/>
          <w:sz w:val="15"/>
          <w:szCs w:val="15"/>
        </w:rPr>
        <w:t>mulheres:</w:t>
      </w:r>
      <w:r>
        <w:rPr>
          <w:rFonts w:ascii="Times New Roman" w:eastAsia="Times New Roman" w:hAnsi="Times New Roman"/>
          <w:spacing w:val="-13"/>
          <w:w w:val="105"/>
          <w:sz w:val="15"/>
          <w:szCs w:val="15"/>
        </w:rPr>
        <w:t xml:space="preserve"> </w:t>
      </w:r>
      <w:r>
        <w:rPr>
          <w:rFonts w:ascii="Times New Roman" w:eastAsia="Times New Roman" w:hAnsi="Times New Roman"/>
          <w:w w:val="105"/>
          <w:sz w:val="15"/>
          <w:szCs w:val="15"/>
        </w:rPr>
        <w:t>Heleieth</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Saffioti,</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Carmem Barroso,</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Neuma</w:t>
      </w:r>
      <w:r>
        <w:rPr>
          <w:rFonts w:ascii="Times New Roman" w:eastAsia="Times New Roman" w:hAnsi="Times New Roman"/>
          <w:spacing w:val="-6"/>
          <w:w w:val="105"/>
          <w:sz w:val="15"/>
          <w:szCs w:val="15"/>
        </w:rPr>
        <w:t xml:space="preserve"> </w:t>
      </w:r>
      <w:r>
        <w:rPr>
          <w:rFonts w:ascii="Times New Roman" w:eastAsia="Times New Roman" w:hAnsi="Times New Roman"/>
          <w:w w:val="105"/>
          <w:sz w:val="15"/>
          <w:szCs w:val="15"/>
        </w:rPr>
        <w:t>Aguiar</w:t>
      </w:r>
      <w:r>
        <w:rPr>
          <w:rFonts w:ascii="Times New Roman" w:eastAsia="Times New Roman" w:hAnsi="Times New Roman"/>
          <w:spacing w:val="-8"/>
          <w:w w:val="105"/>
          <w:sz w:val="15"/>
          <w:szCs w:val="15"/>
        </w:rPr>
        <w:t xml:space="preserve"> </w:t>
      </w:r>
      <w:r>
        <w:rPr>
          <w:rFonts w:ascii="Times New Roman" w:eastAsia="Times New Roman" w:hAnsi="Times New Roman"/>
          <w:w w:val="105"/>
          <w:sz w:val="15"/>
          <w:szCs w:val="15"/>
        </w:rPr>
        <w:t>e</w:t>
      </w:r>
      <w:r>
        <w:rPr>
          <w:rFonts w:ascii="Times New Roman" w:eastAsia="Times New Roman" w:hAnsi="Times New Roman"/>
          <w:spacing w:val="-6"/>
          <w:w w:val="105"/>
          <w:sz w:val="15"/>
          <w:szCs w:val="15"/>
        </w:rPr>
        <w:t xml:space="preserve"> </w:t>
      </w:r>
      <w:r>
        <w:rPr>
          <w:rFonts w:ascii="Times New Roman" w:eastAsia="Times New Roman" w:hAnsi="Times New Roman"/>
          <w:w w:val="105"/>
          <w:sz w:val="15"/>
          <w:szCs w:val="15"/>
        </w:rPr>
        <w:t>Eva</w:t>
      </w:r>
      <w:r>
        <w:rPr>
          <w:rFonts w:ascii="Times New Roman" w:eastAsia="Times New Roman" w:hAnsi="Times New Roman"/>
          <w:spacing w:val="-14"/>
          <w:w w:val="105"/>
          <w:sz w:val="15"/>
          <w:szCs w:val="15"/>
        </w:rPr>
        <w:t xml:space="preserve"> </w:t>
      </w:r>
      <w:r>
        <w:rPr>
          <w:rFonts w:ascii="Times New Roman" w:eastAsia="Times New Roman" w:hAnsi="Times New Roman"/>
          <w:w w:val="105"/>
          <w:sz w:val="15"/>
          <w:szCs w:val="15"/>
        </w:rPr>
        <w:t>Blay</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entre</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outras”</w:t>
      </w:r>
      <w:r>
        <w:rPr>
          <w:rFonts w:ascii="Times New Roman" w:eastAsia="Times New Roman" w:hAnsi="Times New Roman"/>
          <w:spacing w:val="-6"/>
          <w:w w:val="105"/>
          <w:sz w:val="15"/>
          <w:szCs w:val="15"/>
        </w:rPr>
        <w:t xml:space="preserve"> </w:t>
      </w:r>
      <w:r>
        <w:rPr>
          <w:rFonts w:ascii="Times New Roman" w:eastAsia="Times New Roman" w:hAnsi="Times New Roman"/>
          <w:w w:val="105"/>
          <w:sz w:val="15"/>
          <w:szCs w:val="15"/>
        </w:rPr>
        <w:t>(Heilborn</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e</w:t>
      </w:r>
      <w:r>
        <w:rPr>
          <w:rFonts w:ascii="Times New Roman" w:eastAsia="Times New Roman" w:hAnsi="Times New Roman"/>
          <w:spacing w:val="-10"/>
          <w:w w:val="105"/>
          <w:sz w:val="15"/>
          <w:szCs w:val="15"/>
        </w:rPr>
        <w:t xml:space="preserve"> </w:t>
      </w:r>
      <w:r>
        <w:rPr>
          <w:rFonts w:ascii="Times New Roman" w:eastAsia="Times New Roman" w:hAnsi="Times New Roman"/>
          <w:w w:val="105"/>
          <w:sz w:val="15"/>
          <w:szCs w:val="15"/>
        </w:rPr>
        <w:t>Sorj,</w:t>
      </w:r>
      <w:r>
        <w:rPr>
          <w:rFonts w:ascii="Times New Roman" w:eastAsia="Times New Roman" w:hAnsi="Times New Roman"/>
          <w:spacing w:val="-9"/>
          <w:w w:val="105"/>
          <w:sz w:val="15"/>
          <w:szCs w:val="15"/>
        </w:rPr>
        <w:t xml:space="preserve"> </w:t>
      </w:r>
      <w:r>
        <w:rPr>
          <w:rFonts w:ascii="Times New Roman" w:eastAsia="Times New Roman" w:hAnsi="Times New Roman"/>
          <w:w w:val="105"/>
          <w:sz w:val="15"/>
          <w:szCs w:val="15"/>
        </w:rPr>
        <w:t>1999).</w:t>
      </w:r>
    </w:p>
    <w:p w:rsidR="00CC7D10" w:rsidRDefault="00CC7D10" w:rsidP="00CC7D10">
      <w:pPr>
        <w:spacing w:line="171" w:lineRule="exact"/>
        <w:ind w:left="116"/>
        <w:rPr>
          <w:rFonts w:ascii="Times New Roman" w:eastAsia="Times New Roman" w:hAnsi="Times New Roman"/>
          <w:sz w:val="15"/>
          <w:szCs w:val="15"/>
        </w:rPr>
      </w:pPr>
      <w:r>
        <w:rPr>
          <w:rFonts w:ascii="Times New Roman" w:hAnsi="Times New Roman"/>
          <w:w w:val="105"/>
          <w:position w:val="7"/>
          <w:sz w:val="10"/>
        </w:rPr>
        <w:t xml:space="preserve">12 </w:t>
      </w:r>
      <w:r>
        <w:rPr>
          <w:rFonts w:ascii="Times New Roman" w:hAnsi="Times New Roman"/>
          <w:spacing w:val="6"/>
          <w:w w:val="105"/>
          <w:position w:val="7"/>
          <w:sz w:val="10"/>
        </w:rPr>
        <w:t xml:space="preserve"> </w:t>
      </w:r>
      <w:r>
        <w:rPr>
          <w:rFonts w:ascii="Times New Roman" w:hAnsi="Times New Roman"/>
          <w:w w:val="105"/>
          <w:sz w:val="15"/>
        </w:rPr>
        <w:t>É</w:t>
      </w:r>
      <w:r>
        <w:rPr>
          <w:rFonts w:ascii="Times New Roman" w:hAnsi="Times New Roman"/>
          <w:spacing w:val="22"/>
          <w:w w:val="105"/>
          <w:sz w:val="15"/>
        </w:rPr>
        <w:t xml:space="preserve"> </w:t>
      </w:r>
      <w:r>
        <w:rPr>
          <w:rFonts w:ascii="Times New Roman" w:hAnsi="Times New Roman"/>
          <w:w w:val="105"/>
          <w:sz w:val="15"/>
        </w:rPr>
        <w:t>difícil</w:t>
      </w:r>
      <w:r>
        <w:rPr>
          <w:rFonts w:ascii="Times New Roman" w:hAnsi="Times New Roman"/>
          <w:spacing w:val="25"/>
          <w:w w:val="105"/>
          <w:sz w:val="15"/>
        </w:rPr>
        <w:t xml:space="preserve"> </w:t>
      </w:r>
      <w:r>
        <w:rPr>
          <w:rFonts w:ascii="Times New Roman" w:hAnsi="Times New Roman"/>
          <w:w w:val="105"/>
          <w:sz w:val="15"/>
        </w:rPr>
        <w:t>afirmar</w:t>
      </w:r>
      <w:r>
        <w:rPr>
          <w:rFonts w:ascii="Times New Roman" w:hAnsi="Times New Roman"/>
          <w:spacing w:val="21"/>
          <w:w w:val="105"/>
          <w:sz w:val="15"/>
        </w:rPr>
        <w:t xml:space="preserve"> </w:t>
      </w:r>
      <w:r>
        <w:rPr>
          <w:rFonts w:ascii="Times New Roman" w:hAnsi="Times New Roman"/>
          <w:w w:val="105"/>
          <w:sz w:val="15"/>
        </w:rPr>
        <w:t>a</w:t>
      </w:r>
      <w:r>
        <w:rPr>
          <w:rFonts w:ascii="Times New Roman" w:hAnsi="Times New Roman"/>
          <w:spacing w:val="19"/>
          <w:w w:val="105"/>
          <w:sz w:val="15"/>
        </w:rPr>
        <w:t xml:space="preserve"> </w:t>
      </w:r>
      <w:r>
        <w:rPr>
          <w:rFonts w:ascii="Times New Roman" w:hAnsi="Times New Roman"/>
          <w:w w:val="105"/>
          <w:sz w:val="15"/>
        </w:rPr>
        <w:t>data</w:t>
      </w:r>
      <w:r>
        <w:rPr>
          <w:rFonts w:ascii="Times New Roman" w:hAnsi="Times New Roman"/>
          <w:spacing w:val="19"/>
          <w:w w:val="105"/>
          <w:sz w:val="15"/>
        </w:rPr>
        <w:t xml:space="preserve"> </w:t>
      </w:r>
      <w:r>
        <w:rPr>
          <w:rFonts w:ascii="Times New Roman" w:hAnsi="Times New Roman"/>
          <w:w w:val="105"/>
          <w:sz w:val="15"/>
        </w:rPr>
        <w:t>correta</w:t>
      </w:r>
      <w:r>
        <w:rPr>
          <w:rFonts w:ascii="Times New Roman" w:hAnsi="Times New Roman"/>
          <w:spacing w:val="19"/>
          <w:w w:val="105"/>
          <w:sz w:val="15"/>
        </w:rPr>
        <w:t xml:space="preserve"> </w:t>
      </w:r>
      <w:r>
        <w:rPr>
          <w:rFonts w:ascii="Times New Roman" w:hAnsi="Times New Roman"/>
          <w:w w:val="105"/>
          <w:sz w:val="15"/>
        </w:rPr>
        <w:t>em</w:t>
      </w:r>
      <w:r>
        <w:rPr>
          <w:rFonts w:ascii="Times New Roman" w:hAnsi="Times New Roman"/>
          <w:spacing w:val="20"/>
          <w:w w:val="105"/>
          <w:sz w:val="15"/>
        </w:rPr>
        <w:t xml:space="preserve"> </w:t>
      </w:r>
      <w:r>
        <w:rPr>
          <w:rFonts w:ascii="Times New Roman" w:hAnsi="Times New Roman"/>
          <w:w w:val="105"/>
          <w:sz w:val="15"/>
        </w:rPr>
        <w:t>que</w:t>
      </w:r>
      <w:r>
        <w:rPr>
          <w:rFonts w:ascii="Times New Roman" w:hAnsi="Times New Roman"/>
          <w:spacing w:val="23"/>
          <w:w w:val="105"/>
          <w:sz w:val="15"/>
        </w:rPr>
        <w:t xml:space="preserve"> </w:t>
      </w:r>
      <w:r>
        <w:rPr>
          <w:rFonts w:ascii="Times New Roman" w:hAnsi="Times New Roman"/>
          <w:w w:val="105"/>
          <w:sz w:val="15"/>
        </w:rPr>
        <w:t>uma</w:t>
      </w:r>
      <w:r>
        <w:rPr>
          <w:rFonts w:ascii="Times New Roman" w:hAnsi="Times New Roman"/>
          <w:spacing w:val="23"/>
          <w:w w:val="105"/>
          <w:sz w:val="15"/>
        </w:rPr>
        <w:t xml:space="preserve"> </w:t>
      </w:r>
      <w:r>
        <w:rPr>
          <w:rFonts w:ascii="Times New Roman" w:hAnsi="Times New Roman"/>
          <w:w w:val="105"/>
          <w:sz w:val="15"/>
        </w:rPr>
        <w:t>publicação</w:t>
      </w:r>
      <w:r>
        <w:rPr>
          <w:rFonts w:ascii="Times New Roman" w:hAnsi="Times New Roman"/>
          <w:spacing w:val="20"/>
          <w:w w:val="105"/>
          <w:sz w:val="15"/>
        </w:rPr>
        <w:t xml:space="preserve"> </w:t>
      </w:r>
      <w:r>
        <w:rPr>
          <w:rFonts w:ascii="Times New Roman" w:hAnsi="Times New Roman"/>
          <w:w w:val="105"/>
          <w:sz w:val="15"/>
        </w:rPr>
        <w:t>parou</w:t>
      </w:r>
      <w:r>
        <w:rPr>
          <w:rFonts w:ascii="Times New Roman" w:hAnsi="Times New Roman"/>
          <w:spacing w:val="24"/>
          <w:w w:val="105"/>
          <w:sz w:val="15"/>
        </w:rPr>
        <w:t xml:space="preserve"> </w:t>
      </w:r>
      <w:r>
        <w:rPr>
          <w:rFonts w:ascii="Times New Roman" w:hAnsi="Times New Roman"/>
          <w:w w:val="105"/>
          <w:sz w:val="15"/>
        </w:rPr>
        <w:t>de</w:t>
      </w:r>
      <w:r>
        <w:rPr>
          <w:rFonts w:ascii="Times New Roman" w:hAnsi="Times New Roman"/>
          <w:spacing w:val="19"/>
          <w:w w:val="105"/>
          <w:sz w:val="15"/>
        </w:rPr>
        <w:t xml:space="preserve"> </w:t>
      </w:r>
      <w:r>
        <w:rPr>
          <w:rFonts w:ascii="Times New Roman" w:hAnsi="Times New Roman"/>
          <w:w w:val="105"/>
          <w:sz w:val="15"/>
        </w:rPr>
        <w:t>circular,</w:t>
      </w:r>
      <w:r>
        <w:rPr>
          <w:rFonts w:ascii="Times New Roman" w:hAnsi="Times New Roman"/>
          <w:spacing w:val="20"/>
          <w:w w:val="105"/>
          <w:sz w:val="15"/>
        </w:rPr>
        <w:t xml:space="preserve"> </w:t>
      </w:r>
      <w:r>
        <w:rPr>
          <w:rFonts w:ascii="Times New Roman" w:hAnsi="Times New Roman"/>
          <w:w w:val="105"/>
          <w:sz w:val="15"/>
        </w:rPr>
        <w:t>pois</w:t>
      </w:r>
      <w:r>
        <w:rPr>
          <w:rFonts w:ascii="Times New Roman" w:hAnsi="Times New Roman"/>
          <w:spacing w:val="22"/>
          <w:w w:val="105"/>
          <w:sz w:val="15"/>
        </w:rPr>
        <w:t xml:space="preserve"> </w:t>
      </w:r>
      <w:r>
        <w:rPr>
          <w:rFonts w:ascii="Times New Roman" w:hAnsi="Times New Roman"/>
          <w:w w:val="105"/>
          <w:sz w:val="15"/>
        </w:rPr>
        <w:t>geralmente</w:t>
      </w:r>
      <w:r>
        <w:rPr>
          <w:rFonts w:ascii="Times New Roman" w:hAnsi="Times New Roman"/>
          <w:spacing w:val="19"/>
          <w:w w:val="105"/>
          <w:sz w:val="15"/>
        </w:rPr>
        <w:t xml:space="preserve"> </w:t>
      </w:r>
      <w:r>
        <w:rPr>
          <w:rFonts w:ascii="Times New Roman" w:hAnsi="Times New Roman"/>
          <w:w w:val="105"/>
          <w:sz w:val="15"/>
        </w:rPr>
        <w:t>a</w:t>
      </w:r>
      <w:r>
        <w:rPr>
          <w:rFonts w:ascii="Times New Roman" w:hAnsi="Times New Roman"/>
          <w:spacing w:val="23"/>
          <w:w w:val="105"/>
          <w:sz w:val="15"/>
        </w:rPr>
        <w:t xml:space="preserve"> </w:t>
      </w:r>
      <w:r>
        <w:rPr>
          <w:rFonts w:ascii="Times New Roman" w:hAnsi="Times New Roman"/>
          <w:w w:val="105"/>
          <w:sz w:val="15"/>
        </w:rPr>
        <w:t>última</w:t>
      </w:r>
      <w:r>
        <w:rPr>
          <w:rFonts w:ascii="Times New Roman" w:hAnsi="Times New Roman"/>
          <w:spacing w:val="23"/>
          <w:w w:val="105"/>
          <w:sz w:val="15"/>
        </w:rPr>
        <w:t xml:space="preserve"> </w:t>
      </w:r>
      <w:r>
        <w:rPr>
          <w:rFonts w:ascii="Times New Roman" w:hAnsi="Times New Roman"/>
          <w:w w:val="105"/>
          <w:sz w:val="15"/>
        </w:rPr>
        <w:t>edição</w:t>
      </w:r>
      <w:r>
        <w:rPr>
          <w:rFonts w:ascii="Times New Roman" w:hAnsi="Times New Roman"/>
          <w:spacing w:val="24"/>
          <w:w w:val="105"/>
          <w:sz w:val="15"/>
        </w:rPr>
        <w:t xml:space="preserve"> </w:t>
      </w:r>
      <w:r>
        <w:rPr>
          <w:rFonts w:ascii="Times New Roman" w:hAnsi="Times New Roman"/>
          <w:w w:val="105"/>
          <w:sz w:val="15"/>
        </w:rPr>
        <w:t>não</w:t>
      </w:r>
      <w:r>
        <w:rPr>
          <w:rFonts w:ascii="Times New Roman" w:hAnsi="Times New Roman"/>
          <w:spacing w:val="20"/>
          <w:w w:val="105"/>
          <w:sz w:val="15"/>
        </w:rPr>
        <w:t xml:space="preserve"> </w:t>
      </w:r>
      <w:r>
        <w:rPr>
          <w:rFonts w:ascii="Times New Roman" w:hAnsi="Times New Roman"/>
          <w:w w:val="105"/>
          <w:sz w:val="15"/>
        </w:rPr>
        <w:t>anuncia</w:t>
      </w:r>
      <w:r>
        <w:rPr>
          <w:rFonts w:ascii="Times New Roman" w:hAnsi="Times New Roman"/>
          <w:spacing w:val="19"/>
          <w:w w:val="105"/>
          <w:sz w:val="15"/>
        </w:rPr>
        <w:t xml:space="preserve"> </w:t>
      </w:r>
      <w:r>
        <w:rPr>
          <w:rFonts w:ascii="Times New Roman" w:hAnsi="Times New Roman"/>
          <w:w w:val="105"/>
          <w:sz w:val="15"/>
        </w:rPr>
        <w:t>tal</w:t>
      </w:r>
      <w:r>
        <w:rPr>
          <w:rFonts w:ascii="Times New Roman" w:hAnsi="Times New Roman"/>
          <w:spacing w:val="29"/>
          <w:w w:val="105"/>
          <w:sz w:val="15"/>
        </w:rPr>
        <w:t xml:space="preserve"> </w:t>
      </w:r>
      <w:r>
        <w:rPr>
          <w:rFonts w:ascii="Times New Roman" w:hAnsi="Times New Roman"/>
          <w:w w:val="105"/>
          <w:sz w:val="15"/>
        </w:rPr>
        <w:t>fato.</w:t>
      </w:r>
      <w:r>
        <w:rPr>
          <w:rFonts w:ascii="Times New Roman" w:hAnsi="Times New Roman"/>
          <w:spacing w:val="24"/>
          <w:w w:val="105"/>
          <w:sz w:val="15"/>
        </w:rPr>
        <w:t xml:space="preserve"> </w:t>
      </w:r>
      <w:r>
        <w:rPr>
          <w:rFonts w:ascii="Times New Roman" w:hAnsi="Times New Roman"/>
          <w:w w:val="105"/>
          <w:sz w:val="15"/>
        </w:rPr>
        <w:t>Mesmo</w:t>
      </w:r>
      <w:r>
        <w:rPr>
          <w:rFonts w:ascii="Times New Roman" w:hAnsi="Times New Roman"/>
          <w:spacing w:val="24"/>
          <w:w w:val="105"/>
          <w:sz w:val="15"/>
        </w:rPr>
        <w:t xml:space="preserve"> </w:t>
      </w:r>
      <w:r>
        <w:rPr>
          <w:rFonts w:ascii="Times New Roman" w:hAnsi="Times New Roman"/>
          <w:w w:val="105"/>
          <w:sz w:val="15"/>
        </w:rPr>
        <w:t>os</w:t>
      </w:r>
      <w:r>
        <w:rPr>
          <w:rFonts w:ascii="Times New Roman" w:hAnsi="Times New Roman"/>
          <w:spacing w:val="22"/>
          <w:w w:val="105"/>
          <w:sz w:val="15"/>
        </w:rPr>
        <w:t xml:space="preserve"> </w:t>
      </w:r>
      <w:r>
        <w:rPr>
          <w:rFonts w:ascii="Times New Roman" w:hAnsi="Times New Roman"/>
          <w:w w:val="105"/>
          <w:sz w:val="15"/>
        </w:rPr>
        <w:t>grupos</w:t>
      </w:r>
    </w:p>
    <w:p w:rsidR="00CC7D10" w:rsidRDefault="00CC7D10" w:rsidP="00CC7D10">
      <w:pPr>
        <w:spacing w:before="10" w:line="247" w:lineRule="auto"/>
        <w:ind w:left="116" w:right="110"/>
        <w:rPr>
          <w:rFonts w:ascii="Times New Roman" w:eastAsia="Times New Roman" w:hAnsi="Times New Roman"/>
          <w:sz w:val="15"/>
          <w:szCs w:val="15"/>
        </w:rPr>
      </w:pPr>
      <w:r>
        <w:rPr>
          <w:rFonts w:ascii="Times New Roman" w:hAnsi="Times New Roman"/>
          <w:w w:val="105"/>
          <w:sz w:val="15"/>
        </w:rPr>
        <w:t>responsáveis</w:t>
      </w:r>
      <w:r>
        <w:rPr>
          <w:rFonts w:ascii="Times New Roman" w:hAnsi="Times New Roman"/>
          <w:spacing w:val="-8"/>
          <w:w w:val="105"/>
          <w:sz w:val="15"/>
        </w:rPr>
        <w:t xml:space="preserve"> </w:t>
      </w:r>
      <w:r>
        <w:rPr>
          <w:rFonts w:ascii="Times New Roman" w:hAnsi="Times New Roman"/>
          <w:w w:val="105"/>
          <w:sz w:val="15"/>
        </w:rPr>
        <w:t>pelos</w:t>
      </w:r>
      <w:r>
        <w:rPr>
          <w:rFonts w:ascii="Times New Roman" w:hAnsi="Times New Roman"/>
          <w:spacing w:val="-12"/>
          <w:w w:val="105"/>
          <w:sz w:val="15"/>
        </w:rPr>
        <w:t xml:space="preserve"> </w:t>
      </w:r>
      <w:r>
        <w:rPr>
          <w:rFonts w:ascii="Times New Roman" w:hAnsi="Times New Roman"/>
          <w:w w:val="105"/>
          <w:sz w:val="15"/>
        </w:rPr>
        <w:t>periódicos</w:t>
      </w:r>
      <w:r>
        <w:rPr>
          <w:rFonts w:ascii="Times New Roman" w:hAnsi="Times New Roman"/>
          <w:spacing w:val="-12"/>
          <w:w w:val="105"/>
          <w:sz w:val="15"/>
        </w:rPr>
        <w:t xml:space="preserve"> </w:t>
      </w:r>
      <w:r>
        <w:rPr>
          <w:rFonts w:ascii="Times New Roman" w:hAnsi="Times New Roman"/>
          <w:w w:val="105"/>
          <w:sz w:val="15"/>
        </w:rPr>
        <w:t>não</w:t>
      </w:r>
      <w:r>
        <w:rPr>
          <w:rFonts w:ascii="Times New Roman" w:hAnsi="Times New Roman"/>
          <w:spacing w:val="-6"/>
          <w:w w:val="105"/>
          <w:sz w:val="15"/>
        </w:rPr>
        <w:t xml:space="preserve"> </w:t>
      </w:r>
      <w:r>
        <w:rPr>
          <w:rFonts w:ascii="Times New Roman" w:hAnsi="Times New Roman"/>
          <w:w w:val="105"/>
          <w:sz w:val="15"/>
        </w:rPr>
        <w:t>sabiam</w:t>
      </w:r>
      <w:r>
        <w:rPr>
          <w:rFonts w:ascii="Times New Roman" w:hAnsi="Times New Roman"/>
          <w:spacing w:val="-6"/>
          <w:w w:val="105"/>
          <w:sz w:val="15"/>
        </w:rPr>
        <w:t xml:space="preserve"> </w:t>
      </w:r>
      <w:r>
        <w:rPr>
          <w:rFonts w:ascii="Times New Roman" w:hAnsi="Times New Roman"/>
          <w:w w:val="105"/>
          <w:sz w:val="15"/>
        </w:rPr>
        <w:t>que</w:t>
      </w:r>
      <w:r>
        <w:rPr>
          <w:rFonts w:ascii="Times New Roman" w:hAnsi="Times New Roman"/>
          <w:spacing w:val="-7"/>
          <w:w w:val="105"/>
          <w:sz w:val="15"/>
        </w:rPr>
        <w:t xml:space="preserve"> </w:t>
      </w:r>
      <w:r>
        <w:rPr>
          <w:rFonts w:ascii="Times New Roman" w:hAnsi="Times New Roman"/>
          <w:w w:val="105"/>
          <w:sz w:val="15"/>
        </w:rPr>
        <w:t>aquela</w:t>
      </w:r>
      <w:r>
        <w:rPr>
          <w:rFonts w:ascii="Times New Roman" w:hAnsi="Times New Roman"/>
          <w:spacing w:val="-9"/>
          <w:w w:val="105"/>
          <w:sz w:val="15"/>
        </w:rPr>
        <w:t xml:space="preserve"> </w:t>
      </w:r>
      <w:r>
        <w:rPr>
          <w:rFonts w:ascii="Times New Roman" w:hAnsi="Times New Roman"/>
          <w:w w:val="105"/>
          <w:sz w:val="15"/>
        </w:rPr>
        <w:t>seria</w:t>
      </w:r>
      <w:r>
        <w:rPr>
          <w:rFonts w:ascii="Times New Roman" w:hAnsi="Times New Roman"/>
          <w:spacing w:val="-11"/>
          <w:w w:val="105"/>
          <w:sz w:val="15"/>
        </w:rPr>
        <w:t xml:space="preserve"> </w:t>
      </w:r>
      <w:r>
        <w:rPr>
          <w:rFonts w:ascii="Times New Roman" w:hAnsi="Times New Roman"/>
          <w:w w:val="105"/>
          <w:sz w:val="15"/>
        </w:rPr>
        <w:t>a</w:t>
      </w:r>
      <w:r>
        <w:rPr>
          <w:rFonts w:ascii="Times New Roman" w:hAnsi="Times New Roman"/>
          <w:spacing w:val="-3"/>
          <w:w w:val="105"/>
          <w:sz w:val="15"/>
        </w:rPr>
        <w:t xml:space="preserve"> </w:t>
      </w:r>
      <w:r>
        <w:rPr>
          <w:rFonts w:ascii="Times New Roman" w:hAnsi="Times New Roman"/>
          <w:w w:val="105"/>
          <w:sz w:val="15"/>
        </w:rPr>
        <w:t>última</w:t>
      </w:r>
      <w:r>
        <w:rPr>
          <w:rFonts w:ascii="Times New Roman" w:hAnsi="Times New Roman"/>
          <w:spacing w:val="-7"/>
          <w:w w:val="105"/>
          <w:sz w:val="15"/>
        </w:rPr>
        <w:t xml:space="preserve"> </w:t>
      </w:r>
      <w:r>
        <w:rPr>
          <w:rFonts w:ascii="Times New Roman" w:hAnsi="Times New Roman"/>
          <w:w w:val="105"/>
          <w:sz w:val="15"/>
        </w:rPr>
        <w:t>edição,</w:t>
      </w:r>
      <w:r>
        <w:rPr>
          <w:rFonts w:ascii="Times New Roman" w:hAnsi="Times New Roman"/>
          <w:spacing w:val="-6"/>
          <w:w w:val="105"/>
          <w:sz w:val="15"/>
        </w:rPr>
        <w:t xml:space="preserve"> </w:t>
      </w:r>
      <w:r>
        <w:rPr>
          <w:rFonts w:ascii="Times New Roman" w:hAnsi="Times New Roman"/>
          <w:w w:val="105"/>
          <w:sz w:val="15"/>
        </w:rPr>
        <w:t>pois</w:t>
      </w:r>
      <w:r>
        <w:rPr>
          <w:rFonts w:ascii="Times New Roman" w:hAnsi="Times New Roman"/>
          <w:spacing w:val="-8"/>
          <w:w w:val="105"/>
          <w:sz w:val="15"/>
        </w:rPr>
        <w:t xml:space="preserve"> </w:t>
      </w:r>
      <w:r>
        <w:rPr>
          <w:rFonts w:ascii="Times New Roman" w:hAnsi="Times New Roman"/>
          <w:w w:val="105"/>
          <w:sz w:val="15"/>
        </w:rPr>
        <w:t>as</w:t>
      </w:r>
      <w:r>
        <w:rPr>
          <w:rFonts w:ascii="Times New Roman" w:hAnsi="Times New Roman"/>
          <w:spacing w:val="-8"/>
          <w:w w:val="105"/>
          <w:sz w:val="15"/>
        </w:rPr>
        <w:t xml:space="preserve"> </w:t>
      </w:r>
      <w:r>
        <w:rPr>
          <w:rFonts w:ascii="Times New Roman" w:hAnsi="Times New Roman"/>
          <w:w w:val="105"/>
          <w:sz w:val="15"/>
        </w:rPr>
        <w:t>dificuldades</w:t>
      </w:r>
      <w:r>
        <w:rPr>
          <w:rFonts w:ascii="Times New Roman" w:hAnsi="Times New Roman"/>
          <w:spacing w:val="-8"/>
          <w:w w:val="105"/>
          <w:sz w:val="15"/>
        </w:rPr>
        <w:t xml:space="preserve"> </w:t>
      </w:r>
      <w:r>
        <w:rPr>
          <w:rFonts w:ascii="Times New Roman" w:hAnsi="Times New Roman"/>
          <w:w w:val="105"/>
          <w:sz w:val="15"/>
        </w:rPr>
        <w:t>para</w:t>
      </w:r>
      <w:r>
        <w:rPr>
          <w:rFonts w:ascii="Times New Roman" w:hAnsi="Times New Roman"/>
          <w:spacing w:val="-7"/>
          <w:w w:val="105"/>
          <w:sz w:val="15"/>
        </w:rPr>
        <w:t xml:space="preserve"> </w:t>
      </w:r>
      <w:r>
        <w:rPr>
          <w:rFonts w:ascii="Times New Roman" w:hAnsi="Times New Roman"/>
          <w:w w:val="105"/>
          <w:sz w:val="15"/>
        </w:rPr>
        <w:t>a</w:t>
      </w:r>
      <w:r>
        <w:rPr>
          <w:rFonts w:ascii="Times New Roman" w:hAnsi="Times New Roman"/>
          <w:spacing w:val="-8"/>
          <w:w w:val="105"/>
          <w:sz w:val="15"/>
        </w:rPr>
        <w:t xml:space="preserve"> </w:t>
      </w:r>
      <w:r>
        <w:rPr>
          <w:rFonts w:ascii="Times New Roman" w:hAnsi="Times New Roman"/>
          <w:w w:val="105"/>
          <w:sz w:val="15"/>
        </w:rPr>
        <w:t>publicação</w:t>
      </w:r>
      <w:r>
        <w:rPr>
          <w:rFonts w:ascii="Times New Roman" w:hAnsi="Times New Roman"/>
          <w:spacing w:val="-6"/>
          <w:w w:val="105"/>
          <w:sz w:val="15"/>
        </w:rPr>
        <w:t xml:space="preserve"> </w:t>
      </w:r>
      <w:r>
        <w:rPr>
          <w:rFonts w:ascii="Times New Roman" w:hAnsi="Times New Roman"/>
          <w:w w:val="105"/>
          <w:sz w:val="15"/>
        </w:rPr>
        <w:t>são</w:t>
      </w:r>
      <w:r>
        <w:rPr>
          <w:rFonts w:ascii="Times New Roman" w:hAnsi="Times New Roman"/>
          <w:spacing w:val="-10"/>
          <w:w w:val="105"/>
          <w:sz w:val="15"/>
        </w:rPr>
        <w:t xml:space="preserve"> </w:t>
      </w:r>
      <w:r>
        <w:rPr>
          <w:rFonts w:ascii="Times New Roman" w:hAnsi="Times New Roman"/>
          <w:w w:val="105"/>
          <w:sz w:val="15"/>
        </w:rPr>
        <w:t>constantes,</w:t>
      </w:r>
      <w:r>
        <w:rPr>
          <w:rFonts w:ascii="Times New Roman" w:hAnsi="Times New Roman"/>
          <w:spacing w:val="-2"/>
          <w:w w:val="105"/>
          <w:sz w:val="15"/>
        </w:rPr>
        <w:t xml:space="preserve"> </w:t>
      </w:r>
      <w:r>
        <w:rPr>
          <w:rFonts w:ascii="Times New Roman" w:hAnsi="Times New Roman"/>
          <w:w w:val="105"/>
          <w:sz w:val="15"/>
        </w:rPr>
        <w:t>estabelecendo-se</w:t>
      </w:r>
      <w:r>
        <w:rPr>
          <w:rFonts w:ascii="Times New Roman" w:hAnsi="Times New Roman"/>
          <w:spacing w:val="-3"/>
          <w:w w:val="105"/>
          <w:sz w:val="15"/>
        </w:rPr>
        <w:t xml:space="preserve"> </w:t>
      </w:r>
      <w:r>
        <w:rPr>
          <w:rFonts w:ascii="Times New Roman" w:hAnsi="Times New Roman"/>
          <w:w w:val="105"/>
          <w:sz w:val="15"/>
        </w:rPr>
        <w:t>um</w:t>
      </w:r>
      <w:r>
        <w:rPr>
          <w:rFonts w:ascii="Times New Roman" w:hAnsi="Times New Roman"/>
          <w:spacing w:val="-10"/>
          <w:w w:val="105"/>
          <w:sz w:val="15"/>
        </w:rPr>
        <w:t xml:space="preserve"> </w:t>
      </w:r>
      <w:r>
        <w:rPr>
          <w:rFonts w:ascii="Times New Roman" w:hAnsi="Times New Roman"/>
          <w:w w:val="105"/>
          <w:sz w:val="15"/>
        </w:rPr>
        <w:t>padrão de incertezas e atrasos. De qualquer forma, estou tomando a última publicação encontrada nos acervos como sendo a última, ou uma das últimas, publicada. A</w:t>
      </w:r>
      <w:r>
        <w:rPr>
          <w:rFonts w:ascii="Times New Roman" w:hAnsi="Times New Roman"/>
          <w:spacing w:val="-10"/>
          <w:w w:val="105"/>
          <w:sz w:val="15"/>
        </w:rPr>
        <w:t xml:space="preserve"> </w:t>
      </w:r>
      <w:r>
        <w:rPr>
          <w:rFonts w:ascii="Times New Roman" w:hAnsi="Times New Roman"/>
          <w:w w:val="105"/>
          <w:sz w:val="15"/>
        </w:rPr>
        <w:t>afirmação</w:t>
      </w:r>
      <w:r>
        <w:rPr>
          <w:rFonts w:ascii="Times New Roman" w:hAnsi="Times New Roman"/>
          <w:spacing w:val="-6"/>
          <w:w w:val="105"/>
          <w:sz w:val="15"/>
        </w:rPr>
        <w:t xml:space="preserve"> </w:t>
      </w:r>
      <w:r>
        <w:rPr>
          <w:rFonts w:ascii="Times New Roman" w:hAnsi="Times New Roman"/>
          <w:w w:val="105"/>
          <w:sz w:val="15"/>
        </w:rPr>
        <w:t>está</w:t>
      </w:r>
      <w:r>
        <w:rPr>
          <w:rFonts w:ascii="Times New Roman" w:hAnsi="Times New Roman"/>
          <w:spacing w:val="-11"/>
          <w:w w:val="105"/>
          <w:sz w:val="15"/>
        </w:rPr>
        <w:t xml:space="preserve"> </w:t>
      </w:r>
      <w:r>
        <w:rPr>
          <w:rFonts w:ascii="Times New Roman" w:hAnsi="Times New Roman"/>
          <w:w w:val="105"/>
          <w:sz w:val="15"/>
        </w:rPr>
        <w:t>baseada</w:t>
      </w:r>
      <w:r>
        <w:rPr>
          <w:rFonts w:ascii="Times New Roman" w:hAnsi="Times New Roman"/>
          <w:spacing w:val="-7"/>
          <w:w w:val="105"/>
          <w:sz w:val="15"/>
        </w:rPr>
        <w:t xml:space="preserve"> </w:t>
      </w:r>
      <w:r>
        <w:rPr>
          <w:rFonts w:ascii="Times New Roman" w:hAnsi="Times New Roman"/>
          <w:spacing w:val="-3"/>
          <w:w w:val="105"/>
          <w:sz w:val="15"/>
        </w:rPr>
        <w:t>na</w:t>
      </w:r>
      <w:r>
        <w:rPr>
          <w:rFonts w:ascii="Times New Roman" w:hAnsi="Times New Roman"/>
          <w:spacing w:val="-7"/>
          <w:w w:val="105"/>
          <w:sz w:val="15"/>
        </w:rPr>
        <w:t xml:space="preserve"> </w:t>
      </w:r>
      <w:r>
        <w:rPr>
          <w:rFonts w:ascii="Times New Roman" w:hAnsi="Times New Roman"/>
          <w:w w:val="105"/>
          <w:sz w:val="15"/>
        </w:rPr>
        <w:t>credibilidade</w:t>
      </w:r>
      <w:r>
        <w:rPr>
          <w:rFonts w:ascii="Times New Roman" w:hAnsi="Times New Roman"/>
          <w:spacing w:val="-11"/>
          <w:w w:val="105"/>
          <w:sz w:val="15"/>
        </w:rPr>
        <w:t xml:space="preserve"> </w:t>
      </w:r>
      <w:r>
        <w:rPr>
          <w:rFonts w:ascii="Times New Roman" w:hAnsi="Times New Roman"/>
          <w:w w:val="105"/>
          <w:sz w:val="15"/>
        </w:rPr>
        <w:t>e</w:t>
      </w:r>
      <w:r>
        <w:rPr>
          <w:rFonts w:ascii="Times New Roman" w:hAnsi="Times New Roman"/>
          <w:spacing w:val="-11"/>
          <w:w w:val="105"/>
          <w:sz w:val="15"/>
        </w:rPr>
        <w:t xml:space="preserve"> </w:t>
      </w:r>
      <w:r>
        <w:rPr>
          <w:rFonts w:ascii="Times New Roman" w:hAnsi="Times New Roman"/>
          <w:w w:val="105"/>
          <w:sz w:val="15"/>
        </w:rPr>
        <w:t>na</w:t>
      </w:r>
      <w:r>
        <w:rPr>
          <w:rFonts w:ascii="Times New Roman" w:hAnsi="Times New Roman"/>
          <w:spacing w:val="-7"/>
          <w:w w:val="105"/>
          <w:sz w:val="15"/>
        </w:rPr>
        <w:t xml:space="preserve"> </w:t>
      </w:r>
      <w:r>
        <w:rPr>
          <w:rFonts w:ascii="Times New Roman" w:hAnsi="Times New Roman"/>
          <w:w w:val="105"/>
          <w:sz w:val="15"/>
        </w:rPr>
        <w:t>eficiência</w:t>
      </w:r>
      <w:r>
        <w:rPr>
          <w:rFonts w:ascii="Times New Roman" w:hAnsi="Times New Roman"/>
          <w:spacing w:val="-7"/>
          <w:w w:val="105"/>
          <w:sz w:val="15"/>
        </w:rPr>
        <w:t xml:space="preserve"> </w:t>
      </w:r>
      <w:r>
        <w:rPr>
          <w:rFonts w:ascii="Times New Roman" w:hAnsi="Times New Roman"/>
          <w:w w:val="105"/>
          <w:sz w:val="15"/>
        </w:rPr>
        <w:t>dos</w:t>
      </w:r>
      <w:r>
        <w:rPr>
          <w:rFonts w:ascii="Times New Roman" w:hAnsi="Times New Roman"/>
          <w:spacing w:val="-12"/>
          <w:w w:val="105"/>
          <w:sz w:val="15"/>
        </w:rPr>
        <w:t xml:space="preserve"> </w:t>
      </w:r>
      <w:r>
        <w:rPr>
          <w:rFonts w:ascii="Times New Roman" w:hAnsi="Times New Roman"/>
          <w:w w:val="105"/>
          <w:sz w:val="15"/>
        </w:rPr>
        <w:t>arquivos</w:t>
      </w:r>
      <w:r>
        <w:rPr>
          <w:rFonts w:ascii="Times New Roman" w:hAnsi="Times New Roman"/>
          <w:spacing w:val="-8"/>
          <w:w w:val="105"/>
          <w:sz w:val="15"/>
        </w:rPr>
        <w:t xml:space="preserve"> </w:t>
      </w:r>
      <w:r>
        <w:rPr>
          <w:rFonts w:ascii="Times New Roman" w:hAnsi="Times New Roman"/>
          <w:w w:val="105"/>
          <w:sz w:val="15"/>
        </w:rPr>
        <w:t>estudados,</w:t>
      </w:r>
      <w:r>
        <w:rPr>
          <w:rFonts w:ascii="Times New Roman" w:hAnsi="Times New Roman"/>
          <w:spacing w:val="-6"/>
          <w:w w:val="105"/>
          <w:sz w:val="15"/>
        </w:rPr>
        <w:t xml:space="preserve"> </w:t>
      </w:r>
      <w:r>
        <w:rPr>
          <w:rFonts w:ascii="Times New Roman" w:hAnsi="Times New Roman"/>
          <w:spacing w:val="2"/>
          <w:w w:val="105"/>
          <w:sz w:val="15"/>
        </w:rPr>
        <w:t>já</w:t>
      </w:r>
      <w:r>
        <w:rPr>
          <w:rFonts w:ascii="Times New Roman" w:hAnsi="Times New Roman"/>
          <w:spacing w:val="-11"/>
          <w:w w:val="105"/>
          <w:sz w:val="15"/>
        </w:rPr>
        <w:t xml:space="preserve"> </w:t>
      </w:r>
      <w:r>
        <w:rPr>
          <w:rFonts w:ascii="Times New Roman" w:hAnsi="Times New Roman"/>
          <w:w w:val="105"/>
          <w:sz w:val="15"/>
        </w:rPr>
        <w:t>que</w:t>
      </w:r>
      <w:r>
        <w:rPr>
          <w:rFonts w:ascii="Times New Roman" w:hAnsi="Times New Roman"/>
          <w:spacing w:val="-3"/>
          <w:w w:val="105"/>
          <w:sz w:val="15"/>
        </w:rPr>
        <w:t xml:space="preserve"> </w:t>
      </w:r>
      <w:r>
        <w:rPr>
          <w:rFonts w:ascii="Times New Roman" w:hAnsi="Times New Roman"/>
          <w:w w:val="105"/>
          <w:sz w:val="15"/>
        </w:rPr>
        <w:t>são</w:t>
      </w:r>
      <w:r>
        <w:rPr>
          <w:rFonts w:ascii="Times New Roman" w:hAnsi="Times New Roman"/>
          <w:spacing w:val="-10"/>
          <w:w w:val="105"/>
          <w:sz w:val="15"/>
        </w:rPr>
        <w:t xml:space="preserve"> </w:t>
      </w:r>
      <w:r>
        <w:rPr>
          <w:rFonts w:ascii="Times New Roman" w:hAnsi="Times New Roman"/>
          <w:w w:val="105"/>
          <w:sz w:val="15"/>
        </w:rPr>
        <w:t>considerados</w:t>
      </w:r>
      <w:r>
        <w:rPr>
          <w:rFonts w:ascii="Times New Roman" w:hAnsi="Times New Roman"/>
          <w:spacing w:val="-12"/>
          <w:w w:val="105"/>
          <w:sz w:val="15"/>
        </w:rPr>
        <w:t xml:space="preserve"> </w:t>
      </w:r>
      <w:r>
        <w:rPr>
          <w:rFonts w:ascii="Times New Roman" w:hAnsi="Times New Roman"/>
          <w:w w:val="105"/>
          <w:sz w:val="15"/>
        </w:rPr>
        <w:t>os</w:t>
      </w:r>
      <w:r>
        <w:rPr>
          <w:rFonts w:ascii="Times New Roman" w:hAnsi="Times New Roman"/>
          <w:spacing w:val="-8"/>
          <w:w w:val="105"/>
          <w:sz w:val="15"/>
        </w:rPr>
        <w:t xml:space="preserve"> </w:t>
      </w:r>
      <w:r>
        <w:rPr>
          <w:rFonts w:ascii="Times New Roman" w:hAnsi="Times New Roman"/>
          <w:w w:val="105"/>
          <w:sz w:val="15"/>
        </w:rPr>
        <w:t>mais</w:t>
      </w:r>
      <w:r>
        <w:rPr>
          <w:rFonts w:ascii="Times New Roman" w:hAnsi="Times New Roman"/>
          <w:spacing w:val="-12"/>
          <w:w w:val="105"/>
          <w:sz w:val="15"/>
        </w:rPr>
        <w:t xml:space="preserve"> </w:t>
      </w:r>
      <w:r>
        <w:rPr>
          <w:rFonts w:ascii="Times New Roman" w:hAnsi="Times New Roman"/>
          <w:w w:val="105"/>
          <w:sz w:val="15"/>
        </w:rPr>
        <w:t>completos</w:t>
      </w:r>
      <w:r>
        <w:rPr>
          <w:rFonts w:ascii="Times New Roman" w:hAnsi="Times New Roman"/>
          <w:spacing w:val="-12"/>
          <w:w w:val="105"/>
          <w:sz w:val="15"/>
        </w:rPr>
        <w:t xml:space="preserve"> </w:t>
      </w:r>
      <w:r>
        <w:rPr>
          <w:rFonts w:ascii="Times New Roman" w:hAnsi="Times New Roman"/>
          <w:w w:val="105"/>
          <w:sz w:val="15"/>
        </w:rPr>
        <w:t>sobre</w:t>
      </w:r>
      <w:r>
        <w:rPr>
          <w:rFonts w:ascii="Times New Roman" w:hAnsi="Times New Roman"/>
          <w:spacing w:val="-7"/>
          <w:w w:val="105"/>
          <w:sz w:val="15"/>
        </w:rPr>
        <w:t xml:space="preserve"> </w:t>
      </w:r>
      <w:r>
        <w:rPr>
          <w:rFonts w:ascii="Times New Roman" w:hAnsi="Times New Roman"/>
          <w:w w:val="105"/>
          <w:sz w:val="15"/>
        </w:rPr>
        <w:t>movimentos</w:t>
      </w:r>
      <w:r>
        <w:rPr>
          <w:rFonts w:ascii="Times New Roman" w:hAnsi="Times New Roman"/>
          <w:spacing w:val="-8"/>
          <w:w w:val="105"/>
          <w:sz w:val="15"/>
        </w:rPr>
        <w:t xml:space="preserve"> </w:t>
      </w:r>
      <w:r>
        <w:rPr>
          <w:rFonts w:ascii="Times New Roman" w:hAnsi="Times New Roman"/>
          <w:w w:val="105"/>
          <w:sz w:val="15"/>
        </w:rPr>
        <w:t>sociais.</w:t>
      </w:r>
    </w:p>
    <w:p w:rsidR="00CC7D10" w:rsidRDefault="00CC7D10" w:rsidP="00CC7D10">
      <w:pPr>
        <w:spacing w:line="247" w:lineRule="auto"/>
        <w:rPr>
          <w:rFonts w:ascii="Times New Roman" w:eastAsia="Times New Roman" w:hAnsi="Times New Roman"/>
          <w:sz w:val="15"/>
          <w:szCs w:val="15"/>
        </w:rPr>
      </w:pPr>
    </w:p>
    <w:p w:rsidR="00CC7D10" w:rsidRDefault="00CC7D10" w:rsidP="00CC7D10">
      <w:pPr>
        <w:rPr>
          <w:rFonts w:ascii="Times New Roman" w:eastAsia="Times New Roman" w:hAnsi="Times New Roman"/>
          <w:sz w:val="20"/>
          <w:szCs w:val="20"/>
        </w:rPr>
      </w:pPr>
    </w:p>
    <w:p w:rsidR="00CC7D10" w:rsidRDefault="00CC7D10" w:rsidP="00CC7D10">
      <w:pPr>
        <w:spacing w:before="5"/>
        <w:rPr>
          <w:rFonts w:ascii="Times New Roman" w:eastAsia="Times New Roman" w:hAnsi="Times New Roman"/>
        </w:rPr>
      </w:pPr>
    </w:p>
    <w:p w:rsidR="00CC7D10" w:rsidRDefault="00CC7D10" w:rsidP="00CC7D10">
      <w:pPr>
        <w:spacing w:before="11"/>
        <w:rPr>
          <w:rFonts w:ascii="Times New Roman" w:eastAsia="Times New Roman" w:hAnsi="Times New Roman"/>
          <w:sz w:val="18"/>
          <w:szCs w:val="18"/>
        </w:rPr>
      </w:pPr>
    </w:p>
    <w:p w:rsidR="00CC7D10" w:rsidRDefault="00CC7D10" w:rsidP="00CC7D10">
      <w:pPr>
        <w:pStyle w:val="Corpodetexto"/>
        <w:spacing w:line="364" w:lineRule="auto"/>
        <w:ind w:right="101"/>
        <w:jc w:val="both"/>
      </w:pPr>
      <w:r>
        <w:rPr>
          <w:b/>
          <w:bCs/>
        </w:rPr>
        <w:t xml:space="preserve">Trabalho </w:t>
      </w:r>
      <w:r>
        <w:t xml:space="preserve">— Para um movimento marcado pela teoria marxista e pela predominância da visão </w:t>
      </w:r>
      <w:r>
        <w:rPr>
          <w:spacing w:val="4"/>
        </w:rPr>
        <w:t xml:space="preserve">de </w:t>
      </w:r>
      <w:r>
        <w:t xml:space="preserve">que a exclusão </w:t>
      </w:r>
      <w:r>
        <w:rPr>
          <w:spacing w:val="4"/>
        </w:rPr>
        <w:t xml:space="preserve">da </w:t>
      </w:r>
      <w:r>
        <w:t xml:space="preserve">mulher do mercado </w:t>
      </w:r>
      <w:r>
        <w:rPr>
          <w:spacing w:val="4"/>
        </w:rPr>
        <w:t xml:space="preserve">de </w:t>
      </w:r>
      <w:r>
        <w:t xml:space="preserve">trabalho é chave para explicar a subordinação feminina, é, aparentemente, surpreendente que do acervo de  75 periódicos feministas apenas cinco  sejam dedicados  ao tema trabalho. Mas tal quadro pode ser explicado pelo </w:t>
      </w:r>
      <w:r>
        <w:rPr>
          <w:spacing w:val="-4"/>
        </w:rPr>
        <w:t xml:space="preserve">fato </w:t>
      </w:r>
      <w:r>
        <w:t xml:space="preserve">de as feministas, após o racha com as esquerdas, marcado pelos II e </w:t>
      </w:r>
      <w:r>
        <w:rPr>
          <w:spacing w:val="-3"/>
        </w:rPr>
        <w:t xml:space="preserve">III </w:t>
      </w:r>
      <w:r>
        <w:t xml:space="preserve">Congressos da Mulher Paulista, terem </w:t>
      </w:r>
      <w:r>
        <w:rPr>
          <w:spacing w:val="-3"/>
        </w:rPr>
        <w:t xml:space="preserve">se </w:t>
      </w:r>
      <w:r>
        <w:t>afastado dessa linha de pensamento e de articulação, a ponto de menosprezar o tema trabalho diante, por  exemplo, do  tema  saúde.</w:t>
      </w:r>
    </w:p>
    <w:p w:rsidR="00CC7D10" w:rsidRDefault="00CC7D10" w:rsidP="00CC7D10">
      <w:pPr>
        <w:pStyle w:val="Corpodetexto"/>
        <w:spacing w:before="6" w:line="364" w:lineRule="auto"/>
        <w:ind w:right="100"/>
        <w:jc w:val="both"/>
      </w:pPr>
      <w:r>
        <w:t xml:space="preserve">O subgrupo trabalho está localizado na segunda geração </w:t>
      </w:r>
      <w:r>
        <w:rPr>
          <w:spacing w:val="4"/>
        </w:rPr>
        <w:t xml:space="preserve">da </w:t>
      </w:r>
      <w:r>
        <w:t xml:space="preserve">imprensa  feminista. Primeiro  pela  data de surgimento </w:t>
      </w:r>
      <w:r>
        <w:rPr>
          <w:spacing w:val="3"/>
        </w:rPr>
        <w:t xml:space="preserve">e, </w:t>
      </w:r>
      <w:r>
        <w:t xml:space="preserve">segundo, pelo fato de os jornais serem especializados. Mas o tema trabalho vem acompanhado </w:t>
      </w:r>
      <w:r>
        <w:rPr>
          <w:spacing w:val="4"/>
        </w:rPr>
        <w:t xml:space="preserve">da </w:t>
      </w:r>
      <w:r>
        <w:t xml:space="preserve">teoria marxista e da questão de classe, o que aproxima o conteúdo desses jornais da primeira geração da imprensa feminista. É o caso da revista </w:t>
      </w:r>
      <w:r>
        <w:rPr>
          <w:i/>
        </w:rPr>
        <w:t>Mulher em Movimento</w:t>
      </w:r>
      <w:r>
        <w:t xml:space="preserve">, de Salvador (BA), </w:t>
      </w:r>
      <w:r>
        <w:lastRenderedPageBreak/>
        <w:t xml:space="preserve">lançada em 1994, ligada ao Sindicato dos Bancários </w:t>
      </w:r>
      <w:r>
        <w:rPr>
          <w:spacing w:val="4"/>
        </w:rPr>
        <w:t xml:space="preserve">da </w:t>
      </w:r>
      <w:r>
        <w:t xml:space="preserve">Bahia. A publicação pertence ao Departamento para Assuntos da Mulher, cuja presidente, na época, era Rebecca Serravalle. No editorial  </w:t>
      </w:r>
      <w:r>
        <w:rPr>
          <w:spacing w:val="4"/>
        </w:rPr>
        <w:t xml:space="preserve">da </w:t>
      </w:r>
      <w:r>
        <w:t xml:space="preserve">edição número 1, Serravalle afirma: “o problema não está necessariamente na relação homem/mulher. Está sim, numa estrutura social injusta que </w:t>
      </w:r>
      <w:r>
        <w:rPr>
          <w:spacing w:val="-3"/>
        </w:rPr>
        <w:t xml:space="preserve">se </w:t>
      </w:r>
      <w:r>
        <w:t xml:space="preserve">reflete nos lares, nas pessoas, na educação que, dizem, nos prepara para a vida, [...], ou seja nos ensina reproduzir o ‘sistema’”. Um argumento típico da imprensa feminista  da primeira geração. Das cinco publicações, duas são no formato revista, com cuidadosa produção editorial, a </w:t>
      </w:r>
      <w:r>
        <w:rPr>
          <w:i/>
        </w:rPr>
        <w:t xml:space="preserve">Mulher em Movimento </w:t>
      </w:r>
      <w:r>
        <w:t xml:space="preserve">e a </w:t>
      </w:r>
      <w:r>
        <w:rPr>
          <w:i/>
        </w:rPr>
        <w:t>Revista da Mulher Rural</w:t>
      </w:r>
      <w:r>
        <w:t xml:space="preserve">, do Paraná (não se menciona a cidade), ligada à Federação dos Trabalhadores Rurais do Estado do Paraná, com lançamento em 1995. </w:t>
      </w:r>
      <w:r>
        <w:rPr>
          <w:spacing w:val="-3"/>
        </w:rPr>
        <w:t xml:space="preserve">As </w:t>
      </w:r>
      <w:r>
        <w:t xml:space="preserve">demais publicações mantêm a linha semiprofissional (reproduzidas </w:t>
      </w:r>
      <w:r>
        <w:rPr>
          <w:spacing w:val="3"/>
        </w:rPr>
        <w:t xml:space="preserve">em </w:t>
      </w:r>
      <w:r>
        <w:t>copiadoras, datilografadas, pequenas tiragens).</w:t>
      </w:r>
    </w:p>
    <w:p w:rsidR="00CC7D10" w:rsidRDefault="00CC7D10" w:rsidP="00CC7D10">
      <w:pPr>
        <w:rPr>
          <w:rFonts w:ascii="Times New Roman" w:eastAsia="Times New Roman" w:hAnsi="Times New Roman"/>
        </w:rPr>
      </w:pPr>
    </w:p>
    <w:p w:rsidR="00CC7D10" w:rsidRDefault="00CC7D10" w:rsidP="00CC7D10">
      <w:pPr>
        <w:pStyle w:val="Corpodetexto"/>
        <w:spacing w:before="156" w:line="364" w:lineRule="auto"/>
        <w:ind w:right="101"/>
        <w:jc w:val="both"/>
      </w:pPr>
      <w:r>
        <w:rPr>
          <w:b/>
          <w:bCs/>
        </w:rPr>
        <w:t xml:space="preserve">Religioso </w:t>
      </w:r>
      <w:r>
        <w:t xml:space="preserve">— A relação entre Igreja Católica e feminismo </w:t>
      </w:r>
      <w:r>
        <w:rPr>
          <w:spacing w:val="-3"/>
        </w:rPr>
        <w:t xml:space="preserve">merece </w:t>
      </w:r>
      <w:r>
        <w:t xml:space="preserve">uma discussão  a parte, </w:t>
      </w:r>
      <w:r>
        <w:rPr>
          <w:spacing w:val="-3"/>
        </w:rPr>
        <w:t xml:space="preserve">mas  </w:t>
      </w:r>
      <w:r>
        <w:t xml:space="preserve">agora vamos observar apenas </w:t>
      </w:r>
      <w:r>
        <w:rPr>
          <w:spacing w:val="2"/>
        </w:rPr>
        <w:t xml:space="preserve">que </w:t>
      </w:r>
      <w:r>
        <w:t xml:space="preserve">em nome de uma situação política e social (ditadura militar e crescente injustiça social), feministas e religiosos </w:t>
      </w:r>
      <w:r>
        <w:rPr>
          <w:spacing w:val="2"/>
        </w:rPr>
        <w:t xml:space="preserve">se </w:t>
      </w:r>
      <w:r>
        <w:t xml:space="preserve">uniram para atuar junto às mulheres, principalmente das periferias das grandes cidades. Esse pacto deixou de </w:t>
      </w:r>
      <w:r>
        <w:rPr>
          <w:spacing w:val="-3"/>
        </w:rPr>
        <w:t xml:space="preserve">fora </w:t>
      </w:r>
      <w:r>
        <w:t xml:space="preserve">posições radicalmente contrárias no que diz respeito </w:t>
      </w:r>
      <w:r>
        <w:rPr>
          <w:spacing w:val="-4"/>
        </w:rPr>
        <w:t xml:space="preserve">ao </w:t>
      </w:r>
      <w:r>
        <w:t xml:space="preserve">aborto, sexualidade, família, entre outros temas caros ao feminismo. Mas o </w:t>
      </w:r>
      <w:r>
        <w:rPr>
          <w:spacing w:val="-4"/>
        </w:rPr>
        <w:t xml:space="preserve">fato </w:t>
      </w:r>
      <w:r>
        <w:t>é que a Igreja Católica atuou nesse campo híbrido (feminismo-catolicismo), e essa atuação está registrada em três periódicos católicos voltados para as mulheres, nos quais a Igreja discute os principais temas do feminismo,</w:t>
      </w:r>
      <w:r>
        <w:rPr>
          <w:spacing w:val="15"/>
        </w:rPr>
        <w:t xml:space="preserve"> </w:t>
      </w:r>
      <w:r>
        <w:t>mas</w:t>
      </w:r>
      <w:r>
        <w:rPr>
          <w:spacing w:val="17"/>
        </w:rPr>
        <w:t xml:space="preserve"> </w:t>
      </w:r>
      <w:r>
        <w:t>do</w:t>
      </w:r>
      <w:r>
        <w:rPr>
          <w:spacing w:val="10"/>
        </w:rPr>
        <w:t xml:space="preserve"> </w:t>
      </w:r>
      <w:r>
        <w:t>ponto</w:t>
      </w:r>
      <w:r>
        <w:rPr>
          <w:spacing w:val="15"/>
        </w:rPr>
        <w:t xml:space="preserve"> </w:t>
      </w:r>
      <w:r>
        <w:t>de</w:t>
      </w:r>
      <w:r>
        <w:rPr>
          <w:spacing w:val="19"/>
        </w:rPr>
        <w:t xml:space="preserve"> </w:t>
      </w:r>
      <w:r>
        <w:t>vista</w:t>
      </w:r>
      <w:r>
        <w:rPr>
          <w:spacing w:val="19"/>
        </w:rPr>
        <w:t xml:space="preserve"> </w:t>
      </w:r>
      <w:r>
        <w:t>de</w:t>
      </w:r>
      <w:r>
        <w:rPr>
          <w:spacing w:val="19"/>
        </w:rPr>
        <w:t xml:space="preserve"> </w:t>
      </w:r>
      <w:r>
        <w:t>suas</w:t>
      </w:r>
      <w:r>
        <w:rPr>
          <w:spacing w:val="12"/>
        </w:rPr>
        <w:t xml:space="preserve"> </w:t>
      </w:r>
      <w:r>
        <w:t>crenças</w:t>
      </w:r>
      <w:r>
        <w:rPr>
          <w:spacing w:val="12"/>
        </w:rPr>
        <w:t xml:space="preserve"> </w:t>
      </w:r>
      <w:r>
        <w:t>religiosas.</w:t>
      </w:r>
      <w:r>
        <w:rPr>
          <w:spacing w:val="11"/>
        </w:rPr>
        <w:t xml:space="preserve"> </w:t>
      </w:r>
      <w:r>
        <w:t>Duas</w:t>
      </w:r>
      <w:r>
        <w:rPr>
          <w:spacing w:val="12"/>
        </w:rPr>
        <w:t xml:space="preserve"> </w:t>
      </w:r>
      <w:r>
        <w:t>das</w:t>
      </w:r>
      <w:r>
        <w:rPr>
          <w:spacing w:val="12"/>
        </w:rPr>
        <w:t xml:space="preserve"> </w:t>
      </w:r>
      <w:r>
        <w:t>publicações</w:t>
      </w:r>
      <w:r>
        <w:rPr>
          <w:spacing w:val="17"/>
        </w:rPr>
        <w:t xml:space="preserve"> </w:t>
      </w:r>
      <w:r>
        <w:t>são</w:t>
      </w:r>
      <w:r>
        <w:rPr>
          <w:spacing w:val="21"/>
        </w:rPr>
        <w:t xml:space="preserve"> </w:t>
      </w:r>
      <w:r>
        <w:t>de</w:t>
      </w:r>
      <w:r>
        <w:rPr>
          <w:spacing w:val="19"/>
        </w:rPr>
        <w:t xml:space="preserve"> </w:t>
      </w:r>
      <w:r>
        <w:t>alcance</w:t>
      </w:r>
      <w:r>
        <w:rPr>
          <w:spacing w:val="19"/>
        </w:rPr>
        <w:t xml:space="preserve"> </w:t>
      </w:r>
      <w:r>
        <w:t>local.</w:t>
      </w:r>
    </w:p>
    <w:p w:rsidR="00CC7D10" w:rsidRDefault="00CC7D10" w:rsidP="00CC7D10">
      <w:pPr>
        <w:rPr>
          <w:rFonts w:ascii="Times New Roman" w:eastAsia="Times New Roman" w:hAnsi="Times New Roman"/>
          <w:sz w:val="20"/>
          <w:szCs w:val="20"/>
        </w:rPr>
      </w:pPr>
    </w:p>
    <w:p w:rsidR="00CC7D10" w:rsidRDefault="00CC7D10" w:rsidP="00CC7D10">
      <w:pPr>
        <w:spacing w:before="9"/>
        <w:rPr>
          <w:rFonts w:ascii="Times New Roman" w:eastAsia="Times New Roman" w:hAnsi="Times New Roman"/>
          <w:sz w:val="15"/>
          <w:szCs w:val="15"/>
        </w:rPr>
      </w:pPr>
    </w:p>
    <w:p w:rsidR="00CC7D10" w:rsidRDefault="00CC7D10" w:rsidP="00CC7D10">
      <w:pPr>
        <w:pStyle w:val="Corpodetexto"/>
        <w:spacing w:before="73" w:line="364" w:lineRule="auto"/>
        <w:ind w:right="100" w:firstLine="0"/>
        <w:jc w:val="both"/>
      </w:pPr>
      <w:r>
        <w:t xml:space="preserve">Porém, a revista </w:t>
      </w:r>
      <w:r>
        <w:rPr>
          <w:i/>
        </w:rPr>
        <w:t>Mulher — Libertação</w:t>
      </w:r>
      <w:r>
        <w:t xml:space="preserve">, da Pastoral da Mulher Marginalizada, tem alcance nacional. Fundada em Lins (SP), em março de 1985, a revista se  inicia como  um boletim  mimeografado, com  cerca de 10 páginas. Dez anos depois, a publicação ganha status de revista, com  diagramação  profissional, 32 páginas de miolo e profissionais contratados para </w:t>
      </w:r>
      <w:r>
        <w:rPr>
          <w:spacing w:val="2"/>
        </w:rPr>
        <w:t xml:space="preserve">sua </w:t>
      </w:r>
      <w:r>
        <w:rPr>
          <w:spacing w:val="23"/>
        </w:rPr>
        <w:t xml:space="preserve"> </w:t>
      </w:r>
      <w:r>
        <w:t>edição.</w:t>
      </w:r>
    </w:p>
    <w:p w:rsidR="00CC7D10" w:rsidRDefault="00CC7D10" w:rsidP="00CC7D10">
      <w:pPr>
        <w:pStyle w:val="Corpodetexto"/>
        <w:spacing w:before="6" w:line="364" w:lineRule="auto"/>
        <w:ind w:right="106"/>
        <w:jc w:val="both"/>
      </w:pPr>
      <w:r>
        <w:t xml:space="preserve">Temas como prostituição, Constituição, violência doméstica, direitos humanos, saúde e  agendas  de encontros feministas e </w:t>
      </w:r>
      <w:r>
        <w:rPr>
          <w:spacing w:val="4"/>
        </w:rPr>
        <w:t xml:space="preserve">de </w:t>
      </w:r>
      <w:r>
        <w:t xml:space="preserve">mulheres católicas formavam a pauta das  três  publicações.  Vale  acompanhar um trecho de um artigo sobre aborto publicado no número 4 da </w:t>
      </w:r>
      <w:r>
        <w:rPr>
          <w:i/>
        </w:rPr>
        <w:t xml:space="preserve">Mulher — Libertação </w:t>
      </w:r>
      <w:r>
        <w:t xml:space="preserve">(janeiro-março de 1986) e outro sobre sexualidade, a </w:t>
      </w:r>
      <w:r>
        <w:rPr>
          <w:spacing w:val="-3"/>
        </w:rPr>
        <w:t xml:space="preserve">fim </w:t>
      </w:r>
      <w:r>
        <w:t>de percebermos as idiossincrasias da parceria entre feminismo e Igreja</w:t>
      </w:r>
      <w:r>
        <w:rPr>
          <w:spacing w:val="41"/>
        </w:rPr>
        <w:t xml:space="preserve"> </w:t>
      </w:r>
      <w:r>
        <w:t>Católica.</w:t>
      </w:r>
    </w:p>
    <w:p w:rsidR="00CC7D10" w:rsidRDefault="00CC7D10" w:rsidP="00CC7D10">
      <w:pPr>
        <w:spacing w:before="1"/>
        <w:rPr>
          <w:rFonts w:ascii="Times New Roman" w:eastAsia="Times New Roman" w:hAnsi="Times New Roman"/>
          <w:sz w:val="30"/>
          <w:szCs w:val="30"/>
        </w:rPr>
      </w:pPr>
    </w:p>
    <w:p w:rsidR="00CC7D10" w:rsidRDefault="00CC7D10" w:rsidP="00CC7D10">
      <w:pPr>
        <w:ind w:left="1345"/>
        <w:rPr>
          <w:rFonts w:ascii="Times New Roman" w:eastAsia="Times New Roman" w:hAnsi="Times New Roman"/>
          <w:sz w:val="19"/>
          <w:szCs w:val="19"/>
        </w:rPr>
      </w:pPr>
      <w:r>
        <w:rPr>
          <w:rFonts w:ascii="Times New Roman" w:hAnsi="Times New Roman"/>
          <w:w w:val="105"/>
          <w:sz w:val="19"/>
        </w:rPr>
        <w:t>Quem</w:t>
      </w:r>
      <w:r>
        <w:rPr>
          <w:rFonts w:ascii="Times New Roman" w:hAnsi="Times New Roman"/>
          <w:spacing w:val="-17"/>
          <w:w w:val="105"/>
          <w:sz w:val="19"/>
        </w:rPr>
        <w:t xml:space="preserve"> </w:t>
      </w:r>
      <w:r>
        <w:rPr>
          <w:rFonts w:ascii="Times New Roman" w:hAnsi="Times New Roman"/>
          <w:w w:val="105"/>
          <w:sz w:val="19"/>
        </w:rPr>
        <w:t>matou</w:t>
      </w:r>
      <w:r>
        <w:rPr>
          <w:rFonts w:ascii="Times New Roman" w:hAnsi="Times New Roman"/>
          <w:spacing w:val="-15"/>
          <w:w w:val="105"/>
          <w:sz w:val="19"/>
        </w:rPr>
        <w:t xml:space="preserve"> </w:t>
      </w:r>
      <w:r>
        <w:rPr>
          <w:rFonts w:ascii="Times New Roman" w:hAnsi="Times New Roman"/>
          <w:w w:val="105"/>
          <w:sz w:val="19"/>
        </w:rPr>
        <w:t>o</w:t>
      </w:r>
      <w:r>
        <w:rPr>
          <w:rFonts w:ascii="Times New Roman" w:hAnsi="Times New Roman"/>
          <w:spacing w:val="-15"/>
          <w:w w:val="105"/>
          <w:sz w:val="19"/>
        </w:rPr>
        <w:t xml:space="preserve"> </w:t>
      </w:r>
      <w:r>
        <w:rPr>
          <w:rFonts w:ascii="Times New Roman" w:hAnsi="Times New Roman"/>
          <w:w w:val="105"/>
          <w:sz w:val="19"/>
        </w:rPr>
        <w:t>bebê?</w:t>
      </w:r>
    </w:p>
    <w:p w:rsidR="00CC7D10" w:rsidRDefault="00CC7D10" w:rsidP="00CC7D10">
      <w:pPr>
        <w:spacing w:before="117" w:line="369" w:lineRule="auto"/>
        <w:ind w:left="1345" w:right="103"/>
        <w:rPr>
          <w:rFonts w:ascii="Times New Roman" w:eastAsia="Times New Roman" w:hAnsi="Times New Roman"/>
          <w:sz w:val="19"/>
          <w:szCs w:val="19"/>
        </w:rPr>
      </w:pPr>
      <w:r>
        <w:rPr>
          <w:rFonts w:ascii="Times New Roman" w:hAnsi="Times New Roman"/>
          <w:w w:val="105"/>
          <w:sz w:val="19"/>
        </w:rPr>
        <w:t>[...]</w:t>
      </w:r>
      <w:r>
        <w:rPr>
          <w:rFonts w:ascii="Times New Roman" w:hAnsi="Times New Roman"/>
          <w:spacing w:val="-12"/>
          <w:w w:val="105"/>
          <w:sz w:val="19"/>
        </w:rPr>
        <w:t xml:space="preserve"> </w:t>
      </w:r>
      <w:r>
        <w:rPr>
          <w:rFonts w:ascii="Times New Roman" w:hAnsi="Times New Roman"/>
          <w:w w:val="105"/>
          <w:sz w:val="19"/>
        </w:rPr>
        <w:t>mas</w:t>
      </w:r>
      <w:r>
        <w:rPr>
          <w:rFonts w:ascii="Times New Roman" w:hAnsi="Times New Roman"/>
          <w:spacing w:val="-17"/>
          <w:w w:val="105"/>
          <w:sz w:val="19"/>
        </w:rPr>
        <w:t xml:space="preserve"> </w:t>
      </w:r>
      <w:r>
        <w:rPr>
          <w:rFonts w:ascii="Times New Roman" w:hAnsi="Times New Roman"/>
          <w:w w:val="105"/>
          <w:sz w:val="19"/>
        </w:rPr>
        <w:t>por</w:t>
      </w:r>
      <w:r>
        <w:rPr>
          <w:rFonts w:ascii="Times New Roman" w:hAnsi="Times New Roman"/>
          <w:spacing w:val="-16"/>
          <w:w w:val="105"/>
          <w:sz w:val="19"/>
        </w:rPr>
        <w:t xml:space="preserve"> </w:t>
      </w:r>
      <w:r>
        <w:rPr>
          <w:rFonts w:ascii="Times New Roman" w:hAnsi="Times New Roman"/>
          <w:w w:val="105"/>
          <w:sz w:val="19"/>
        </w:rPr>
        <w:t>que</w:t>
      </w:r>
      <w:r>
        <w:rPr>
          <w:rFonts w:ascii="Times New Roman" w:hAnsi="Times New Roman"/>
          <w:spacing w:val="-14"/>
          <w:w w:val="105"/>
          <w:sz w:val="19"/>
        </w:rPr>
        <w:t xml:space="preserve"> </w:t>
      </w:r>
      <w:r>
        <w:rPr>
          <w:rFonts w:ascii="Times New Roman" w:hAnsi="Times New Roman"/>
          <w:spacing w:val="-3"/>
          <w:w w:val="105"/>
          <w:sz w:val="19"/>
        </w:rPr>
        <w:t>tantas</w:t>
      </w:r>
      <w:r>
        <w:rPr>
          <w:rFonts w:ascii="Times New Roman" w:hAnsi="Times New Roman"/>
          <w:spacing w:val="-10"/>
          <w:w w:val="105"/>
          <w:sz w:val="19"/>
        </w:rPr>
        <w:t xml:space="preserve"> </w:t>
      </w:r>
      <w:r>
        <w:rPr>
          <w:rFonts w:ascii="Times New Roman" w:hAnsi="Times New Roman"/>
          <w:w w:val="105"/>
          <w:sz w:val="19"/>
        </w:rPr>
        <w:t>mulheres,</w:t>
      </w:r>
      <w:r>
        <w:rPr>
          <w:rFonts w:ascii="Times New Roman" w:hAnsi="Times New Roman"/>
          <w:spacing w:val="-10"/>
          <w:w w:val="105"/>
          <w:sz w:val="19"/>
        </w:rPr>
        <w:t xml:space="preserve"> </w:t>
      </w:r>
      <w:r>
        <w:rPr>
          <w:rFonts w:ascii="Times New Roman" w:hAnsi="Times New Roman"/>
          <w:w w:val="105"/>
          <w:sz w:val="19"/>
        </w:rPr>
        <w:t>todos</w:t>
      </w:r>
      <w:r>
        <w:rPr>
          <w:rFonts w:ascii="Times New Roman" w:hAnsi="Times New Roman"/>
          <w:spacing w:val="-17"/>
          <w:w w:val="105"/>
          <w:sz w:val="19"/>
        </w:rPr>
        <w:t xml:space="preserve"> </w:t>
      </w:r>
      <w:r>
        <w:rPr>
          <w:rFonts w:ascii="Times New Roman" w:hAnsi="Times New Roman"/>
          <w:w w:val="105"/>
          <w:sz w:val="19"/>
        </w:rPr>
        <w:t>os</w:t>
      </w:r>
      <w:r>
        <w:rPr>
          <w:rFonts w:ascii="Times New Roman" w:hAnsi="Times New Roman"/>
          <w:spacing w:val="-13"/>
          <w:w w:val="105"/>
          <w:sz w:val="19"/>
        </w:rPr>
        <w:t xml:space="preserve"> </w:t>
      </w:r>
      <w:r>
        <w:rPr>
          <w:rFonts w:ascii="Times New Roman" w:hAnsi="Times New Roman"/>
          <w:w w:val="105"/>
          <w:sz w:val="19"/>
        </w:rPr>
        <w:t>anos</w:t>
      </w:r>
      <w:r>
        <w:rPr>
          <w:rFonts w:ascii="Times New Roman" w:hAnsi="Times New Roman"/>
          <w:spacing w:val="-13"/>
          <w:w w:val="105"/>
          <w:sz w:val="19"/>
        </w:rPr>
        <w:t xml:space="preserve"> </w:t>
      </w:r>
      <w:r>
        <w:rPr>
          <w:rFonts w:ascii="Times New Roman" w:hAnsi="Times New Roman"/>
          <w:w w:val="105"/>
          <w:sz w:val="19"/>
        </w:rPr>
        <w:t>abortam?</w:t>
      </w:r>
      <w:r>
        <w:rPr>
          <w:rFonts w:ascii="Times New Roman" w:hAnsi="Times New Roman"/>
          <w:spacing w:val="-17"/>
          <w:w w:val="105"/>
          <w:sz w:val="19"/>
        </w:rPr>
        <w:t xml:space="preserve"> </w:t>
      </w:r>
      <w:r>
        <w:rPr>
          <w:rFonts w:ascii="Times New Roman" w:hAnsi="Times New Roman"/>
          <w:w w:val="105"/>
          <w:sz w:val="19"/>
        </w:rPr>
        <w:t>Este</w:t>
      </w:r>
      <w:r>
        <w:rPr>
          <w:rFonts w:ascii="Times New Roman" w:hAnsi="Times New Roman"/>
          <w:spacing w:val="-17"/>
          <w:w w:val="105"/>
          <w:sz w:val="19"/>
        </w:rPr>
        <w:t xml:space="preserve"> </w:t>
      </w:r>
      <w:r>
        <w:rPr>
          <w:rFonts w:ascii="Times New Roman" w:hAnsi="Times New Roman"/>
          <w:w w:val="105"/>
          <w:sz w:val="19"/>
        </w:rPr>
        <w:t>seria</w:t>
      </w:r>
      <w:r>
        <w:rPr>
          <w:rFonts w:ascii="Times New Roman" w:hAnsi="Times New Roman"/>
          <w:spacing w:val="-17"/>
          <w:w w:val="105"/>
          <w:sz w:val="19"/>
        </w:rPr>
        <w:t xml:space="preserve"> </w:t>
      </w:r>
      <w:r>
        <w:rPr>
          <w:rFonts w:ascii="Times New Roman" w:hAnsi="Times New Roman"/>
          <w:w w:val="105"/>
          <w:sz w:val="19"/>
        </w:rPr>
        <w:t>um</w:t>
      </w:r>
      <w:r>
        <w:rPr>
          <w:rFonts w:ascii="Times New Roman" w:hAnsi="Times New Roman"/>
          <w:spacing w:val="-13"/>
          <w:w w:val="105"/>
          <w:sz w:val="19"/>
        </w:rPr>
        <w:t xml:space="preserve"> </w:t>
      </w:r>
      <w:r>
        <w:rPr>
          <w:rFonts w:ascii="Times New Roman" w:hAnsi="Times New Roman"/>
          <w:w w:val="105"/>
          <w:sz w:val="19"/>
        </w:rPr>
        <w:t>problema</w:t>
      </w:r>
      <w:r>
        <w:rPr>
          <w:rFonts w:ascii="Times New Roman" w:hAnsi="Times New Roman"/>
          <w:spacing w:val="-10"/>
          <w:w w:val="105"/>
          <w:sz w:val="19"/>
        </w:rPr>
        <w:t xml:space="preserve"> </w:t>
      </w:r>
      <w:r>
        <w:rPr>
          <w:rFonts w:ascii="Times New Roman" w:hAnsi="Times New Roman"/>
          <w:w w:val="105"/>
          <w:sz w:val="19"/>
        </w:rPr>
        <w:t>político,</w:t>
      </w:r>
      <w:r>
        <w:rPr>
          <w:rFonts w:ascii="Times New Roman" w:hAnsi="Times New Roman"/>
          <w:spacing w:val="-10"/>
          <w:w w:val="105"/>
          <w:sz w:val="19"/>
        </w:rPr>
        <w:t xml:space="preserve"> </w:t>
      </w:r>
      <w:r>
        <w:rPr>
          <w:rFonts w:ascii="Times New Roman" w:hAnsi="Times New Roman"/>
          <w:w w:val="105"/>
          <w:sz w:val="19"/>
        </w:rPr>
        <w:t>econômico</w:t>
      </w:r>
      <w:r>
        <w:rPr>
          <w:rFonts w:ascii="Times New Roman" w:hAnsi="Times New Roman"/>
          <w:spacing w:val="-7"/>
          <w:w w:val="105"/>
          <w:sz w:val="19"/>
        </w:rPr>
        <w:t xml:space="preserve"> </w:t>
      </w:r>
      <w:r>
        <w:rPr>
          <w:rFonts w:ascii="Times New Roman" w:hAnsi="Times New Roman"/>
          <w:w w:val="105"/>
          <w:sz w:val="19"/>
        </w:rPr>
        <w:t>e</w:t>
      </w:r>
      <w:r>
        <w:rPr>
          <w:rFonts w:ascii="Times New Roman" w:hAnsi="Times New Roman"/>
          <w:spacing w:val="-20"/>
          <w:w w:val="105"/>
          <w:sz w:val="19"/>
        </w:rPr>
        <w:t xml:space="preserve"> </w:t>
      </w:r>
      <w:r>
        <w:rPr>
          <w:rFonts w:ascii="Times New Roman" w:hAnsi="Times New Roman"/>
          <w:w w:val="105"/>
          <w:sz w:val="19"/>
        </w:rPr>
        <w:t xml:space="preserve">social. Quando a mulher recorre ao aborto, dificilmente, ela o </w:t>
      </w:r>
      <w:r>
        <w:rPr>
          <w:rFonts w:ascii="Times New Roman" w:hAnsi="Times New Roman"/>
          <w:spacing w:val="-3"/>
          <w:w w:val="105"/>
          <w:sz w:val="19"/>
        </w:rPr>
        <w:t xml:space="preserve">faz </w:t>
      </w:r>
      <w:r>
        <w:rPr>
          <w:rFonts w:ascii="Times New Roman" w:hAnsi="Times New Roman"/>
          <w:w w:val="105"/>
          <w:sz w:val="19"/>
        </w:rPr>
        <w:t xml:space="preserve">feliz, tranqüila, satisfeita, para se </w:t>
      </w:r>
      <w:r>
        <w:rPr>
          <w:rFonts w:ascii="Times New Roman" w:hAnsi="Times New Roman"/>
          <w:spacing w:val="-3"/>
          <w:w w:val="105"/>
          <w:sz w:val="19"/>
        </w:rPr>
        <w:t xml:space="preserve">livrar </w:t>
      </w:r>
      <w:r>
        <w:rPr>
          <w:rFonts w:ascii="Times New Roman" w:hAnsi="Times New Roman"/>
          <w:w w:val="105"/>
          <w:sz w:val="19"/>
        </w:rPr>
        <w:t xml:space="preserve">de um pequeno incômodo: a </w:t>
      </w:r>
      <w:r>
        <w:rPr>
          <w:rFonts w:ascii="Times New Roman" w:hAnsi="Times New Roman"/>
          <w:spacing w:val="-3"/>
          <w:w w:val="105"/>
          <w:sz w:val="19"/>
        </w:rPr>
        <w:t xml:space="preserve">mulher </w:t>
      </w:r>
      <w:r>
        <w:rPr>
          <w:rFonts w:ascii="Times New Roman" w:hAnsi="Times New Roman"/>
          <w:w w:val="105"/>
          <w:sz w:val="19"/>
        </w:rPr>
        <w:t>normalmente se sente muito angustiada e sofre bastante com a decisão que tomou</w:t>
      </w:r>
      <w:r>
        <w:rPr>
          <w:rFonts w:ascii="Times New Roman" w:hAnsi="Times New Roman"/>
          <w:spacing w:val="-13"/>
          <w:w w:val="105"/>
          <w:sz w:val="19"/>
        </w:rPr>
        <w:t xml:space="preserve"> </w:t>
      </w:r>
      <w:r>
        <w:rPr>
          <w:rFonts w:ascii="Times New Roman" w:hAnsi="Times New Roman"/>
          <w:w w:val="105"/>
          <w:sz w:val="19"/>
        </w:rPr>
        <w:t>ou</w:t>
      </w:r>
      <w:r>
        <w:rPr>
          <w:rFonts w:ascii="Times New Roman" w:hAnsi="Times New Roman"/>
          <w:spacing w:val="-13"/>
          <w:w w:val="105"/>
          <w:sz w:val="19"/>
        </w:rPr>
        <w:t xml:space="preserve"> </w:t>
      </w:r>
      <w:r>
        <w:rPr>
          <w:rFonts w:ascii="Times New Roman" w:hAnsi="Times New Roman"/>
          <w:w w:val="105"/>
          <w:sz w:val="19"/>
        </w:rPr>
        <w:t>que</w:t>
      </w:r>
      <w:r>
        <w:rPr>
          <w:rFonts w:ascii="Times New Roman" w:hAnsi="Times New Roman"/>
          <w:spacing w:val="-13"/>
          <w:w w:val="105"/>
          <w:sz w:val="19"/>
        </w:rPr>
        <w:t xml:space="preserve"> </w:t>
      </w:r>
      <w:r>
        <w:rPr>
          <w:rFonts w:ascii="Times New Roman" w:hAnsi="Times New Roman"/>
          <w:spacing w:val="-2"/>
          <w:w w:val="105"/>
          <w:sz w:val="19"/>
        </w:rPr>
        <w:t>foi</w:t>
      </w:r>
      <w:r>
        <w:rPr>
          <w:rFonts w:ascii="Times New Roman" w:hAnsi="Times New Roman"/>
          <w:spacing w:val="-17"/>
          <w:w w:val="105"/>
          <w:sz w:val="19"/>
        </w:rPr>
        <w:t xml:space="preserve"> </w:t>
      </w:r>
      <w:r>
        <w:rPr>
          <w:rFonts w:ascii="Times New Roman" w:hAnsi="Times New Roman"/>
          <w:w w:val="105"/>
          <w:sz w:val="19"/>
        </w:rPr>
        <w:t>obrigada</w:t>
      </w:r>
      <w:r>
        <w:rPr>
          <w:rFonts w:ascii="Times New Roman" w:hAnsi="Times New Roman"/>
          <w:spacing w:val="-13"/>
          <w:w w:val="105"/>
          <w:sz w:val="19"/>
        </w:rPr>
        <w:t xml:space="preserve"> </w:t>
      </w:r>
      <w:r>
        <w:rPr>
          <w:rFonts w:ascii="Times New Roman" w:hAnsi="Times New Roman"/>
          <w:w w:val="105"/>
          <w:sz w:val="19"/>
        </w:rPr>
        <w:t>a</w:t>
      </w:r>
      <w:r>
        <w:rPr>
          <w:rFonts w:ascii="Times New Roman" w:hAnsi="Times New Roman"/>
          <w:spacing w:val="-13"/>
          <w:w w:val="105"/>
          <w:sz w:val="19"/>
        </w:rPr>
        <w:t xml:space="preserve"> </w:t>
      </w:r>
      <w:r>
        <w:rPr>
          <w:rFonts w:ascii="Times New Roman" w:hAnsi="Times New Roman"/>
          <w:w w:val="105"/>
          <w:sz w:val="19"/>
        </w:rPr>
        <w:t>tomar.</w:t>
      </w:r>
    </w:p>
    <w:p w:rsidR="00CC7D10" w:rsidRDefault="00CC7D10" w:rsidP="00CC7D10">
      <w:pPr>
        <w:spacing w:before="4" w:line="367" w:lineRule="auto"/>
        <w:ind w:left="1345" w:right="106"/>
        <w:rPr>
          <w:rFonts w:ascii="Times New Roman" w:eastAsia="Times New Roman" w:hAnsi="Times New Roman"/>
          <w:sz w:val="19"/>
          <w:szCs w:val="19"/>
        </w:rPr>
      </w:pPr>
      <w:r>
        <w:rPr>
          <w:rFonts w:ascii="Times New Roman" w:eastAsia="Times New Roman" w:hAnsi="Times New Roman"/>
          <w:w w:val="105"/>
          <w:sz w:val="19"/>
          <w:szCs w:val="19"/>
        </w:rPr>
        <w:t>[...]</w:t>
      </w:r>
      <w:r>
        <w:rPr>
          <w:rFonts w:ascii="Times New Roman" w:eastAsia="Times New Roman" w:hAnsi="Times New Roman"/>
          <w:spacing w:val="-6"/>
          <w:w w:val="105"/>
          <w:sz w:val="19"/>
          <w:szCs w:val="19"/>
        </w:rPr>
        <w:t xml:space="preserve"> </w:t>
      </w:r>
      <w:r>
        <w:rPr>
          <w:rFonts w:ascii="Times New Roman" w:eastAsia="Times New Roman" w:hAnsi="Times New Roman"/>
          <w:w w:val="105"/>
          <w:sz w:val="19"/>
          <w:szCs w:val="19"/>
        </w:rPr>
        <w:t>quais</w:t>
      </w:r>
      <w:r>
        <w:rPr>
          <w:rFonts w:ascii="Times New Roman" w:eastAsia="Times New Roman" w:hAnsi="Times New Roman"/>
          <w:spacing w:val="-4"/>
          <w:w w:val="105"/>
          <w:sz w:val="19"/>
          <w:szCs w:val="19"/>
        </w:rPr>
        <w:t xml:space="preserve"> </w:t>
      </w:r>
      <w:r>
        <w:rPr>
          <w:rFonts w:ascii="Times New Roman" w:eastAsia="Times New Roman" w:hAnsi="Times New Roman"/>
          <w:w w:val="105"/>
          <w:sz w:val="19"/>
          <w:szCs w:val="19"/>
        </w:rPr>
        <w:t>são</w:t>
      </w:r>
      <w:r>
        <w:rPr>
          <w:rFonts w:ascii="Times New Roman" w:eastAsia="Times New Roman" w:hAnsi="Times New Roman"/>
          <w:spacing w:val="-5"/>
          <w:w w:val="105"/>
          <w:sz w:val="19"/>
          <w:szCs w:val="19"/>
        </w:rPr>
        <w:t xml:space="preserve"> </w:t>
      </w:r>
      <w:r>
        <w:rPr>
          <w:rFonts w:ascii="Times New Roman" w:eastAsia="Times New Roman" w:hAnsi="Times New Roman"/>
          <w:w w:val="105"/>
          <w:sz w:val="19"/>
          <w:szCs w:val="19"/>
        </w:rPr>
        <w:t>os</w:t>
      </w:r>
      <w:r>
        <w:rPr>
          <w:rFonts w:ascii="Times New Roman" w:eastAsia="Times New Roman" w:hAnsi="Times New Roman"/>
          <w:spacing w:val="-4"/>
          <w:w w:val="105"/>
          <w:sz w:val="19"/>
          <w:szCs w:val="19"/>
        </w:rPr>
        <w:t xml:space="preserve"> </w:t>
      </w:r>
      <w:r>
        <w:rPr>
          <w:rFonts w:ascii="Times New Roman" w:eastAsia="Times New Roman" w:hAnsi="Times New Roman"/>
          <w:w w:val="105"/>
          <w:sz w:val="19"/>
          <w:szCs w:val="19"/>
        </w:rPr>
        <w:t>meios</w:t>
      </w:r>
      <w:r>
        <w:rPr>
          <w:rFonts w:ascii="Times New Roman" w:eastAsia="Times New Roman" w:hAnsi="Times New Roman"/>
          <w:spacing w:val="-4"/>
          <w:w w:val="105"/>
          <w:sz w:val="19"/>
          <w:szCs w:val="19"/>
        </w:rPr>
        <w:t xml:space="preserve"> </w:t>
      </w:r>
      <w:r>
        <w:rPr>
          <w:rFonts w:ascii="Times New Roman" w:eastAsia="Times New Roman" w:hAnsi="Times New Roman"/>
          <w:w w:val="105"/>
          <w:sz w:val="19"/>
          <w:szCs w:val="19"/>
        </w:rPr>
        <w:t>de</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se</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matar</w:t>
      </w:r>
      <w:r>
        <w:rPr>
          <w:rFonts w:ascii="Times New Roman" w:eastAsia="Times New Roman" w:hAnsi="Times New Roman"/>
          <w:spacing w:val="-6"/>
          <w:w w:val="105"/>
          <w:sz w:val="19"/>
          <w:szCs w:val="19"/>
        </w:rPr>
        <w:t xml:space="preserve"> </w:t>
      </w:r>
      <w:r>
        <w:rPr>
          <w:rFonts w:ascii="Times New Roman" w:eastAsia="Times New Roman" w:hAnsi="Times New Roman"/>
          <w:w w:val="105"/>
          <w:sz w:val="19"/>
          <w:szCs w:val="19"/>
        </w:rPr>
        <w:t>um</w:t>
      </w:r>
      <w:r>
        <w:rPr>
          <w:rFonts w:ascii="Times New Roman" w:eastAsia="Times New Roman" w:hAnsi="Times New Roman"/>
          <w:spacing w:val="-11"/>
          <w:w w:val="105"/>
          <w:sz w:val="19"/>
          <w:szCs w:val="19"/>
        </w:rPr>
        <w:t xml:space="preserve"> </w:t>
      </w:r>
      <w:r>
        <w:rPr>
          <w:rFonts w:ascii="Times New Roman" w:eastAsia="Times New Roman" w:hAnsi="Times New Roman"/>
          <w:w w:val="105"/>
          <w:sz w:val="19"/>
          <w:szCs w:val="19"/>
        </w:rPr>
        <w:t>bebê</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dentro</w:t>
      </w:r>
      <w:r>
        <w:rPr>
          <w:rFonts w:ascii="Times New Roman" w:eastAsia="Times New Roman" w:hAnsi="Times New Roman"/>
          <w:spacing w:val="-8"/>
          <w:w w:val="105"/>
          <w:sz w:val="19"/>
          <w:szCs w:val="19"/>
        </w:rPr>
        <w:t xml:space="preserve"> </w:t>
      </w:r>
      <w:r>
        <w:rPr>
          <w:rFonts w:ascii="Times New Roman" w:eastAsia="Times New Roman" w:hAnsi="Times New Roman"/>
          <w:w w:val="105"/>
          <w:sz w:val="19"/>
          <w:szCs w:val="19"/>
        </w:rPr>
        <w:t>de</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sua</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própria</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mãe?</w:t>
      </w:r>
      <w:r>
        <w:rPr>
          <w:rFonts w:ascii="Times New Roman" w:eastAsia="Times New Roman" w:hAnsi="Times New Roman"/>
          <w:spacing w:val="-5"/>
          <w:w w:val="105"/>
          <w:sz w:val="19"/>
          <w:szCs w:val="19"/>
        </w:rPr>
        <w:t xml:space="preserve"> </w:t>
      </w:r>
      <w:r>
        <w:rPr>
          <w:rFonts w:ascii="Times New Roman" w:eastAsia="Times New Roman" w:hAnsi="Times New Roman"/>
          <w:w w:val="105"/>
          <w:sz w:val="19"/>
          <w:szCs w:val="19"/>
        </w:rPr>
        <w:t>Há</w:t>
      </w:r>
      <w:r>
        <w:rPr>
          <w:rFonts w:ascii="Times New Roman" w:eastAsia="Times New Roman" w:hAnsi="Times New Roman"/>
          <w:spacing w:val="-9"/>
          <w:w w:val="105"/>
          <w:sz w:val="19"/>
          <w:szCs w:val="19"/>
        </w:rPr>
        <w:t xml:space="preserve"> </w:t>
      </w:r>
      <w:r>
        <w:rPr>
          <w:rFonts w:ascii="Times New Roman" w:eastAsia="Times New Roman" w:hAnsi="Times New Roman"/>
          <w:w w:val="105"/>
          <w:sz w:val="19"/>
          <w:szCs w:val="19"/>
        </w:rPr>
        <w:t>quatro</w:t>
      </w:r>
      <w:r>
        <w:rPr>
          <w:rFonts w:ascii="Times New Roman" w:eastAsia="Times New Roman" w:hAnsi="Times New Roman"/>
          <w:spacing w:val="-5"/>
          <w:w w:val="105"/>
          <w:sz w:val="19"/>
          <w:szCs w:val="19"/>
        </w:rPr>
        <w:t xml:space="preserve"> </w:t>
      </w:r>
      <w:r>
        <w:rPr>
          <w:rFonts w:ascii="Times New Roman" w:eastAsia="Times New Roman" w:hAnsi="Times New Roman"/>
          <w:w w:val="105"/>
          <w:sz w:val="19"/>
          <w:szCs w:val="19"/>
        </w:rPr>
        <w:t>maneiras</w:t>
      </w:r>
      <w:r>
        <w:rPr>
          <w:rFonts w:ascii="Times New Roman" w:eastAsia="Times New Roman" w:hAnsi="Times New Roman"/>
          <w:spacing w:val="-8"/>
          <w:w w:val="105"/>
          <w:sz w:val="19"/>
          <w:szCs w:val="19"/>
        </w:rPr>
        <w:t xml:space="preserve"> </w:t>
      </w:r>
      <w:r>
        <w:rPr>
          <w:rFonts w:ascii="Times New Roman" w:eastAsia="Times New Roman" w:hAnsi="Times New Roman"/>
          <w:w w:val="105"/>
          <w:sz w:val="19"/>
          <w:szCs w:val="19"/>
        </w:rPr>
        <w:t>—</w:t>
      </w:r>
      <w:r>
        <w:rPr>
          <w:rFonts w:ascii="Times New Roman" w:eastAsia="Times New Roman" w:hAnsi="Times New Roman"/>
          <w:spacing w:val="-4"/>
          <w:w w:val="105"/>
          <w:sz w:val="19"/>
          <w:szCs w:val="19"/>
        </w:rPr>
        <w:t xml:space="preserve"> </w:t>
      </w:r>
      <w:r>
        <w:rPr>
          <w:rFonts w:ascii="Times New Roman" w:eastAsia="Times New Roman" w:hAnsi="Times New Roman"/>
          <w:w w:val="105"/>
          <w:sz w:val="19"/>
          <w:szCs w:val="19"/>
        </w:rPr>
        <w:t>todas</w:t>
      </w:r>
      <w:r>
        <w:rPr>
          <w:rFonts w:ascii="Times New Roman" w:eastAsia="Times New Roman" w:hAnsi="Times New Roman"/>
          <w:spacing w:val="-8"/>
          <w:w w:val="105"/>
          <w:sz w:val="19"/>
          <w:szCs w:val="19"/>
        </w:rPr>
        <w:t xml:space="preserve"> </w:t>
      </w:r>
      <w:r>
        <w:rPr>
          <w:rFonts w:ascii="Times New Roman" w:eastAsia="Times New Roman" w:hAnsi="Times New Roman"/>
          <w:w w:val="105"/>
          <w:sz w:val="19"/>
          <w:szCs w:val="19"/>
        </w:rPr>
        <w:t>cruéis</w:t>
      </w:r>
      <w:r>
        <w:rPr>
          <w:rFonts w:ascii="Times New Roman" w:eastAsia="Times New Roman" w:hAnsi="Times New Roman"/>
          <w:spacing w:val="-8"/>
          <w:w w:val="105"/>
          <w:sz w:val="19"/>
          <w:szCs w:val="19"/>
        </w:rPr>
        <w:t xml:space="preserve"> </w:t>
      </w:r>
      <w:r>
        <w:rPr>
          <w:rFonts w:ascii="Times New Roman" w:eastAsia="Times New Roman" w:hAnsi="Times New Roman"/>
          <w:w w:val="105"/>
          <w:sz w:val="19"/>
          <w:szCs w:val="19"/>
        </w:rPr>
        <w:t>e desumanas — como o bebê será assassinado? Seja qual for a forma, ele vai sofrer.” [Seguem ilustrações e explicações</w:t>
      </w:r>
      <w:r>
        <w:rPr>
          <w:rFonts w:ascii="Times New Roman" w:eastAsia="Times New Roman" w:hAnsi="Times New Roman"/>
          <w:spacing w:val="-13"/>
          <w:w w:val="105"/>
          <w:sz w:val="19"/>
          <w:szCs w:val="19"/>
        </w:rPr>
        <w:t xml:space="preserve"> </w:t>
      </w:r>
      <w:r>
        <w:rPr>
          <w:rFonts w:ascii="Times New Roman" w:eastAsia="Times New Roman" w:hAnsi="Times New Roman"/>
          <w:w w:val="105"/>
          <w:sz w:val="19"/>
          <w:szCs w:val="19"/>
        </w:rPr>
        <w:t>sobre</w:t>
      </w:r>
      <w:r>
        <w:rPr>
          <w:rFonts w:ascii="Times New Roman" w:eastAsia="Times New Roman" w:hAnsi="Times New Roman"/>
          <w:spacing w:val="-17"/>
          <w:w w:val="105"/>
          <w:sz w:val="19"/>
          <w:szCs w:val="19"/>
        </w:rPr>
        <w:t xml:space="preserve"> </w:t>
      </w:r>
      <w:r>
        <w:rPr>
          <w:rFonts w:ascii="Times New Roman" w:eastAsia="Times New Roman" w:hAnsi="Times New Roman"/>
          <w:w w:val="105"/>
          <w:sz w:val="19"/>
          <w:szCs w:val="19"/>
        </w:rPr>
        <w:t>os</w:t>
      </w:r>
      <w:r>
        <w:rPr>
          <w:rFonts w:ascii="Times New Roman" w:eastAsia="Times New Roman" w:hAnsi="Times New Roman"/>
          <w:spacing w:val="-13"/>
          <w:w w:val="105"/>
          <w:sz w:val="19"/>
          <w:szCs w:val="19"/>
        </w:rPr>
        <w:t xml:space="preserve"> </w:t>
      </w:r>
      <w:r>
        <w:rPr>
          <w:rFonts w:ascii="Times New Roman" w:eastAsia="Times New Roman" w:hAnsi="Times New Roman"/>
          <w:w w:val="105"/>
          <w:sz w:val="19"/>
          <w:szCs w:val="19"/>
        </w:rPr>
        <w:t>métodos].</w:t>
      </w:r>
      <w:r>
        <w:rPr>
          <w:rFonts w:ascii="Times New Roman" w:eastAsia="Times New Roman" w:hAnsi="Times New Roman"/>
          <w:spacing w:val="-14"/>
          <w:w w:val="105"/>
          <w:sz w:val="19"/>
          <w:szCs w:val="19"/>
        </w:rPr>
        <w:t xml:space="preserve"> </w:t>
      </w:r>
      <w:r>
        <w:rPr>
          <w:rFonts w:ascii="Times New Roman" w:eastAsia="Times New Roman" w:hAnsi="Times New Roman"/>
          <w:w w:val="105"/>
          <w:sz w:val="19"/>
          <w:szCs w:val="19"/>
        </w:rPr>
        <w:t>“sucção:</w:t>
      </w:r>
      <w:r>
        <w:rPr>
          <w:rFonts w:ascii="Times New Roman" w:eastAsia="Times New Roman" w:hAnsi="Times New Roman"/>
          <w:spacing w:val="-11"/>
          <w:w w:val="105"/>
          <w:sz w:val="19"/>
          <w:szCs w:val="19"/>
        </w:rPr>
        <w:t xml:space="preserve"> </w:t>
      </w:r>
      <w:r>
        <w:rPr>
          <w:rFonts w:ascii="Times New Roman" w:eastAsia="Times New Roman" w:hAnsi="Times New Roman"/>
          <w:w w:val="105"/>
          <w:sz w:val="19"/>
          <w:szCs w:val="19"/>
        </w:rPr>
        <w:t>o</w:t>
      </w:r>
      <w:r>
        <w:rPr>
          <w:rFonts w:ascii="Times New Roman" w:eastAsia="Times New Roman" w:hAnsi="Times New Roman"/>
          <w:spacing w:val="-15"/>
          <w:w w:val="105"/>
          <w:sz w:val="19"/>
          <w:szCs w:val="19"/>
        </w:rPr>
        <w:t xml:space="preserve"> </w:t>
      </w:r>
      <w:r>
        <w:rPr>
          <w:rFonts w:ascii="Times New Roman" w:eastAsia="Times New Roman" w:hAnsi="Times New Roman"/>
          <w:w w:val="105"/>
          <w:sz w:val="19"/>
          <w:szCs w:val="19"/>
        </w:rPr>
        <w:t>bebê</w:t>
      </w:r>
      <w:r>
        <w:rPr>
          <w:rFonts w:ascii="Times New Roman" w:eastAsia="Times New Roman" w:hAnsi="Times New Roman"/>
          <w:spacing w:val="-14"/>
          <w:w w:val="105"/>
          <w:sz w:val="19"/>
          <w:szCs w:val="19"/>
        </w:rPr>
        <w:t xml:space="preserve"> </w:t>
      </w:r>
      <w:r>
        <w:rPr>
          <w:rFonts w:ascii="Times New Roman" w:eastAsia="Times New Roman" w:hAnsi="Times New Roman"/>
          <w:w w:val="105"/>
          <w:sz w:val="19"/>
          <w:szCs w:val="19"/>
        </w:rPr>
        <w:t>é</w:t>
      </w:r>
      <w:r>
        <w:rPr>
          <w:rFonts w:ascii="Times New Roman" w:eastAsia="Times New Roman" w:hAnsi="Times New Roman"/>
          <w:spacing w:val="-17"/>
          <w:w w:val="105"/>
          <w:sz w:val="19"/>
          <w:szCs w:val="19"/>
        </w:rPr>
        <w:t xml:space="preserve"> </w:t>
      </w:r>
      <w:r>
        <w:rPr>
          <w:rFonts w:ascii="Times New Roman" w:eastAsia="Times New Roman" w:hAnsi="Times New Roman"/>
          <w:w w:val="105"/>
          <w:sz w:val="19"/>
          <w:szCs w:val="19"/>
        </w:rPr>
        <w:t>retirado</w:t>
      </w:r>
      <w:r>
        <w:rPr>
          <w:rFonts w:ascii="Times New Roman" w:eastAsia="Times New Roman" w:hAnsi="Times New Roman"/>
          <w:spacing w:val="-11"/>
          <w:w w:val="105"/>
          <w:sz w:val="19"/>
          <w:szCs w:val="19"/>
        </w:rPr>
        <w:t xml:space="preserve"> </w:t>
      </w:r>
      <w:r>
        <w:rPr>
          <w:rFonts w:ascii="Times New Roman" w:eastAsia="Times New Roman" w:hAnsi="Times New Roman"/>
          <w:w w:val="105"/>
          <w:sz w:val="19"/>
          <w:szCs w:val="19"/>
        </w:rPr>
        <w:t>em</w:t>
      </w:r>
      <w:r>
        <w:rPr>
          <w:rFonts w:ascii="Times New Roman" w:eastAsia="Times New Roman" w:hAnsi="Times New Roman"/>
          <w:spacing w:val="-16"/>
          <w:w w:val="105"/>
          <w:sz w:val="19"/>
          <w:szCs w:val="19"/>
        </w:rPr>
        <w:t xml:space="preserve"> </w:t>
      </w:r>
      <w:r>
        <w:rPr>
          <w:rFonts w:ascii="Times New Roman" w:eastAsia="Times New Roman" w:hAnsi="Times New Roman"/>
          <w:w w:val="105"/>
          <w:sz w:val="19"/>
          <w:szCs w:val="19"/>
        </w:rPr>
        <w:t>pedacinhos;</w:t>
      </w:r>
      <w:r>
        <w:rPr>
          <w:rFonts w:ascii="Times New Roman" w:eastAsia="Times New Roman" w:hAnsi="Times New Roman"/>
          <w:spacing w:val="-11"/>
          <w:w w:val="105"/>
          <w:sz w:val="19"/>
          <w:szCs w:val="19"/>
        </w:rPr>
        <w:t xml:space="preserve"> </w:t>
      </w:r>
      <w:r>
        <w:rPr>
          <w:rFonts w:ascii="Times New Roman" w:eastAsia="Times New Roman" w:hAnsi="Times New Roman"/>
          <w:w w:val="105"/>
          <w:sz w:val="19"/>
          <w:szCs w:val="19"/>
        </w:rPr>
        <w:t>curetagem:</w:t>
      </w:r>
      <w:r>
        <w:rPr>
          <w:rFonts w:ascii="Times New Roman" w:eastAsia="Times New Roman" w:hAnsi="Times New Roman"/>
          <w:spacing w:val="-15"/>
          <w:w w:val="105"/>
          <w:sz w:val="19"/>
          <w:szCs w:val="19"/>
        </w:rPr>
        <w:t xml:space="preserve"> </w:t>
      </w:r>
      <w:r>
        <w:rPr>
          <w:rFonts w:ascii="Times New Roman" w:eastAsia="Times New Roman" w:hAnsi="Times New Roman"/>
          <w:w w:val="105"/>
          <w:sz w:val="19"/>
          <w:szCs w:val="19"/>
        </w:rPr>
        <w:t>o</w:t>
      </w:r>
      <w:r>
        <w:rPr>
          <w:rFonts w:ascii="Times New Roman" w:eastAsia="Times New Roman" w:hAnsi="Times New Roman"/>
          <w:spacing w:val="-8"/>
          <w:w w:val="105"/>
          <w:sz w:val="19"/>
          <w:szCs w:val="19"/>
        </w:rPr>
        <w:t xml:space="preserve"> </w:t>
      </w:r>
      <w:r>
        <w:rPr>
          <w:rFonts w:ascii="Times New Roman" w:eastAsia="Times New Roman" w:hAnsi="Times New Roman"/>
          <w:w w:val="105"/>
          <w:sz w:val="19"/>
          <w:szCs w:val="19"/>
        </w:rPr>
        <w:t>médico</w:t>
      </w:r>
      <w:r>
        <w:rPr>
          <w:rFonts w:ascii="Times New Roman" w:eastAsia="Times New Roman" w:hAnsi="Times New Roman"/>
          <w:spacing w:val="-11"/>
          <w:w w:val="105"/>
          <w:sz w:val="19"/>
          <w:szCs w:val="19"/>
        </w:rPr>
        <w:t xml:space="preserve"> </w:t>
      </w:r>
      <w:r>
        <w:rPr>
          <w:rFonts w:ascii="Times New Roman" w:eastAsia="Times New Roman" w:hAnsi="Times New Roman"/>
          <w:w w:val="105"/>
          <w:sz w:val="19"/>
          <w:szCs w:val="19"/>
        </w:rPr>
        <w:t>simplesmente divide</w:t>
      </w:r>
      <w:r>
        <w:rPr>
          <w:rFonts w:ascii="Times New Roman" w:eastAsia="Times New Roman" w:hAnsi="Times New Roman"/>
          <w:spacing w:val="-14"/>
          <w:w w:val="105"/>
          <w:sz w:val="19"/>
          <w:szCs w:val="19"/>
        </w:rPr>
        <w:t xml:space="preserve"> </w:t>
      </w:r>
      <w:r>
        <w:rPr>
          <w:rFonts w:ascii="Times New Roman" w:eastAsia="Times New Roman" w:hAnsi="Times New Roman"/>
          <w:w w:val="105"/>
          <w:sz w:val="19"/>
          <w:szCs w:val="19"/>
        </w:rPr>
        <w:t>o</w:t>
      </w:r>
      <w:r>
        <w:rPr>
          <w:rFonts w:ascii="Times New Roman" w:eastAsia="Times New Roman" w:hAnsi="Times New Roman"/>
          <w:spacing w:val="-14"/>
          <w:w w:val="105"/>
          <w:sz w:val="19"/>
          <w:szCs w:val="19"/>
        </w:rPr>
        <w:t xml:space="preserve"> </w:t>
      </w:r>
      <w:r>
        <w:rPr>
          <w:rFonts w:ascii="Times New Roman" w:eastAsia="Times New Roman" w:hAnsi="Times New Roman"/>
          <w:w w:val="105"/>
          <w:sz w:val="19"/>
          <w:szCs w:val="19"/>
        </w:rPr>
        <w:t>bebê</w:t>
      </w:r>
      <w:r>
        <w:rPr>
          <w:rFonts w:ascii="Times New Roman" w:eastAsia="Times New Roman" w:hAnsi="Times New Roman"/>
          <w:spacing w:val="-17"/>
          <w:w w:val="105"/>
          <w:sz w:val="19"/>
          <w:szCs w:val="19"/>
        </w:rPr>
        <w:t xml:space="preserve"> </w:t>
      </w:r>
      <w:r>
        <w:rPr>
          <w:rFonts w:ascii="Times New Roman" w:eastAsia="Times New Roman" w:hAnsi="Times New Roman"/>
          <w:spacing w:val="-3"/>
          <w:w w:val="105"/>
          <w:sz w:val="19"/>
          <w:szCs w:val="19"/>
        </w:rPr>
        <w:t>em</w:t>
      </w:r>
      <w:r>
        <w:rPr>
          <w:rFonts w:ascii="Times New Roman" w:eastAsia="Times New Roman" w:hAnsi="Times New Roman"/>
          <w:spacing w:val="-16"/>
          <w:w w:val="105"/>
          <w:sz w:val="19"/>
          <w:szCs w:val="19"/>
        </w:rPr>
        <w:t xml:space="preserve"> </w:t>
      </w:r>
      <w:r>
        <w:rPr>
          <w:rFonts w:ascii="Times New Roman" w:eastAsia="Times New Roman" w:hAnsi="Times New Roman"/>
          <w:w w:val="105"/>
          <w:sz w:val="19"/>
          <w:szCs w:val="19"/>
        </w:rPr>
        <w:t>pedaços</w:t>
      </w:r>
      <w:r>
        <w:rPr>
          <w:rFonts w:ascii="Times New Roman" w:eastAsia="Times New Roman" w:hAnsi="Times New Roman"/>
          <w:spacing w:val="-12"/>
          <w:w w:val="105"/>
          <w:sz w:val="19"/>
          <w:szCs w:val="19"/>
        </w:rPr>
        <w:t xml:space="preserve"> </w:t>
      </w:r>
      <w:r>
        <w:rPr>
          <w:rFonts w:ascii="Times New Roman" w:eastAsia="Times New Roman" w:hAnsi="Times New Roman"/>
          <w:w w:val="105"/>
          <w:sz w:val="19"/>
          <w:szCs w:val="19"/>
        </w:rPr>
        <w:t>dentro</w:t>
      </w:r>
      <w:r>
        <w:rPr>
          <w:rFonts w:ascii="Times New Roman" w:eastAsia="Times New Roman" w:hAnsi="Times New Roman"/>
          <w:spacing w:val="-10"/>
          <w:w w:val="105"/>
          <w:sz w:val="19"/>
          <w:szCs w:val="19"/>
        </w:rPr>
        <w:t xml:space="preserve"> </w:t>
      </w:r>
      <w:r>
        <w:rPr>
          <w:rFonts w:ascii="Times New Roman" w:eastAsia="Times New Roman" w:hAnsi="Times New Roman"/>
          <w:w w:val="105"/>
          <w:sz w:val="19"/>
          <w:szCs w:val="19"/>
        </w:rPr>
        <w:t>da</w:t>
      </w:r>
      <w:r>
        <w:rPr>
          <w:rFonts w:ascii="Times New Roman" w:eastAsia="Times New Roman" w:hAnsi="Times New Roman"/>
          <w:spacing w:val="-14"/>
          <w:w w:val="105"/>
          <w:sz w:val="19"/>
          <w:szCs w:val="19"/>
        </w:rPr>
        <w:t xml:space="preserve"> </w:t>
      </w:r>
      <w:r>
        <w:rPr>
          <w:rFonts w:ascii="Times New Roman" w:eastAsia="Times New Roman" w:hAnsi="Times New Roman"/>
          <w:w w:val="105"/>
          <w:sz w:val="19"/>
          <w:szCs w:val="19"/>
        </w:rPr>
        <w:t>mãe.</w:t>
      </w:r>
      <w:r>
        <w:rPr>
          <w:rFonts w:ascii="Times New Roman" w:eastAsia="Times New Roman" w:hAnsi="Times New Roman"/>
          <w:spacing w:val="-10"/>
          <w:w w:val="105"/>
          <w:sz w:val="19"/>
          <w:szCs w:val="19"/>
        </w:rPr>
        <w:t xml:space="preserve"> </w:t>
      </w:r>
      <w:r>
        <w:rPr>
          <w:rFonts w:ascii="Times New Roman" w:eastAsia="Times New Roman" w:hAnsi="Times New Roman"/>
          <w:w w:val="105"/>
          <w:sz w:val="19"/>
          <w:szCs w:val="19"/>
        </w:rPr>
        <w:t>[...].</w:t>
      </w:r>
    </w:p>
    <w:p w:rsidR="00CC7D10" w:rsidRDefault="00CC7D10" w:rsidP="00CC7D10">
      <w:pPr>
        <w:spacing w:before="5"/>
        <w:rPr>
          <w:rFonts w:ascii="Times New Roman" w:eastAsia="Times New Roman" w:hAnsi="Times New Roman"/>
          <w:sz w:val="29"/>
          <w:szCs w:val="29"/>
        </w:rPr>
      </w:pPr>
    </w:p>
    <w:p w:rsidR="00CC7D10" w:rsidRDefault="00CC7D10" w:rsidP="00CC7D10">
      <w:pPr>
        <w:pStyle w:val="Corpodetexto"/>
        <w:spacing w:line="364" w:lineRule="auto"/>
        <w:ind w:right="102"/>
        <w:jc w:val="both"/>
      </w:pPr>
      <w:r>
        <w:lastRenderedPageBreak/>
        <w:t xml:space="preserve">Na mesma edição há artigo sobre o comportamento sexual. “[...] a nós parece que não devemos rejeitar o homossexual ou a lésbica. E sim, aceitá-lo como ele é, a </w:t>
      </w:r>
      <w:r>
        <w:rPr>
          <w:spacing w:val="-3"/>
        </w:rPr>
        <w:t xml:space="preserve">fim </w:t>
      </w:r>
      <w:r>
        <w:rPr>
          <w:spacing w:val="4"/>
        </w:rPr>
        <w:t xml:space="preserve">de </w:t>
      </w:r>
      <w:r>
        <w:t xml:space="preserve">ajudá-lo a vencer o homossexualismo (no homem) e o lesbianismo  (na mulher) e  encontrar a normalidade de sua pessoa.  Uma vez que o homossexualismo não é normal na natureza </w:t>
      </w:r>
      <w:r>
        <w:rPr>
          <w:spacing w:val="26"/>
        </w:rPr>
        <w:t xml:space="preserve"> </w:t>
      </w:r>
      <w:r>
        <w:t>humana.”</w:t>
      </w:r>
    </w:p>
    <w:p w:rsidR="00CC7D10" w:rsidRDefault="00CC7D10" w:rsidP="001431E7">
      <w:pPr>
        <w:pStyle w:val="Corpodetexto"/>
        <w:spacing w:line="364" w:lineRule="auto"/>
        <w:ind w:right="99"/>
        <w:jc w:val="both"/>
      </w:pPr>
      <w:r>
        <w:rPr>
          <w:b/>
          <w:bCs/>
        </w:rPr>
        <w:t xml:space="preserve">Legislativo </w:t>
      </w:r>
      <w:r>
        <w:t xml:space="preserve">— Anotamos três periódicos no  subgrupo “legislativos”. Os  três estão classificados  na segunda geração da imprensa feminista e retratam a preocupação do movimento feminista com a circulação das informações sobre as leis. Assim como no caso do </w:t>
      </w:r>
      <w:r>
        <w:rPr>
          <w:i/>
        </w:rPr>
        <w:t xml:space="preserve">Fêmea </w:t>
      </w:r>
      <w:r>
        <w:t xml:space="preserve">(ainda hoje, dezembro de 2007, </w:t>
      </w:r>
      <w:r>
        <w:rPr>
          <w:spacing w:val="3"/>
        </w:rPr>
        <w:t xml:space="preserve">em </w:t>
      </w:r>
      <w:r>
        <w:t xml:space="preserve">circulação), que aborda exclusivamente projetos de  lei e  leis que dizem respeito às mulheres, no  jornal </w:t>
      </w:r>
      <w:r>
        <w:rPr>
          <w:i/>
        </w:rPr>
        <w:t xml:space="preserve">Nós e a Constituinte — </w:t>
      </w:r>
      <w:r>
        <w:t xml:space="preserve">Boletim de Intercâmbio das Organizações Populares </w:t>
      </w:r>
      <w:r>
        <w:rPr>
          <w:spacing w:val="2"/>
        </w:rPr>
        <w:t xml:space="preserve">de </w:t>
      </w:r>
      <w:r>
        <w:t xml:space="preserve">Mulheres —, </w:t>
      </w:r>
      <w:r>
        <w:rPr>
          <w:spacing w:val="4"/>
        </w:rPr>
        <w:t xml:space="preserve">da </w:t>
      </w:r>
      <w:r>
        <w:t xml:space="preserve">Rede Mulher, fundado em fevereiro de 1986, o foco é nos pontos da Constituição referentes à mulher. O periódico, que circulou com média </w:t>
      </w:r>
      <w:r>
        <w:rPr>
          <w:spacing w:val="4"/>
        </w:rPr>
        <w:t xml:space="preserve">de </w:t>
      </w:r>
      <w:r>
        <w:t xml:space="preserve">quatro páginas e tiragem </w:t>
      </w:r>
      <w:r>
        <w:rPr>
          <w:spacing w:val="4"/>
        </w:rPr>
        <w:t xml:space="preserve">de </w:t>
      </w:r>
      <w:r>
        <w:t xml:space="preserve">cerca de 600 exemplares,  também  tinha uma característica de ferramenta de ação política da Rede </w:t>
      </w:r>
      <w:r>
        <w:rPr>
          <w:spacing w:val="25"/>
        </w:rPr>
        <w:t xml:space="preserve"> </w:t>
      </w:r>
      <w:r>
        <w:t>Mulher:</w:t>
      </w:r>
    </w:p>
    <w:p w:rsidR="00CC7D10" w:rsidRDefault="00CC7D10" w:rsidP="00CC7D10">
      <w:pPr>
        <w:spacing w:before="80" w:line="369" w:lineRule="auto"/>
        <w:ind w:left="1345" w:right="100"/>
        <w:rPr>
          <w:rFonts w:ascii="Times New Roman" w:eastAsia="Times New Roman" w:hAnsi="Times New Roman"/>
          <w:sz w:val="19"/>
          <w:szCs w:val="19"/>
        </w:rPr>
      </w:pPr>
      <w:r>
        <w:rPr>
          <w:rFonts w:ascii="Times New Roman" w:hAnsi="Times New Roman"/>
          <w:w w:val="105"/>
          <w:sz w:val="19"/>
        </w:rPr>
        <w:t xml:space="preserve">[...] Foi pedido à Rede Mulher que servisse </w:t>
      </w:r>
      <w:r>
        <w:rPr>
          <w:rFonts w:ascii="Times New Roman" w:hAnsi="Times New Roman"/>
          <w:spacing w:val="3"/>
          <w:w w:val="105"/>
          <w:sz w:val="19"/>
        </w:rPr>
        <w:t xml:space="preserve">de </w:t>
      </w:r>
      <w:r>
        <w:rPr>
          <w:rFonts w:ascii="Times New Roman" w:hAnsi="Times New Roman"/>
          <w:w w:val="105"/>
          <w:sz w:val="19"/>
        </w:rPr>
        <w:t>canal de comunicação sobre tudo o que está acontecendo nos grupos</w:t>
      </w:r>
      <w:r>
        <w:rPr>
          <w:rFonts w:ascii="Times New Roman" w:hAnsi="Times New Roman"/>
          <w:spacing w:val="-13"/>
          <w:w w:val="105"/>
          <w:sz w:val="19"/>
        </w:rPr>
        <w:t xml:space="preserve"> </w:t>
      </w:r>
      <w:r>
        <w:rPr>
          <w:rFonts w:ascii="Times New Roman" w:hAnsi="Times New Roman"/>
          <w:w w:val="105"/>
          <w:sz w:val="19"/>
        </w:rPr>
        <w:t>populares</w:t>
      </w:r>
      <w:r>
        <w:rPr>
          <w:rFonts w:ascii="Times New Roman" w:hAnsi="Times New Roman"/>
          <w:spacing w:val="-9"/>
          <w:w w:val="105"/>
          <w:sz w:val="19"/>
        </w:rPr>
        <w:t xml:space="preserve"> </w:t>
      </w:r>
      <w:r>
        <w:rPr>
          <w:rFonts w:ascii="Times New Roman" w:hAnsi="Times New Roman"/>
          <w:w w:val="105"/>
          <w:sz w:val="19"/>
        </w:rPr>
        <w:t>de</w:t>
      </w:r>
      <w:r>
        <w:rPr>
          <w:rFonts w:ascii="Times New Roman" w:hAnsi="Times New Roman"/>
          <w:spacing w:val="-6"/>
          <w:w w:val="105"/>
          <w:sz w:val="19"/>
        </w:rPr>
        <w:t xml:space="preserve"> </w:t>
      </w:r>
      <w:r>
        <w:rPr>
          <w:rFonts w:ascii="Times New Roman" w:hAnsi="Times New Roman"/>
          <w:w w:val="105"/>
          <w:sz w:val="19"/>
        </w:rPr>
        <w:t>mulheres.</w:t>
      </w:r>
      <w:r>
        <w:rPr>
          <w:rFonts w:ascii="Times New Roman" w:hAnsi="Times New Roman"/>
          <w:spacing w:val="-6"/>
          <w:w w:val="105"/>
          <w:sz w:val="19"/>
        </w:rPr>
        <w:t xml:space="preserve"> </w:t>
      </w:r>
      <w:r>
        <w:rPr>
          <w:rFonts w:ascii="Times New Roman" w:hAnsi="Times New Roman"/>
          <w:w w:val="105"/>
          <w:sz w:val="19"/>
        </w:rPr>
        <w:t>Este</w:t>
      </w:r>
      <w:r>
        <w:rPr>
          <w:rFonts w:ascii="Times New Roman" w:hAnsi="Times New Roman"/>
          <w:spacing w:val="-6"/>
          <w:w w:val="105"/>
          <w:sz w:val="19"/>
        </w:rPr>
        <w:t xml:space="preserve"> </w:t>
      </w:r>
      <w:r>
        <w:rPr>
          <w:rFonts w:ascii="Times New Roman" w:hAnsi="Times New Roman"/>
          <w:w w:val="105"/>
          <w:sz w:val="19"/>
        </w:rPr>
        <w:t>é</w:t>
      </w:r>
      <w:r>
        <w:rPr>
          <w:rFonts w:ascii="Times New Roman" w:hAnsi="Times New Roman"/>
          <w:spacing w:val="-10"/>
          <w:w w:val="105"/>
          <w:sz w:val="19"/>
        </w:rPr>
        <w:t xml:space="preserve"> </w:t>
      </w:r>
      <w:r>
        <w:rPr>
          <w:rFonts w:ascii="Times New Roman" w:hAnsi="Times New Roman"/>
          <w:w w:val="105"/>
          <w:sz w:val="19"/>
        </w:rPr>
        <w:t>o</w:t>
      </w:r>
      <w:r>
        <w:rPr>
          <w:rFonts w:ascii="Times New Roman" w:hAnsi="Times New Roman"/>
          <w:spacing w:val="-7"/>
          <w:w w:val="105"/>
          <w:sz w:val="19"/>
        </w:rPr>
        <w:t xml:space="preserve"> </w:t>
      </w:r>
      <w:r>
        <w:rPr>
          <w:rFonts w:ascii="Times New Roman" w:hAnsi="Times New Roman"/>
          <w:w w:val="105"/>
          <w:sz w:val="19"/>
        </w:rPr>
        <w:t>número</w:t>
      </w:r>
      <w:r>
        <w:rPr>
          <w:rFonts w:ascii="Times New Roman" w:hAnsi="Times New Roman"/>
          <w:spacing w:val="-7"/>
          <w:w w:val="105"/>
          <w:sz w:val="19"/>
        </w:rPr>
        <w:t xml:space="preserve"> </w:t>
      </w:r>
      <w:r>
        <w:rPr>
          <w:rFonts w:ascii="Times New Roman" w:hAnsi="Times New Roman"/>
          <w:w w:val="105"/>
          <w:sz w:val="19"/>
        </w:rPr>
        <w:t>1 dos</w:t>
      </w:r>
      <w:r>
        <w:rPr>
          <w:rFonts w:ascii="Times New Roman" w:hAnsi="Times New Roman"/>
          <w:spacing w:val="-7"/>
          <w:w w:val="105"/>
          <w:sz w:val="19"/>
        </w:rPr>
        <w:t xml:space="preserve"> </w:t>
      </w:r>
      <w:r>
        <w:rPr>
          <w:rFonts w:ascii="Times New Roman" w:hAnsi="Times New Roman"/>
          <w:w w:val="105"/>
          <w:sz w:val="19"/>
        </w:rPr>
        <w:t>boletins</w:t>
      </w:r>
      <w:r>
        <w:rPr>
          <w:rFonts w:ascii="Times New Roman" w:hAnsi="Times New Roman"/>
          <w:spacing w:val="-9"/>
          <w:w w:val="105"/>
          <w:sz w:val="19"/>
        </w:rPr>
        <w:t xml:space="preserve"> </w:t>
      </w:r>
      <w:r>
        <w:rPr>
          <w:rFonts w:ascii="Times New Roman" w:hAnsi="Times New Roman"/>
          <w:w w:val="105"/>
          <w:sz w:val="19"/>
        </w:rPr>
        <w:t>que</w:t>
      </w:r>
      <w:r>
        <w:rPr>
          <w:rFonts w:ascii="Times New Roman" w:hAnsi="Times New Roman"/>
          <w:spacing w:val="-10"/>
          <w:w w:val="105"/>
          <w:sz w:val="19"/>
        </w:rPr>
        <w:t xml:space="preserve"> </w:t>
      </w:r>
      <w:r>
        <w:rPr>
          <w:rFonts w:ascii="Times New Roman" w:hAnsi="Times New Roman"/>
          <w:w w:val="105"/>
          <w:sz w:val="19"/>
        </w:rPr>
        <w:t>circularão</w:t>
      </w:r>
      <w:r>
        <w:rPr>
          <w:rFonts w:ascii="Times New Roman" w:hAnsi="Times New Roman"/>
          <w:spacing w:val="-4"/>
          <w:w w:val="105"/>
          <w:sz w:val="19"/>
        </w:rPr>
        <w:t xml:space="preserve"> </w:t>
      </w:r>
      <w:r>
        <w:rPr>
          <w:rFonts w:ascii="Times New Roman" w:hAnsi="Times New Roman"/>
          <w:w w:val="105"/>
          <w:sz w:val="19"/>
        </w:rPr>
        <w:t>entre</w:t>
      </w:r>
      <w:r>
        <w:rPr>
          <w:rFonts w:ascii="Times New Roman" w:hAnsi="Times New Roman"/>
          <w:spacing w:val="-6"/>
          <w:w w:val="105"/>
          <w:sz w:val="19"/>
        </w:rPr>
        <w:t xml:space="preserve"> </w:t>
      </w:r>
      <w:r>
        <w:rPr>
          <w:rFonts w:ascii="Times New Roman" w:hAnsi="Times New Roman"/>
          <w:w w:val="105"/>
          <w:sz w:val="19"/>
        </w:rPr>
        <w:t>as</w:t>
      </w:r>
      <w:r>
        <w:rPr>
          <w:rFonts w:ascii="Times New Roman" w:hAnsi="Times New Roman"/>
          <w:spacing w:val="-9"/>
          <w:w w:val="105"/>
          <w:sz w:val="19"/>
        </w:rPr>
        <w:t xml:space="preserve"> </w:t>
      </w:r>
      <w:r>
        <w:rPr>
          <w:rFonts w:ascii="Times New Roman" w:hAnsi="Times New Roman"/>
          <w:w w:val="105"/>
          <w:sz w:val="19"/>
        </w:rPr>
        <w:t>organizações</w:t>
      </w:r>
      <w:r>
        <w:rPr>
          <w:rFonts w:ascii="Times New Roman" w:hAnsi="Times New Roman"/>
          <w:spacing w:val="-9"/>
          <w:w w:val="105"/>
          <w:sz w:val="19"/>
        </w:rPr>
        <w:t xml:space="preserve"> </w:t>
      </w:r>
      <w:r>
        <w:rPr>
          <w:rFonts w:ascii="Times New Roman" w:hAnsi="Times New Roman"/>
          <w:w w:val="105"/>
          <w:sz w:val="19"/>
        </w:rPr>
        <w:t>populares de</w:t>
      </w:r>
      <w:r>
        <w:rPr>
          <w:rFonts w:ascii="Times New Roman" w:hAnsi="Times New Roman"/>
          <w:spacing w:val="-13"/>
          <w:w w:val="105"/>
          <w:sz w:val="19"/>
        </w:rPr>
        <w:t xml:space="preserve"> </w:t>
      </w:r>
      <w:r>
        <w:rPr>
          <w:rFonts w:ascii="Times New Roman" w:hAnsi="Times New Roman"/>
          <w:w w:val="105"/>
          <w:sz w:val="19"/>
        </w:rPr>
        <w:t>mulheres,</w:t>
      </w:r>
      <w:r>
        <w:rPr>
          <w:rFonts w:ascii="Times New Roman" w:hAnsi="Times New Roman"/>
          <w:spacing w:val="-13"/>
          <w:w w:val="105"/>
          <w:sz w:val="19"/>
        </w:rPr>
        <w:t xml:space="preserve"> </w:t>
      </w:r>
      <w:r>
        <w:rPr>
          <w:rFonts w:ascii="Times New Roman" w:hAnsi="Times New Roman"/>
          <w:w w:val="105"/>
          <w:sz w:val="19"/>
        </w:rPr>
        <w:t>de</w:t>
      </w:r>
      <w:r>
        <w:rPr>
          <w:rFonts w:ascii="Times New Roman" w:hAnsi="Times New Roman"/>
          <w:spacing w:val="-9"/>
          <w:w w:val="105"/>
          <w:sz w:val="19"/>
        </w:rPr>
        <w:t xml:space="preserve"> </w:t>
      </w:r>
      <w:r>
        <w:rPr>
          <w:rFonts w:ascii="Times New Roman" w:hAnsi="Times New Roman"/>
          <w:w w:val="105"/>
          <w:sz w:val="19"/>
        </w:rPr>
        <w:t>todo</w:t>
      </w:r>
      <w:r>
        <w:rPr>
          <w:rFonts w:ascii="Times New Roman" w:hAnsi="Times New Roman"/>
          <w:spacing w:val="-6"/>
          <w:w w:val="105"/>
          <w:sz w:val="19"/>
        </w:rPr>
        <w:t xml:space="preserve"> </w:t>
      </w:r>
      <w:r>
        <w:rPr>
          <w:rFonts w:ascii="Times New Roman" w:hAnsi="Times New Roman"/>
          <w:w w:val="105"/>
          <w:sz w:val="19"/>
        </w:rPr>
        <w:t>o</w:t>
      </w:r>
      <w:r>
        <w:rPr>
          <w:rFonts w:ascii="Times New Roman" w:hAnsi="Times New Roman"/>
          <w:spacing w:val="-10"/>
          <w:w w:val="105"/>
          <w:sz w:val="19"/>
        </w:rPr>
        <w:t xml:space="preserve"> </w:t>
      </w:r>
      <w:r>
        <w:rPr>
          <w:rFonts w:ascii="Times New Roman" w:hAnsi="Times New Roman"/>
          <w:w w:val="105"/>
          <w:sz w:val="19"/>
        </w:rPr>
        <w:t>Brasil,</w:t>
      </w:r>
      <w:r>
        <w:rPr>
          <w:rFonts w:ascii="Times New Roman" w:hAnsi="Times New Roman"/>
          <w:spacing w:val="-13"/>
          <w:w w:val="105"/>
          <w:sz w:val="19"/>
        </w:rPr>
        <w:t xml:space="preserve"> </w:t>
      </w:r>
      <w:r>
        <w:rPr>
          <w:rFonts w:ascii="Times New Roman" w:hAnsi="Times New Roman"/>
          <w:w w:val="105"/>
          <w:sz w:val="19"/>
        </w:rPr>
        <w:t>durante</w:t>
      </w:r>
      <w:r>
        <w:rPr>
          <w:rFonts w:ascii="Times New Roman" w:hAnsi="Times New Roman"/>
          <w:spacing w:val="-9"/>
          <w:w w:val="105"/>
          <w:sz w:val="19"/>
        </w:rPr>
        <w:t xml:space="preserve"> </w:t>
      </w:r>
      <w:r>
        <w:rPr>
          <w:rFonts w:ascii="Times New Roman" w:hAnsi="Times New Roman"/>
          <w:w w:val="105"/>
          <w:sz w:val="19"/>
        </w:rPr>
        <w:t>este</w:t>
      </w:r>
      <w:r>
        <w:rPr>
          <w:rFonts w:ascii="Times New Roman" w:hAnsi="Times New Roman"/>
          <w:spacing w:val="-13"/>
          <w:w w:val="105"/>
          <w:sz w:val="19"/>
        </w:rPr>
        <w:t xml:space="preserve"> </w:t>
      </w:r>
      <w:r>
        <w:rPr>
          <w:rFonts w:ascii="Times New Roman" w:hAnsi="Times New Roman"/>
          <w:w w:val="105"/>
          <w:sz w:val="19"/>
        </w:rPr>
        <w:t>ano.</w:t>
      </w:r>
      <w:r>
        <w:rPr>
          <w:rFonts w:ascii="Times New Roman" w:hAnsi="Times New Roman"/>
          <w:spacing w:val="-9"/>
          <w:w w:val="105"/>
          <w:sz w:val="19"/>
        </w:rPr>
        <w:t xml:space="preserve"> </w:t>
      </w:r>
      <w:r>
        <w:rPr>
          <w:rFonts w:ascii="Times New Roman" w:hAnsi="Times New Roman"/>
          <w:spacing w:val="-3"/>
          <w:w w:val="105"/>
          <w:sz w:val="19"/>
        </w:rPr>
        <w:t>Tal</w:t>
      </w:r>
      <w:r>
        <w:rPr>
          <w:rFonts w:ascii="Times New Roman" w:hAnsi="Times New Roman"/>
          <w:spacing w:val="-6"/>
          <w:w w:val="105"/>
          <w:sz w:val="19"/>
        </w:rPr>
        <w:t xml:space="preserve"> </w:t>
      </w:r>
      <w:r>
        <w:rPr>
          <w:rFonts w:ascii="Times New Roman" w:hAnsi="Times New Roman"/>
          <w:w w:val="105"/>
          <w:sz w:val="19"/>
        </w:rPr>
        <w:t>como</w:t>
      </w:r>
      <w:r>
        <w:rPr>
          <w:rFonts w:ascii="Times New Roman" w:hAnsi="Times New Roman"/>
          <w:spacing w:val="-6"/>
          <w:w w:val="105"/>
          <w:sz w:val="19"/>
        </w:rPr>
        <w:t xml:space="preserve"> </w:t>
      </w:r>
      <w:r>
        <w:rPr>
          <w:rFonts w:ascii="Times New Roman" w:hAnsi="Times New Roman"/>
          <w:w w:val="105"/>
          <w:sz w:val="19"/>
        </w:rPr>
        <w:t>foi</w:t>
      </w:r>
      <w:r>
        <w:rPr>
          <w:rFonts w:ascii="Times New Roman" w:hAnsi="Times New Roman"/>
          <w:spacing w:val="-6"/>
          <w:w w:val="105"/>
          <w:sz w:val="19"/>
        </w:rPr>
        <w:t xml:space="preserve"> </w:t>
      </w:r>
      <w:r>
        <w:rPr>
          <w:rFonts w:ascii="Times New Roman" w:hAnsi="Times New Roman"/>
          <w:w w:val="105"/>
          <w:sz w:val="19"/>
        </w:rPr>
        <w:t>pedido,</w:t>
      </w:r>
      <w:r>
        <w:rPr>
          <w:rFonts w:ascii="Times New Roman" w:hAnsi="Times New Roman"/>
          <w:spacing w:val="-13"/>
          <w:w w:val="105"/>
          <w:sz w:val="19"/>
        </w:rPr>
        <w:t xml:space="preserve"> </w:t>
      </w:r>
      <w:r>
        <w:rPr>
          <w:rFonts w:ascii="Times New Roman" w:hAnsi="Times New Roman"/>
          <w:w w:val="105"/>
          <w:sz w:val="19"/>
        </w:rPr>
        <w:t>a</w:t>
      </w:r>
      <w:r>
        <w:rPr>
          <w:rFonts w:ascii="Times New Roman" w:hAnsi="Times New Roman"/>
          <w:spacing w:val="-13"/>
          <w:w w:val="105"/>
          <w:sz w:val="19"/>
        </w:rPr>
        <w:t xml:space="preserve"> </w:t>
      </w:r>
      <w:r>
        <w:rPr>
          <w:rFonts w:ascii="Times New Roman" w:hAnsi="Times New Roman"/>
          <w:w w:val="105"/>
          <w:sz w:val="19"/>
        </w:rPr>
        <w:t>Rede</w:t>
      </w:r>
      <w:r>
        <w:rPr>
          <w:rFonts w:ascii="Times New Roman" w:hAnsi="Times New Roman"/>
          <w:spacing w:val="-9"/>
          <w:w w:val="105"/>
          <w:sz w:val="19"/>
        </w:rPr>
        <w:t xml:space="preserve"> </w:t>
      </w:r>
      <w:r>
        <w:rPr>
          <w:rFonts w:ascii="Times New Roman" w:hAnsi="Times New Roman"/>
          <w:w w:val="105"/>
          <w:sz w:val="19"/>
        </w:rPr>
        <w:t>Mulher</w:t>
      </w:r>
      <w:r>
        <w:rPr>
          <w:rFonts w:ascii="Times New Roman" w:hAnsi="Times New Roman"/>
          <w:spacing w:val="-10"/>
          <w:w w:val="105"/>
          <w:sz w:val="19"/>
        </w:rPr>
        <w:t xml:space="preserve"> </w:t>
      </w:r>
      <w:r>
        <w:rPr>
          <w:rFonts w:ascii="Times New Roman" w:hAnsi="Times New Roman"/>
          <w:w w:val="105"/>
          <w:sz w:val="19"/>
        </w:rPr>
        <w:t>vai</w:t>
      </w:r>
      <w:r>
        <w:rPr>
          <w:rFonts w:ascii="Times New Roman" w:hAnsi="Times New Roman"/>
          <w:spacing w:val="-14"/>
          <w:w w:val="105"/>
          <w:sz w:val="19"/>
        </w:rPr>
        <w:t xml:space="preserve"> </w:t>
      </w:r>
      <w:r>
        <w:rPr>
          <w:rFonts w:ascii="Times New Roman" w:hAnsi="Times New Roman"/>
          <w:w w:val="105"/>
          <w:sz w:val="19"/>
        </w:rPr>
        <w:t>sistematizar</w:t>
      </w:r>
      <w:r>
        <w:rPr>
          <w:rFonts w:ascii="Times New Roman" w:hAnsi="Times New Roman"/>
          <w:spacing w:val="-2"/>
          <w:w w:val="105"/>
          <w:sz w:val="19"/>
        </w:rPr>
        <w:t xml:space="preserve"> </w:t>
      </w:r>
      <w:r>
        <w:rPr>
          <w:rFonts w:ascii="Times New Roman" w:hAnsi="Times New Roman"/>
          <w:spacing w:val="-3"/>
          <w:w w:val="105"/>
          <w:sz w:val="19"/>
        </w:rPr>
        <w:t>tudo</w:t>
      </w:r>
      <w:r>
        <w:rPr>
          <w:rFonts w:ascii="Times New Roman" w:hAnsi="Times New Roman"/>
          <w:spacing w:val="-6"/>
          <w:w w:val="105"/>
          <w:sz w:val="19"/>
        </w:rPr>
        <w:t xml:space="preserve"> </w:t>
      </w:r>
      <w:r>
        <w:rPr>
          <w:rFonts w:ascii="Times New Roman" w:hAnsi="Times New Roman"/>
          <w:w w:val="105"/>
          <w:sz w:val="19"/>
        </w:rPr>
        <w:t>que receber</w:t>
      </w:r>
      <w:r>
        <w:rPr>
          <w:rFonts w:ascii="Times New Roman" w:hAnsi="Times New Roman"/>
          <w:spacing w:val="-11"/>
          <w:w w:val="105"/>
          <w:sz w:val="19"/>
        </w:rPr>
        <w:t xml:space="preserve"> </w:t>
      </w:r>
      <w:r>
        <w:rPr>
          <w:rFonts w:ascii="Times New Roman" w:hAnsi="Times New Roman"/>
          <w:w w:val="105"/>
          <w:sz w:val="19"/>
        </w:rPr>
        <w:t>de</w:t>
      </w:r>
      <w:r>
        <w:rPr>
          <w:rFonts w:ascii="Times New Roman" w:hAnsi="Times New Roman"/>
          <w:spacing w:val="-16"/>
          <w:w w:val="105"/>
          <w:sz w:val="19"/>
        </w:rPr>
        <w:t xml:space="preserve"> </w:t>
      </w:r>
      <w:r>
        <w:rPr>
          <w:rFonts w:ascii="Times New Roman" w:hAnsi="Times New Roman"/>
          <w:w w:val="105"/>
          <w:sz w:val="19"/>
        </w:rPr>
        <w:t>vocês,</w:t>
      </w:r>
      <w:r>
        <w:rPr>
          <w:rFonts w:ascii="Times New Roman" w:hAnsi="Times New Roman"/>
          <w:spacing w:val="-16"/>
          <w:w w:val="105"/>
          <w:sz w:val="19"/>
        </w:rPr>
        <w:t xml:space="preserve"> </w:t>
      </w:r>
      <w:r>
        <w:rPr>
          <w:rFonts w:ascii="Times New Roman" w:hAnsi="Times New Roman"/>
          <w:w w:val="105"/>
          <w:sz w:val="19"/>
        </w:rPr>
        <w:t>até</w:t>
      </w:r>
      <w:r>
        <w:rPr>
          <w:rFonts w:ascii="Times New Roman" w:hAnsi="Times New Roman"/>
          <w:spacing w:val="-13"/>
          <w:w w:val="105"/>
          <w:sz w:val="19"/>
        </w:rPr>
        <w:t xml:space="preserve"> </w:t>
      </w:r>
      <w:r>
        <w:rPr>
          <w:rFonts w:ascii="Times New Roman" w:hAnsi="Times New Roman"/>
          <w:w w:val="105"/>
          <w:sz w:val="19"/>
        </w:rPr>
        <w:t>chegarmos</w:t>
      </w:r>
      <w:r>
        <w:rPr>
          <w:rFonts w:ascii="Times New Roman" w:hAnsi="Times New Roman"/>
          <w:spacing w:val="-12"/>
          <w:w w:val="105"/>
          <w:sz w:val="19"/>
        </w:rPr>
        <w:t xml:space="preserve"> </w:t>
      </w:r>
      <w:r>
        <w:rPr>
          <w:rFonts w:ascii="Times New Roman" w:hAnsi="Times New Roman"/>
          <w:w w:val="105"/>
          <w:sz w:val="19"/>
        </w:rPr>
        <w:t>a</w:t>
      </w:r>
      <w:r>
        <w:rPr>
          <w:rFonts w:ascii="Times New Roman" w:hAnsi="Times New Roman"/>
          <w:spacing w:val="-13"/>
          <w:w w:val="105"/>
          <w:sz w:val="19"/>
        </w:rPr>
        <w:t xml:space="preserve"> </w:t>
      </w:r>
      <w:r>
        <w:rPr>
          <w:rFonts w:ascii="Times New Roman" w:hAnsi="Times New Roman"/>
          <w:w w:val="105"/>
          <w:sz w:val="19"/>
        </w:rPr>
        <w:t>propostas</w:t>
      </w:r>
      <w:r>
        <w:rPr>
          <w:rFonts w:ascii="Times New Roman" w:hAnsi="Times New Roman"/>
          <w:spacing w:val="-15"/>
          <w:w w:val="105"/>
          <w:sz w:val="19"/>
        </w:rPr>
        <w:t xml:space="preserve"> </w:t>
      </w:r>
      <w:r>
        <w:rPr>
          <w:rFonts w:ascii="Times New Roman" w:hAnsi="Times New Roman"/>
          <w:w w:val="105"/>
          <w:sz w:val="19"/>
        </w:rPr>
        <w:t>comuns,</w:t>
      </w:r>
      <w:r>
        <w:rPr>
          <w:rFonts w:ascii="Times New Roman" w:hAnsi="Times New Roman"/>
          <w:spacing w:val="-18"/>
          <w:w w:val="105"/>
          <w:sz w:val="19"/>
        </w:rPr>
        <w:t xml:space="preserve"> </w:t>
      </w:r>
      <w:r>
        <w:rPr>
          <w:rFonts w:ascii="Times New Roman" w:hAnsi="Times New Roman"/>
          <w:w w:val="105"/>
          <w:sz w:val="19"/>
        </w:rPr>
        <w:t>que</w:t>
      </w:r>
      <w:r>
        <w:rPr>
          <w:rFonts w:ascii="Times New Roman" w:hAnsi="Times New Roman"/>
          <w:spacing w:val="-16"/>
          <w:w w:val="105"/>
          <w:sz w:val="19"/>
        </w:rPr>
        <w:t xml:space="preserve"> </w:t>
      </w:r>
      <w:r>
        <w:rPr>
          <w:rFonts w:ascii="Times New Roman" w:hAnsi="Times New Roman"/>
          <w:w w:val="105"/>
          <w:sz w:val="19"/>
        </w:rPr>
        <w:t>defenderemos</w:t>
      </w:r>
      <w:r>
        <w:rPr>
          <w:rFonts w:ascii="Times New Roman" w:hAnsi="Times New Roman"/>
          <w:spacing w:val="-8"/>
          <w:w w:val="105"/>
          <w:sz w:val="19"/>
        </w:rPr>
        <w:t xml:space="preserve"> </w:t>
      </w:r>
      <w:r>
        <w:rPr>
          <w:rFonts w:ascii="Times New Roman" w:hAnsi="Times New Roman"/>
          <w:w w:val="105"/>
          <w:sz w:val="19"/>
        </w:rPr>
        <w:t>juntas.</w:t>
      </w:r>
      <w:r>
        <w:rPr>
          <w:rFonts w:ascii="Times New Roman" w:hAnsi="Times New Roman"/>
          <w:spacing w:val="-13"/>
          <w:w w:val="105"/>
          <w:sz w:val="19"/>
        </w:rPr>
        <w:t xml:space="preserve"> </w:t>
      </w:r>
      <w:r>
        <w:rPr>
          <w:rFonts w:ascii="Times New Roman" w:hAnsi="Times New Roman"/>
          <w:w w:val="105"/>
          <w:sz w:val="19"/>
        </w:rPr>
        <w:t>(Editorial</w:t>
      </w:r>
      <w:r>
        <w:rPr>
          <w:rFonts w:ascii="Times New Roman" w:hAnsi="Times New Roman"/>
          <w:spacing w:val="-17"/>
          <w:w w:val="105"/>
          <w:sz w:val="19"/>
        </w:rPr>
        <w:t xml:space="preserve"> </w:t>
      </w:r>
      <w:r>
        <w:rPr>
          <w:rFonts w:ascii="Times New Roman" w:hAnsi="Times New Roman"/>
          <w:w w:val="105"/>
          <w:sz w:val="19"/>
        </w:rPr>
        <w:t>do</w:t>
      </w:r>
      <w:r>
        <w:rPr>
          <w:rFonts w:ascii="Times New Roman" w:hAnsi="Times New Roman"/>
          <w:spacing w:val="-10"/>
          <w:w w:val="105"/>
          <w:sz w:val="19"/>
        </w:rPr>
        <w:t xml:space="preserve"> </w:t>
      </w:r>
      <w:r>
        <w:rPr>
          <w:rFonts w:ascii="Times New Roman" w:hAnsi="Times New Roman"/>
          <w:w w:val="105"/>
          <w:sz w:val="19"/>
        </w:rPr>
        <w:t>número</w:t>
      </w:r>
      <w:r>
        <w:rPr>
          <w:rFonts w:ascii="Times New Roman" w:hAnsi="Times New Roman"/>
          <w:spacing w:val="-13"/>
          <w:w w:val="105"/>
          <w:sz w:val="19"/>
        </w:rPr>
        <w:t xml:space="preserve"> </w:t>
      </w:r>
      <w:r>
        <w:rPr>
          <w:rFonts w:ascii="Times New Roman" w:hAnsi="Times New Roman"/>
          <w:w w:val="105"/>
          <w:sz w:val="19"/>
        </w:rPr>
        <w:t>1</w:t>
      </w:r>
      <w:r>
        <w:rPr>
          <w:rFonts w:ascii="Times New Roman" w:hAnsi="Times New Roman"/>
          <w:spacing w:val="-13"/>
          <w:w w:val="105"/>
          <w:sz w:val="19"/>
        </w:rPr>
        <w:t xml:space="preserve"> </w:t>
      </w:r>
      <w:r>
        <w:rPr>
          <w:rFonts w:ascii="Times New Roman" w:hAnsi="Times New Roman"/>
          <w:w w:val="105"/>
          <w:sz w:val="19"/>
        </w:rPr>
        <w:t>do</w:t>
      </w:r>
      <w:r>
        <w:rPr>
          <w:rFonts w:ascii="Times New Roman" w:hAnsi="Times New Roman"/>
          <w:spacing w:val="-12"/>
          <w:w w:val="105"/>
          <w:sz w:val="19"/>
        </w:rPr>
        <w:t xml:space="preserve"> </w:t>
      </w:r>
      <w:r>
        <w:rPr>
          <w:rFonts w:ascii="Times New Roman" w:hAnsi="Times New Roman"/>
          <w:i/>
          <w:spacing w:val="-3"/>
          <w:w w:val="105"/>
          <w:sz w:val="19"/>
        </w:rPr>
        <w:t xml:space="preserve">Nós </w:t>
      </w:r>
      <w:r>
        <w:rPr>
          <w:rFonts w:ascii="Times New Roman" w:hAnsi="Times New Roman"/>
          <w:i/>
          <w:w w:val="105"/>
          <w:sz w:val="19"/>
        </w:rPr>
        <w:t>e</w:t>
      </w:r>
      <w:r>
        <w:rPr>
          <w:rFonts w:ascii="Times New Roman" w:hAnsi="Times New Roman"/>
          <w:i/>
          <w:spacing w:val="-41"/>
          <w:w w:val="105"/>
          <w:sz w:val="19"/>
        </w:rPr>
        <w:t xml:space="preserve"> </w:t>
      </w:r>
      <w:r>
        <w:rPr>
          <w:rFonts w:ascii="Times New Roman" w:hAnsi="Times New Roman"/>
          <w:i/>
          <w:w w:val="105"/>
          <w:sz w:val="19"/>
        </w:rPr>
        <w:t>a Constituinte</w:t>
      </w:r>
      <w:r>
        <w:rPr>
          <w:rFonts w:ascii="Times New Roman" w:hAnsi="Times New Roman"/>
          <w:w w:val="105"/>
          <w:sz w:val="19"/>
        </w:rPr>
        <w:t>.)</w:t>
      </w:r>
    </w:p>
    <w:p w:rsidR="00CC7D10" w:rsidRDefault="00CC7D10" w:rsidP="00CC7D10">
      <w:pPr>
        <w:spacing w:before="10"/>
        <w:rPr>
          <w:rFonts w:ascii="Times New Roman" w:eastAsia="Times New Roman" w:hAnsi="Times New Roman"/>
          <w:sz w:val="25"/>
          <w:szCs w:val="25"/>
        </w:rPr>
      </w:pPr>
    </w:p>
    <w:p w:rsidR="00CC7D10" w:rsidRDefault="00CC7D10" w:rsidP="00CC7D10">
      <w:pPr>
        <w:pStyle w:val="Corpodetexto"/>
        <w:spacing w:line="364" w:lineRule="auto"/>
        <w:ind w:right="100"/>
        <w:jc w:val="both"/>
      </w:pPr>
      <w:r>
        <w:rPr>
          <w:b/>
          <w:bCs/>
        </w:rPr>
        <w:t xml:space="preserve">Variados </w:t>
      </w:r>
      <w:r>
        <w:t xml:space="preserve">— </w:t>
      </w:r>
      <w:r>
        <w:rPr>
          <w:spacing w:val="-3"/>
        </w:rPr>
        <w:t xml:space="preserve">Do </w:t>
      </w:r>
      <w:r>
        <w:t xml:space="preserve">acervo de 75 periódicos, três não puderam ser classificados em nenhum dos subgrupos. Todos pertencem à segunda geração da imprensa feminista. Um deles é o </w:t>
      </w:r>
      <w:r>
        <w:rPr>
          <w:i/>
        </w:rPr>
        <w:t>ChanacomChana</w:t>
      </w:r>
      <w:r>
        <w:t xml:space="preserve">, publicação lésbica-feminista, que na </w:t>
      </w:r>
      <w:r>
        <w:lastRenderedPageBreak/>
        <w:t xml:space="preserve">relação geral dos periódicos (tabela 2) é indicado como variados- sexualidade. O segundo periódico  isolado, de acordo com o  acervo pesquisado, é o </w:t>
      </w:r>
      <w:r>
        <w:rPr>
          <w:i/>
        </w:rPr>
        <w:t>Mulheres</w:t>
      </w:r>
      <w:r>
        <w:t xml:space="preserve">, lançado  </w:t>
      </w:r>
      <w:r>
        <w:rPr>
          <w:spacing w:val="3"/>
        </w:rPr>
        <w:t xml:space="preserve">em </w:t>
      </w:r>
      <w:r>
        <w:t>1984, voltado exclusivamente para a educação. A publicação, datilografada e  reproduzida por meio   de copiadora, é editada por grupo de mulheres da Zona Sul da cidade de São Paulo, que se propuseram a acompanhar as políticas públicas do Estado na área de educação, na região onde moravam. O boletim aparece classificado como</w:t>
      </w:r>
      <w:r>
        <w:rPr>
          <w:spacing w:val="55"/>
        </w:rPr>
        <w:t xml:space="preserve"> </w:t>
      </w:r>
      <w:r>
        <w:t>variados-educação.</w:t>
      </w:r>
    </w:p>
    <w:p w:rsidR="00CC7D10" w:rsidRDefault="00CC7D10" w:rsidP="00CC7D10">
      <w:pPr>
        <w:pStyle w:val="Corpodetexto"/>
        <w:spacing w:before="1" w:line="364" w:lineRule="auto"/>
        <w:ind w:right="100"/>
        <w:jc w:val="both"/>
      </w:pPr>
      <w:r>
        <w:t xml:space="preserve">O terceiro jornal </w:t>
      </w:r>
      <w:r>
        <w:rPr>
          <w:spacing w:val="-3"/>
        </w:rPr>
        <w:t xml:space="preserve">fora </w:t>
      </w:r>
      <w:r>
        <w:t xml:space="preserve">das categorias anteriormente descritas é o </w:t>
      </w:r>
      <w:r>
        <w:rPr>
          <w:i/>
        </w:rPr>
        <w:t>Nzinga Informativo</w:t>
      </w:r>
      <w:r>
        <w:t xml:space="preserve">. Editado pelo Coletivo de Mulheres Negras, no Rio de Janeiro (RJ), </w:t>
      </w:r>
      <w:r>
        <w:rPr>
          <w:spacing w:val="3"/>
        </w:rPr>
        <w:t xml:space="preserve">com </w:t>
      </w:r>
      <w:r>
        <w:t xml:space="preserve">lançamento </w:t>
      </w:r>
      <w:r>
        <w:rPr>
          <w:spacing w:val="3"/>
        </w:rPr>
        <w:t xml:space="preserve">em </w:t>
      </w:r>
      <w:r>
        <w:t xml:space="preserve">1986, o </w:t>
      </w:r>
      <w:r>
        <w:rPr>
          <w:i/>
        </w:rPr>
        <w:t xml:space="preserve">Nzinga </w:t>
      </w:r>
      <w:r>
        <w:t xml:space="preserve">tratou dos temas exclusivos </w:t>
      </w:r>
      <w:r>
        <w:rPr>
          <w:spacing w:val="3"/>
        </w:rPr>
        <w:t xml:space="preserve">às </w:t>
      </w:r>
      <w:r>
        <w:t xml:space="preserve">mulheres negras. A publicação exemplifica a idéia de especialização presente na segunda geração da imprensa feminista e está classificado como variados-racial. </w:t>
      </w:r>
      <w:r>
        <w:rPr>
          <w:spacing w:val="3"/>
        </w:rPr>
        <w:t xml:space="preserve">Em </w:t>
      </w:r>
      <w:r>
        <w:t xml:space="preserve">seu  editorial fica  clara essa postura, conforme trecho que segue: “Aqui estamos com o resultado concreto dos sonhos que sempre tivemos — o </w:t>
      </w:r>
      <w:r>
        <w:rPr>
          <w:spacing w:val="4"/>
        </w:rPr>
        <w:t xml:space="preserve">de </w:t>
      </w:r>
      <w:r>
        <w:t xml:space="preserve">divulgar as questões específicas da mulher negra. Esperamos que, de verdade, tenhamos conseguido criar mais um instrumento de comunicação </w:t>
      </w:r>
      <w:r>
        <w:rPr>
          <w:spacing w:val="4"/>
        </w:rPr>
        <w:t xml:space="preserve">da </w:t>
      </w:r>
      <w:r>
        <w:t xml:space="preserve">nossa causa. [...]”. (Editorial do número 1 do </w:t>
      </w:r>
      <w:r>
        <w:rPr>
          <w:i/>
        </w:rPr>
        <w:t>Nzinga Informativo.</w:t>
      </w:r>
      <w:r>
        <w:t xml:space="preserve">) O </w:t>
      </w:r>
      <w:r>
        <w:rPr>
          <w:i/>
        </w:rPr>
        <w:t xml:space="preserve">Nzinga </w:t>
      </w:r>
      <w:r>
        <w:t xml:space="preserve">chegou a ser publicado com 16 páginas e, segundo a  pesquisa, parou de circular por volta de </w:t>
      </w:r>
      <w:r>
        <w:rPr>
          <w:spacing w:val="2"/>
        </w:rPr>
        <w:t xml:space="preserve"> </w:t>
      </w:r>
      <w:r>
        <w:t>1989.</w:t>
      </w:r>
    </w:p>
    <w:p w:rsidR="00CC7D10" w:rsidRDefault="00CC7D10" w:rsidP="00CC7D10">
      <w:pPr>
        <w:rPr>
          <w:rFonts w:ascii="Times New Roman" w:eastAsia="Times New Roman" w:hAnsi="Times New Roman"/>
        </w:rPr>
      </w:pPr>
    </w:p>
    <w:p w:rsidR="00CC7D10" w:rsidRDefault="00CC7D10" w:rsidP="00CC7D10">
      <w:pPr>
        <w:pStyle w:val="Ttulo1"/>
        <w:spacing w:before="161"/>
        <w:rPr>
          <w:b w:val="0"/>
          <w:bCs w:val="0"/>
        </w:rPr>
      </w:pPr>
      <w:r>
        <w:t>Considerações</w:t>
      </w:r>
    </w:p>
    <w:p w:rsidR="00CC7D10" w:rsidRDefault="00CC7D10" w:rsidP="001431E7">
      <w:pPr>
        <w:pStyle w:val="Corpodetexto"/>
        <w:spacing w:before="134" w:line="364" w:lineRule="auto"/>
        <w:ind w:right="101"/>
        <w:jc w:val="both"/>
      </w:pPr>
      <w:r>
        <w:t xml:space="preserve">A pesquisa que originou este artigo nos </w:t>
      </w:r>
      <w:r>
        <w:rPr>
          <w:spacing w:val="-3"/>
        </w:rPr>
        <w:t xml:space="preserve">revelou </w:t>
      </w:r>
      <w:r>
        <w:t xml:space="preserve">aspectos da imprensa feminista e, conseqüentemente, do feminismo no Brasil. Depois de irmos aos acervos, pesquisarmos os periódicos e entrevistarmos lideranças, podemos ampliar o leque de </w:t>
      </w:r>
      <w:r>
        <w:lastRenderedPageBreak/>
        <w:t xml:space="preserve">afirmações sobre o feminismo e suas publicações. Uma das afirmações mais interessante é que a imprensa feminista é um fenômeno nacional e não restrito  ao eixo Rio-São Paulo, como </w:t>
      </w:r>
      <w:r>
        <w:rPr>
          <w:spacing w:val="-3"/>
        </w:rPr>
        <w:t xml:space="preserve">se </w:t>
      </w:r>
      <w:r>
        <w:t>poderia desconfiar devido à importância  política-econômica  desta  região.</w:t>
      </w:r>
      <w:r>
        <w:rPr>
          <w:spacing w:val="48"/>
        </w:rPr>
        <w:t xml:space="preserve"> </w:t>
      </w:r>
      <w:r>
        <w:t>O</w:t>
      </w:r>
      <w:r>
        <w:rPr>
          <w:spacing w:val="48"/>
        </w:rPr>
        <w:t xml:space="preserve"> </w:t>
      </w:r>
      <w:r>
        <w:t>que</w:t>
      </w:r>
      <w:r>
        <w:rPr>
          <w:spacing w:val="56"/>
        </w:rPr>
        <w:t xml:space="preserve"> </w:t>
      </w:r>
      <w:r>
        <w:t>de</w:t>
      </w:r>
      <w:r>
        <w:rPr>
          <w:spacing w:val="50"/>
        </w:rPr>
        <w:t xml:space="preserve"> </w:t>
      </w:r>
      <w:r>
        <w:t>certa</w:t>
      </w:r>
      <w:r>
        <w:rPr>
          <w:spacing w:val="50"/>
        </w:rPr>
        <w:t xml:space="preserve"> </w:t>
      </w:r>
      <w:r>
        <w:t>forma</w:t>
      </w:r>
      <w:r>
        <w:rPr>
          <w:spacing w:val="50"/>
        </w:rPr>
        <w:t xml:space="preserve"> </w:t>
      </w:r>
      <w:r>
        <w:t>dá</w:t>
      </w:r>
      <w:r>
        <w:rPr>
          <w:spacing w:val="56"/>
        </w:rPr>
        <w:t xml:space="preserve"> </w:t>
      </w:r>
      <w:r>
        <w:t>uma</w:t>
      </w:r>
      <w:r>
        <w:rPr>
          <w:spacing w:val="50"/>
        </w:rPr>
        <w:t xml:space="preserve"> </w:t>
      </w:r>
      <w:r>
        <w:t>mostra</w:t>
      </w:r>
      <w:r>
        <w:rPr>
          <w:spacing w:val="50"/>
        </w:rPr>
        <w:t xml:space="preserve"> </w:t>
      </w:r>
      <w:r>
        <w:t>da</w:t>
      </w:r>
      <w:r>
        <w:rPr>
          <w:spacing w:val="56"/>
        </w:rPr>
        <w:t xml:space="preserve"> </w:t>
      </w:r>
      <w:r>
        <w:t>força,</w:t>
      </w:r>
      <w:r>
        <w:rPr>
          <w:spacing w:val="52"/>
        </w:rPr>
        <w:t xml:space="preserve"> </w:t>
      </w:r>
      <w:r>
        <w:t>da</w:t>
      </w:r>
      <w:r>
        <w:rPr>
          <w:spacing w:val="50"/>
        </w:rPr>
        <w:t xml:space="preserve"> </w:t>
      </w:r>
      <w:r>
        <w:t>organização</w:t>
      </w:r>
      <w:r>
        <w:rPr>
          <w:spacing w:val="52"/>
        </w:rPr>
        <w:t xml:space="preserve"> </w:t>
      </w:r>
      <w:r>
        <w:t>e</w:t>
      </w:r>
      <w:r>
        <w:rPr>
          <w:spacing w:val="50"/>
        </w:rPr>
        <w:t xml:space="preserve"> </w:t>
      </w:r>
      <w:r>
        <w:t>do</w:t>
      </w:r>
      <w:r>
        <w:rPr>
          <w:spacing w:val="52"/>
        </w:rPr>
        <w:t xml:space="preserve"> </w:t>
      </w:r>
      <w:r>
        <w:t>alcance</w:t>
      </w:r>
      <w:r>
        <w:rPr>
          <w:spacing w:val="50"/>
        </w:rPr>
        <w:t xml:space="preserve"> </w:t>
      </w:r>
      <w:r>
        <w:t>do</w:t>
      </w:r>
      <w:r>
        <w:rPr>
          <w:spacing w:val="57"/>
        </w:rPr>
        <w:t xml:space="preserve"> </w:t>
      </w:r>
      <w:r>
        <w:t>movimento</w:t>
      </w:r>
      <w:r w:rsidR="001431E7">
        <w:t xml:space="preserve"> </w:t>
      </w:r>
      <w:r>
        <w:t xml:space="preserve">feminista no Brasil. Outra afirmação possível, a partir dos resultados aqui apresentados, é que a imprensa feminista é um fenômeno contínuo e vigoroso socialmente, já que suas publicações são editadas ininterruptamente, desde 1974 até os nossos dias. Diferente da imprensa alternativa que desapareceu, segundos motivos muito bem elencados </w:t>
      </w:r>
      <w:r>
        <w:rPr>
          <w:spacing w:val="2"/>
        </w:rPr>
        <w:t xml:space="preserve">por </w:t>
      </w:r>
      <w:r>
        <w:t xml:space="preserve">Kucinski, 1991. Quanto às divisões </w:t>
      </w:r>
      <w:r>
        <w:rPr>
          <w:spacing w:val="3"/>
        </w:rPr>
        <w:t xml:space="preserve">em </w:t>
      </w:r>
      <w:r>
        <w:t xml:space="preserve">primeira e segunda gerações e em categorias </w:t>
      </w:r>
      <w:r>
        <w:rPr>
          <w:spacing w:val="2"/>
        </w:rPr>
        <w:t xml:space="preserve">por </w:t>
      </w:r>
      <w:r>
        <w:t xml:space="preserve">assunto, além de facilitarem o entendimento </w:t>
      </w:r>
      <w:r>
        <w:rPr>
          <w:spacing w:val="4"/>
        </w:rPr>
        <w:t xml:space="preserve">da </w:t>
      </w:r>
      <w:r>
        <w:t xml:space="preserve">imprensa feminista como fenômeno histórico, político e de comunicação, nos possibilitaram </w:t>
      </w:r>
      <w:r>
        <w:rPr>
          <w:spacing w:val="2"/>
        </w:rPr>
        <w:t xml:space="preserve">uma </w:t>
      </w:r>
      <w:r>
        <w:t xml:space="preserve">visão panorâmica do processo de formação e de consolidação dessa mídia feminista, </w:t>
      </w:r>
      <w:r>
        <w:rPr>
          <w:spacing w:val="2"/>
        </w:rPr>
        <w:t xml:space="preserve">com </w:t>
      </w:r>
      <w:r>
        <w:t>a qualidade de agregar aspectos anteriormente desconhecidos em conjunto e apontar opções para futuras pesquisas que esmiúcem a imprensa feminista brasileira em seus detalhes e</w:t>
      </w:r>
      <w:r>
        <w:rPr>
          <w:spacing w:val="47"/>
        </w:rPr>
        <w:t xml:space="preserve"> </w:t>
      </w:r>
      <w:r>
        <w:t>sutilezas.</w:t>
      </w:r>
    </w:p>
    <w:p w:rsidR="00CC7D10" w:rsidRDefault="00CC7D10" w:rsidP="00CC7D10">
      <w:pPr>
        <w:pStyle w:val="Ttulo1"/>
        <w:spacing w:before="188" w:after="8"/>
        <w:ind w:left="484" w:right="248"/>
        <w:rPr>
          <w:b w:val="0"/>
          <w:bCs w:val="0"/>
        </w:rPr>
      </w:pPr>
      <w:r>
        <w:t xml:space="preserve">Tabela 1: Relação de periódicos feministas </w:t>
      </w:r>
      <w:r>
        <w:rPr>
          <w:spacing w:val="5"/>
        </w:rPr>
        <w:t xml:space="preserve"> </w:t>
      </w:r>
      <w:r>
        <w:t>pesquisados</w:t>
      </w:r>
    </w:p>
    <w:tbl>
      <w:tblPr>
        <w:tblW w:w="10353" w:type="dxa"/>
        <w:tblInd w:w="119" w:type="dxa"/>
        <w:tblLayout w:type="fixed"/>
        <w:tblCellMar>
          <w:left w:w="0" w:type="dxa"/>
          <w:right w:w="0" w:type="dxa"/>
        </w:tblCellMar>
        <w:tblLook w:val="01E0"/>
      </w:tblPr>
      <w:tblGrid>
        <w:gridCol w:w="5448"/>
        <w:gridCol w:w="1579"/>
        <w:gridCol w:w="934"/>
        <w:gridCol w:w="851"/>
        <w:gridCol w:w="1541"/>
      </w:tblGrid>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8"/>
              <w:ind w:left="86" w:right="128"/>
              <w:rPr>
                <w:rFonts w:ascii="Times New Roman" w:eastAsia="Times New Roman" w:hAnsi="Times New Roman"/>
                <w:sz w:val="17"/>
                <w:szCs w:val="17"/>
              </w:rPr>
            </w:pPr>
            <w:r w:rsidRPr="00505E82">
              <w:rPr>
                <w:rFonts w:ascii="Times New Roman" w:hAnsi="Times New Roman"/>
                <w:b/>
                <w:w w:val="105"/>
                <w:sz w:val="17"/>
              </w:rPr>
              <w:t>Título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7" w:right="181"/>
              <w:rPr>
                <w:rFonts w:ascii="Times New Roman" w:eastAsia="Times New Roman" w:hAnsi="Times New Roman"/>
                <w:sz w:val="17"/>
                <w:szCs w:val="17"/>
              </w:rPr>
            </w:pPr>
            <w:r w:rsidRPr="00505E82">
              <w:rPr>
                <w:rFonts w:ascii="Times New Roman"/>
                <w:b/>
                <w:w w:val="105"/>
                <w:sz w:val="17"/>
              </w:rPr>
              <w:t>Cidade</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3" w:right="65"/>
              <w:rPr>
                <w:rFonts w:ascii="Times New Roman" w:eastAsia="Times New Roman" w:hAnsi="Times New Roman"/>
                <w:sz w:val="17"/>
                <w:szCs w:val="17"/>
              </w:rPr>
            </w:pPr>
            <w:r w:rsidRPr="00505E82">
              <w:rPr>
                <w:rFonts w:ascii="Times New Roman" w:hAnsi="Times New Roman"/>
                <w:b/>
                <w:w w:val="105"/>
                <w:sz w:val="17"/>
              </w:rPr>
              <w:t>Ano</w:t>
            </w:r>
            <w:r w:rsidRPr="00505E82">
              <w:rPr>
                <w:rFonts w:ascii="Times New Roman" w:hAnsi="Times New Roman"/>
                <w:b/>
                <w:spacing w:val="-21"/>
                <w:w w:val="105"/>
                <w:sz w:val="17"/>
              </w:rPr>
              <w:t xml:space="preserve"> </w:t>
            </w:r>
            <w:r w:rsidRPr="00505E82">
              <w:rPr>
                <w:rFonts w:ascii="Times New Roman" w:hAnsi="Times New Roman"/>
                <w:b/>
                <w:w w:val="105"/>
                <w:sz w:val="17"/>
              </w:rPr>
              <w:t>fundação</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hAnsi="Times New Roman"/>
                <w:b/>
                <w:w w:val="105"/>
                <w:sz w:val="17"/>
              </w:rPr>
              <w:t>Geração</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7"/>
              <w:rPr>
                <w:rFonts w:ascii="Times New Roman" w:eastAsia="Times New Roman" w:hAnsi="Times New Roman"/>
                <w:sz w:val="17"/>
                <w:szCs w:val="17"/>
              </w:rPr>
            </w:pPr>
            <w:r w:rsidRPr="00505E82">
              <w:rPr>
                <w:rFonts w:ascii="Times New Roman"/>
                <w:b/>
                <w:w w:val="105"/>
                <w:sz w:val="17"/>
              </w:rPr>
              <w:t>Categoria</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Boletim</w:t>
            </w:r>
            <w:r w:rsidRPr="00505E82">
              <w:rPr>
                <w:rFonts w:ascii="Times New Roman" w:hAnsi="Times New Roman"/>
                <w:i/>
                <w:spacing w:val="-14"/>
                <w:w w:val="105"/>
                <w:sz w:val="17"/>
              </w:rPr>
              <w:t xml:space="preserve"> </w:t>
            </w:r>
            <w:r w:rsidRPr="00505E82">
              <w:rPr>
                <w:rFonts w:ascii="Times New Roman" w:hAnsi="Times New Roman"/>
                <w:i/>
                <w:w w:val="105"/>
                <w:sz w:val="17"/>
              </w:rPr>
              <w:t>Associação</w:t>
            </w:r>
            <w:r w:rsidRPr="00505E82">
              <w:rPr>
                <w:rFonts w:ascii="Times New Roman" w:hAnsi="Times New Roman"/>
                <w:i/>
                <w:spacing w:val="-13"/>
                <w:w w:val="105"/>
                <w:sz w:val="17"/>
              </w:rPr>
              <w:t xml:space="preserve"> </w:t>
            </w:r>
            <w:r w:rsidRPr="00505E82">
              <w:rPr>
                <w:rFonts w:ascii="Times New Roman" w:hAnsi="Times New Roman"/>
                <w:i/>
                <w:spacing w:val="3"/>
                <w:w w:val="105"/>
                <w:sz w:val="17"/>
              </w:rPr>
              <w:t>de</w:t>
            </w:r>
            <w:r w:rsidRPr="00505E82">
              <w:rPr>
                <w:rFonts w:ascii="Times New Roman" w:hAnsi="Times New Roman"/>
                <w:i/>
                <w:spacing w:val="-23"/>
                <w:w w:val="105"/>
                <w:sz w:val="17"/>
              </w:rPr>
              <w:t xml:space="preserve"> </w:t>
            </w:r>
            <w:r w:rsidRPr="00505E82">
              <w:rPr>
                <w:rFonts w:ascii="Times New Roman" w:hAnsi="Times New Roman"/>
                <w:i/>
                <w:w w:val="105"/>
                <w:sz w:val="17"/>
              </w:rPr>
              <w:t>Mulheres</w:t>
            </w:r>
            <w:r w:rsidRPr="00505E82">
              <w:rPr>
                <w:rFonts w:ascii="Times New Roman" w:hAnsi="Times New Roman"/>
                <w:i/>
                <w:spacing w:val="-19"/>
                <w:w w:val="105"/>
                <w:sz w:val="17"/>
              </w:rPr>
              <w:t xml:space="preserve"> </w:t>
            </w:r>
            <w:r w:rsidRPr="00505E82">
              <w:rPr>
                <w:rFonts w:ascii="Times New Roman" w:hAnsi="Times New Roman"/>
                <w:i/>
                <w:spacing w:val="3"/>
                <w:w w:val="105"/>
                <w:sz w:val="17"/>
              </w:rPr>
              <w:t>do</w:t>
            </w:r>
            <w:r w:rsidRPr="00505E82">
              <w:rPr>
                <w:rFonts w:ascii="Times New Roman" w:hAnsi="Times New Roman"/>
                <w:i/>
                <w:spacing w:val="-16"/>
                <w:w w:val="105"/>
                <w:sz w:val="17"/>
              </w:rPr>
              <w:t xml:space="preserve"> </w:t>
            </w:r>
            <w:r w:rsidRPr="00505E82">
              <w:rPr>
                <w:rFonts w:ascii="Times New Roman" w:hAnsi="Times New Roman"/>
                <w:i/>
                <w:w w:val="105"/>
                <w:sz w:val="17"/>
              </w:rPr>
              <w:t>Grajaú</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Boletim</w:t>
            </w:r>
            <w:r w:rsidRPr="00505E82">
              <w:rPr>
                <w:rFonts w:ascii="Times New Roman"/>
                <w:i/>
                <w:spacing w:val="-17"/>
                <w:w w:val="105"/>
                <w:sz w:val="17"/>
              </w:rPr>
              <w:t xml:space="preserve"> </w:t>
            </w:r>
            <w:r w:rsidRPr="00505E82">
              <w:rPr>
                <w:rFonts w:ascii="Times New Roman"/>
                <w:i/>
                <w:w w:val="105"/>
                <w:sz w:val="17"/>
              </w:rPr>
              <w:t>Centro</w:t>
            </w:r>
            <w:r w:rsidRPr="00505E82">
              <w:rPr>
                <w:rFonts w:ascii="Times New Roman"/>
                <w:i/>
                <w:spacing w:val="-19"/>
                <w:w w:val="105"/>
                <w:sz w:val="17"/>
              </w:rPr>
              <w:t xml:space="preserve"> </w:t>
            </w:r>
            <w:r w:rsidRPr="00505E82">
              <w:rPr>
                <w:rFonts w:ascii="Times New Roman"/>
                <w:i/>
                <w:spacing w:val="3"/>
                <w:w w:val="105"/>
                <w:sz w:val="17"/>
              </w:rPr>
              <w:t>da</w:t>
            </w:r>
            <w:r w:rsidRPr="00505E82">
              <w:rPr>
                <w:rFonts w:ascii="Times New Roman"/>
                <w:i/>
                <w:spacing w:val="-19"/>
                <w:w w:val="105"/>
                <w:sz w:val="17"/>
              </w:rPr>
              <w:t xml:space="preserve"> </w:t>
            </w:r>
            <w:r w:rsidRPr="00505E82">
              <w:rPr>
                <w:rFonts w:ascii="Times New Roman"/>
                <w:i/>
                <w:w w:val="105"/>
                <w:sz w:val="17"/>
              </w:rPr>
              <w:t>Mulher</w:t>
            </w:r>
            <w:r w:rsidRPr="00505E82">
              <w:rPr>
                <w:rFonts w:ascii="Times New Roman"/>
                <w:i/>
                <w:spacing w:val="-22"/>
                <w:w w:val="105"/>
                <w:sz w:val="17"/>
              </w:rPr>
              <w:t xml:space="preserve"> </w:t>
            </w:r>
            <w:r w:rsidRPr="00505E82">
              <w:rPr>
                <w:rFonts w:ascii="Times New Roman"/>
                <w:i/>
                <w:w w:val="105"/>
                <w:sz w:val="17"/>
              </w:rPr>
              <w:t>Brasileira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não</w:t>
            </w:r>
            <w:r w:rsidRPr="00505E82">
              <w:rPr>
                <w:rFonts w:ascii="Times New Roman" w:hAnsi="Times New Roman"/>
                <w:spacing w:val="-24"/>
                <w:w w:val="105"/>
                <w:sz w:val="17"/>
              </w:rPr>
              <w:t xml:space="preserve"> </w:t>
            </w:r>
            <w:r w:rsidRPr="00505E82">
              <w:rPr>
                <w:rFonts w:ascii="Times New Roman" w:hAnsi="Times New Roman"/>
                <w:w w:val="105"/>
                <w:sz w:val="17"/>
              </w:rPr>
              <w:t>declarada</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11"/>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4"/>
              <w:ind w:left="86" w:right="128"/>
              <w:rPr>
                <w:rFonts w:ascii="Times New Roman" w:eastAsia="Times New Roman" w:hAnsi="Times New Roman"/>
                <w:sz w:val="17"/>
                <w:szCs w:val="17"/>
              </w:rPr>
            </w:pPr>
            <w:r w:rsidRPr="00505E82">
              <w:rPr>
                <w:rFonts w:ascii="Times New Roman"/>
                <w:i/>
                <w:w w:val="105"/>
                <w:sz w:val="17"/>
              </w:rPr>
              <w:t xml:space="preserve">Boletim </w:t>
            </w:r>
            <w:r w:rsidRPr="00505E82">
              <w:rPr>
                <w:rFonts w:ascii="Times New Roman"/>
                <w:i/>
                <w:spacing w:val="3"/>
                <w:w w:val="105"/>
                <w:sz w:val="17"/>
              </w:rPr>
              <w:t>da</w:t>
            </w:r>
            <w:r w:rsidRPr="00505E82">
              <w:rPr>
                <w:rFonts w:ascii="Times New Roman"/>
                <w:i/>
                <w:spacing w:val="-33"/>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ight="181"/>
              <w:rPr>
                <w:rFonts w:ascii="Times New Roman" w:eastAsia="Times New Roman" w:hAnsi="Times New Roman"/>
                <w:sz w:val="17"/>
                <w:szCs w:val="17"/>
              </w:rPr>
            </w:pPr>
            <w:r w:rsidRPr="00505E82">
              <w:rPr>
                <w:rFonts w:ascii="Times New Roman"/>
                <w:w w:val="105"/>
                <w:sz w:val="17"/>
              </w:rPr>
              <w:t>Curitiba/PR</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3" w:right="65"/>
              <w:rPr>
                <w:rFonts w:ascii="Times New Roman" w:eastAsia="Times New Roman" w:hAnsi="Times New Roman"/>
                <w:sz w:val="17"/>
                <w:szCs w:val="17"/>
              </w:rPr>
            </w:pPr>
            <w:r w:rsidRPr="00505E82">
              <w:rPr>
                <w:rFonts w:ascii="Times New Roman"/>
                <w:w w:val="105"/>
                <w:sz w:val="17"/>
              </w:rPr>
              <w:t>1988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8"/>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9"/>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Boletim</w:t>
            </w:r>
            <w:r w:rsidRPr="00505E82">
              <w:rPr>
                <w:rFonts w:ascii="Times New Roman"/>
                <w:i/>
                <w:spacing w:val="-17"/>
                <w:w w:val="105"/>
                <w:sz w:val="17"/>
              </w:rPr>
              <w:t xml:space="preserve"> </w:t>
            </w:r>
            <w:r w:rsidRPr="00505E82">
              <w:rPr>
                <w:rFonts w:ascii="Times New Roman"/>
                <w:i/>
                <w:spacing w:val="6"/>
                <w:w w:val="105"/>
                <w:sz w:val="17"/>
              </w:rPr>
              <w:t>de</w:t>
            </w:r>
            <w:r w:rsidRPr="00505E82">
              <w:rPr>
                <w:rFonts w:ascii="Times New Roman"/>
                <w:i/>
                <w:spacing w:val="-20"/>
                <w:w w:val="105"/>
                <w:sz w:val="17"/>
              </w:rPr>
              <w:t xml:space="preserve"> </w:t>
            </w:r>
            <w:r w:rsidRPr="00505E82">
              <w:rPr>
                <w:rFonts w:ascii="Times New Roman"/>
                <w:i/>
                <w:w w:val="105"/>
                <w:sz w:val="17"/>
              </w:rPr>
              <w:t>Movimento</w:t>
            </w:r>
            <w:r w:rsidRPr="00505E82">
              <w:rPr>
                <w:rFonts w:ascii="Times New Roman"/>
                <w:i/>
                <w:spacing w:val="-13"/>
                <w:w w:val="105"/>
                <w:sz w:val="17"/>
              </w:rPr>
              <w:t xml:space="preserve"> </w:t>
            </w:r>
            <w:r w:rsidRPr="00505E82">
              <w:rPr>
                <w:rFonts w:ascii="Times New Roman"/>
                <w:i/>
                <w:spacing w:val="3"/>
                <w:w w:val="105"/>
                <w:sz w:val="17"/>
              </w:rPr>
              <w:t>de</w:t>
            </w:r>
            <w:r w:rsidRPr="00505E82">
              <w:rPr>
                <w:rFonts w:ascii="Times New Roman"/>
                <w:i/>
                <w:spacing w:val="-20"/>
                <w:w w:val="105"/>
                <w:sz w:val="17"/>
              </w:rPr>
              <w:t xml:space="preserve"> </w:t>
            </w:r>
            <w:r w:rsidRPr="00505E82">
              <w:rPr>
                <w:rFonts w:ascii="Times New Roman"/>
                <w:i/>
                <w:w w:val="105"/>
                <w:sz w:val="17"/>
              </w:rPr>
              <w:t>Mulheres</w:t>
            </w:r>
            <w:r w:rsidRPr="00505E82">
              <w:rPr>
                <w:rFonts w:ascii="Times New Roman"/>
                <w:i/>
                <w:spacing w:val="-19"/>
                <w:w w:val="105"/>
                <w:sz w:val="17"/>
              </w:rPr>
              <w:t xml:space="preserve"> </w:t>
            </w:r>
            <w:r w:rsidRPr="00505E82">
              <w:rPr>
                <w:rFonts w:ascii="Times New Roman"/>
                <w:i/>
                <w:spacing w:val="6"/>
                <w:w w:val="105"/>
                <w:sz w:val="17"/>
              </w:rPr>
              <w:t>de</w:t>
            </w:r>
            <w:r w:rsidRPr="00505E82">
              <w:rPr>
                <w:rFonts w:ascii="Times New Roman"/>
                <w:i/>
                <w:spacing w:val="-20"/>
                <w:w w:val="105"/>
                <w:sz w:val="17"/>
              </w:rPr>
              <w:t xml:space="preserve"> </w:t>
            </w:r>
            <w:r w:rsidRPr="00505E82">
              <w:rPr>
                <w:rFonts w:ascii="Times New Roman"/>
                <w:i/>
                <w:w w:val="105"/>
                <w:sz w:val="17"/>
              </w:rPr>
              <w:t>Teresina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Teresina/PI</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trabalho</w:t>
            </w:r>
          </w:p>
        </w:tc>
      </w:tr>
      <w:tr w:rsidR="00CC7D10" w:rsidTr="00505E82">
        <w:trPr>
          <w:trHeight w:hRule="exact" w:val="218"/>
        </w:trPr>
        <w:tc>
          <w:tcPr>
            <w:tcW w:w="5448" w:type="dxa"/>
            <w:tcBorders>
              <w:top w:val="single" w:sz="4" w:space="0" w:color="000000"/>
              <w:left w:val="nil"/>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86" w:right="128"/>
              <w:rPr>
                <w:rFonts w:ascii="Times New Roman" w:eastAsia="Times New Roman" w:hAnsi="Times New Roman"/>
                <w:sz w:val="17"/>
                <w:szCs w:val="17"/>
              </w:rPr>
            </w:pPr>
            <w:r w:rsidRPr="00505E82">
              <w:rPr>
                <w:rFonts w:ascii="Times New Roman"/>
                <w:i/>
                <w:w w:val="105"/>
                <w:sz w:val="17"/>
              </w:rPr>
              <w:t xml:space="preserve">Boletim </w:t>
            </w:r>
            <w:r w:rsidRPr="00505E82">
              <w:rPr>
                <w:rFonts w:ascii="Times New Roman"/>
                <w:i/>
                <w:spacing w:val="3"/>
                <w:w w:val="105"/>
                <w:sz w:val="17"/>
              </w:rPr>
              <w:t>do</w:t>
            </w:r>
            <w:r w:rsidRPr="00505E82">
              <w:rPr>
                <w:rFonts w:ascii="Times New Roman"/>
                <w:i/>
                <w:spacing w:val="-29"/>
                <w:w w:val="105"/>
                <w:sz w:val="17"/>
              </w:rPr>
              <w:t xml:space="preserve"> </w:t>
            </w:r>
            <w:r w:rsidRPr="00505E82">
              <w:rPr>
                <w:rFonts w:ascii="Times New Roman"/>
                <w:i/>
                <w:w w:val="105"/>
                <w:sz w:val="17"/>
              </w:rPr>
              <w:t>CIM</w:t>
            </w:r>
          </w:p>
        </w:tc>
        <w:tc>
          <w:tcPr>
            <w:tcW w:w="1579"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3" w:right="65"/>
              <w:rPr>
                <w:rFonts w:ascii="Times New Roman" w:eastAsia="Times New Roman" w:hAnsi="Times New Roman"/>
                <w:sz w:val="17"/>
                <w:szCs w:val="17"/>
              </w:rPr>
            </w:pPr>
            <w:r w:rsidRPr="00505E82">
              <w:rPr>
                <w:rFonts w:ascii="Times New Roman"/>
                <w:w w:val="105"/>
                <w:sz w:val="17"/>
              </w:rPr>
              <w:t>1983</w:t>
            </w:r>
          </w:p>
        </w:tc>
        <w:tc>
          <w:tcPr>
            <w:tcW w:w="85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8"/>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9"/>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7"/>
        </w:trPr>
        <w:tc>
          <w:tcPr>
            <w:tcW w:w="5448" w:type="dxa"/>
            <w:tcBorders>
              <w:top w:val="single" w:sz="2"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Boletim</w:t>
            </w:r>
            <w:r w:rsidRPr="00505E82">
              <w:rPr>
                <w:rFonts w:ascii="Times New Roman"/>
                <w:i/>
                <w:spacing w:val="-14"/>
                <w:w w:val="105"/>
                <w:sz w:val="17"/>
              </w:rPr>
              <w:t xml:space="preserve"> </w:t>
            </w:r>
            <w:r w:rsidRPr="00505E82">
              <w:rPr>
                <w:rFonts w:ascii="Times New Roman"/>
                <w:i/>
                <w:spacing w:val="3"/>
                <w:w w:val="105"/>
                <w:sz w:val="17"/>
              </w:rPr>
              <w:t>do</w:t>
            </w:r>
            <w:r w:rsidRPr="00505E82">
              <w:rPr>
                <w:rFonts w:ascii="Times New Roman"/>
                <w:i/>
                <w:spacing w:val="-13"/>
                <w:w w:val="105"/>
                <w:sz w:val="17"/>
              </w:rPr>
              <w:t xml:space="preserve"> </w:t>
            </w:r>
            <w:r w:rsidRPr="00505E82">
              <w:rPr>
                <w:rFonts w:ascii="Times New Roman"/>
                <w:i/>
                <w:w w:val="105"/>
                <w:sz w:val="17"/>
              </w:rPr>
              <w:t>Movimento</w:t>
            </w:r>
            <w:r w:rsidRPr="00505E82">
              <w:rPr>
                <w:rFonts w:ascii="Times New Roman"/>
                <w:i/>
                <w:spacing w:val="-13"/>
                <w:w w:val="105"/>
                <w:sz w:val="17"/>
              </w:rPr>
              <w:t xml:space="preserve"> </w:t>
            </w:r>
            <w:r w:rsidRPr="00505E82">
              <w:rPr>
                <w:rFonts w:ascii="Times New Roman"/>
                <w:i/>
                <w:spacing w:val="3"/>
                <w:w w:val="105"/>
                <w:sz w:val="17"/>
              </w:rPr>
              <w:t>de</w:t>
            </w:r>
            <w:r w:rsidRPr="00505E82">
              <w:rPr>
                <w:rFonts w:ascii="Times New Roman"/>
                <w:i/>
                <w:spacing w:val="-17"/>
                <w:w w:val="105"/>
                <w:sz w:val="17"/>
              </w:rPr>
              <w:t xml:space="preserve"> </w:t>
            </w:r>
            <w:r w:rsidRPr="00505E82">
              <w:rPr>
                <w:rFonts w:ascii="Times New Roman"/>
                <w:i/>
                <w:w w:val="105"/>
                <w:sz w:val="17"/>
              </w:rPr>
              <w:t>Luta</w:t>
            </w:r>
            <w:r w:rsidRPr="00505E82">
              <w:rPr>
                <w:rFonts w:ascii="Times New Roman"/>
                <w:i/>
                <w:spacing w:val="-13"/>
                <w:w w:val="105"/>
                <w:sz w:val="17"/>
              </w:rPr>
              <w:t xml:space="preserve"> </w:t>
            </w:r>
            <w:r w:rsidRPr="00505E82">
              <w:rPr>
                <w:rFonts w:ascii="Times New Roman"/>
                <w:i/>
                <w:w w:val="105"/>
                <w:sz w:val="17"/>
              </w:rPr>
              <w:t>por</w:t>
            </w:r>
            <w:r w:rsidRPr="00505E82">
              <w:rPr>
                <w:rFonts w:ascii="Times New Roman"/>
                <w:i/>
                <w:spacing w:val="-16"/>
                <w:w w:val="105"/>
                <w:sz w:val="17"/>
              </w:rPr>
              <w:t xml:space="preserve"> </w:t>
            </w:r>
            <w:r w:rsidRPr="00505E82">
              <w:rPr>
                <w:rFonts w:ascii="Times New Roman"/>
                <w:i/>
                <w:w w:val="105"/>
                <w:sz w:val="17"/>
              </w:rPr>
              <w:t>Creches</w:t>
            </w:r>
          </w:p>
        </w:tc>
        <w:tc>
          <w:tcPr>
            <w:tcW w:w="1579"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1980</w:t>
            </w:r>
          </w:p>
        </w:tc>
        <w:tc>
          <w:tcPr>
            <w:tcW w:w="85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312"/>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52"/>
              <w:ind w:left="86" w:right="128"/>
              <w:rPr>
                <w:rFonts w:ascii="Times New Roman" w:eastAsia="Times New Roman" w:hAnsi="Times New Roman"/>
                <w:sz w:val="17"/>
                <w:szCs w:val="17"/>
              </w:rPr>
            </w:pPr>
            <w:r w:rsidRPr="00505E82">
              <w:rPr>
                <w:rFonts w:ascii="Times New Roman" w:hAnsi="Times New Roman"/>
                <w:i/>
                <w:w w:val="105"/>
                <w:sz w:val="17"/>
              </w:rPr>
              <w:t>Boletim</w:t>
            </w:r>
            <w:r w:rsidRPr="00505E82">
              <w:rPr>
                <w:rFonts w:ascii="Times New Roman" w:hAnsi="Times New Roman"/>
                <w:i/>
                <w:spacing w:val="-14"/>
                <w:w w:val="105"/>
                <w:sz w:val="17"/>
              </w:rPr>
              <w:t xml:space="preserve"> </w:t>
            </w:r>
            <w:r w:rsidRPr="00505E82">
              <w:rPr>
                <w:rFonts w:ascii="Times New Roman" w:hAnsi="Times New Roman"/>
                <w:i/>
                <w:w w:val="105"/>
                <w:sz w:val="17"/>
              </w:rPr>
              <w:t>Informativo</w:t>
            </w:r>
            <w:r w:rsidRPr="00505E82">
              <w:rPr>
                <w:rFonts w:ascii="Times New Roman" w:hAnsi="Times New Roman"/>
                <w:i/>
                <w:spacing w:val="-17"/>
                <w:w w:val="105"/>
                <w:sz w:val="17"/>
              </w:rPr>
              <w:t xml:space="preserve"> </w:t>
            </w:r>
            <w:r w:rsidRPr="00505E82">
              <w:rPr>
                <w:rFonts w:ascii="Times New Roman" w:hAnsi="Times New Roman"/>
                <w:i/>
                <w:w w:val="105"/>
                <w:sz w:val="17"/>
              </w:rPr>
              <w:t>Núcleo</w:t>
            </w:r>
            <w:r w:rsidRPr="00505E82">
              <w:rPr>
                <w:rFonts w:ascii="Times New Roman" w:hAnsi="Times New Roman"/>
                <w:i/>
                <w:spacing w:val="-17"/>
                <w:w w:val="105"/>
                <w:sz w:val="17"/>
              </w:rPr>
              <w:t xml:space="preserve"> </w:t>
            </w:r>
            <w:r w:rsidRPr="00505E82">
              <w:rPr>
                <w:rFonts w:ascii="Times New Roman" w:hAnsi="Times New Roman"/>
                <w:i/>
                <w:spacing w:val="6"/>
                <w:w w:val="105"/>
                <w:sz w:val="17"/>
              </w:rPr>
              <w:t>de</w:t>
            </w:r>
            <w:r w:rsidRPr="00505E82">
              <w:rPr>
                <w:rFonts w:ascii="Times New Roman" w:hAnsi="Times New Roman"/>
                <w:i/>
                <w:spacing w:val="-20"/>
                <w:w w:val="105"/>
                <w:sz w:val="17"/>
              </w:rPr>
              <w:t xml:space="preserve"> </w:t>
            </w:r>
            <w:r w:rsidRPr="00505E82">
              <w:rPr>
                <w:rFonts w:ascii="Times New Roman" w:hAnsi="Times New Roman"/>
                <w:i/>
                <w:w w:val="105"/>
                <w:sz w:val="17"/>
              </w:rPr>
              <w:t>Estudos</w:t>
            </w:r>
            <w:r w:rsidRPr="00505E82">
              <w:rPr>
                <w:rFonts w:ascii="Times New Roman" w:hAnsi="Times New Roman"/>
                <w:i/>
                <w:spacing w:val="-17"/>
                <w:w w:val="105"/>
                <w:sz w:val="17"/>
              </w:rPr>
              <w:t xml:space="preserve"> </w:t>
            </w:r>
            <w:r w:rsidRPr="00505E82">
              <w:rPr>
                <w:rFonts w:ascii="Times New Roman" w:hAnsi="Times New Roman"/>
                <w:i/>
                <w:w w:val="105"/>
                <w:sz w:val="17"/>
              </w:rPr>
              <w:t>Interdisciplinares</w:t>
            </w:r>
            <w:r w:rsidRPr="00505E82">
              <w:rPr>
                <w:rFonts w:ascii="Times New Roman" w:hAnsi="Times New Roman"/>
                <w:i/>
                <w:spacing w:val="-19"/>
                <w:w w:val="105"/>
                <w:sz w:val="17"/>
              </w:rPr>
              <w:t xml:space="preserve"> </w:t>
            </w:r>
            <w:r w:rsidRPr="00505E82">
              <w:rPr>
                <w:rFonts w:ascii="Times New Roman" w:hAnsi="Times New Roman"/>
                <w:i/>
                <w:w w:val="105"/>
                <w:sz w:val="17"/>
              </w:rPr>
              <w:t>sobre</w:t>
            </w:r>
            <w:r w:rsidRPr="00505E82">
              <w:rPr>
                <w:rFonts w:ascii="Times New Roman" w:hAnsi="Times New Roman"/>
                <w:i/>
                <w:spacing w:val="-20"/>
                <w:w w:val="105"/>
                <w:sz w:val="17"/>
              </w:rPr>
              <w:t xml:space="preserve"> </w:t>
            </w:r>
            <w:r w:rsidRPr="00505E82">
              <w:rPr>
                <w:rFonts w:ascii="Times New Roman" w:hAnsi="Times New Roman"/>
                <w:i/>
                <w:w w:val="105"/>
                <w:sz w:val="17"/>
              </w:rPr>
              <w:t>a</w:t>
            </w:r>
            <w:r w:rsidRPr="00505E82">
              <w:rPr>
                <w:rFonts w:ascii="Times New Roman" w:hAnsi="Times New Roman"/>
                <w:i/>
                <w:spacing w:val="-13"/>
                <w:w w:val="105"/>
                <w:sz w:val="17"/>
              </w:rPr>
              <w:t xml:space="preserve"> </w:t>
            </w:r>
            <w:r w:rsidRPr="00505E82">
              <w:rPr>
                <w:rFonts w:ascii="Times New Roman" w:hAns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ight="181"/>
              <w:rPr>
                <w:rFonts w:ascii="Times New Roman" w:eastAsia="Times New Roman" w:hAnsi="Times New Roman"/>
                <w:sz w:val="17"/>
                <w:szCs w:val="17"/>
              </w:rPr>
            </w:pPr>
            <w:r w:rsidRPr="00505E82">
              <w:rPr>
                <w:rFonts w:ascii="Times New Roman"/>
                <w:w w:val="105"/>
                <w:sz w:val="17"/>
              </w:rPr>
              <w:t>Salvador/BA</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3" w:right="65"/>
              <w:rPr>
                <w:rFonts w:ascii="Times New Roman" w:eastAsia="Times New Roman" w:hAnsi="Times New Roman"/>
                <w:sz w:val="17"/>
                <w:szCs w:val="17"/>
              </w:rPr>
            </w:pPr>
            <w:r w:rsidRPr="00505E82">
              <w:rPr>
                <w:rFonts w:ascii="Times New Roman"/>
                <w:w w:val="105"/>
                <w:sz w:val="17"/>
              </w:rPr>
              <w:t>1990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41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254" w:lineRule="auto"/>
              <w:ind w:left="86" w:right="128"/>
              <w:rPr>
                <w:rFonts w:ascii="Times New Roman" w:eastAsia="Times New Roman" w:hAnsi="Times New Roman"/>
                <w:sz w:val="17"/>
                <w:szCs w:val="17"/>
              </w:rPr>
            </w:pPr>
            <w:r w:rsidRPr="00505E82">
              <w:rPr>
                <w:rFonts w:ascii="Times New Roman" w:hAnsi="Times New Roman"/>
                <w:i/>
                <w:w w:val="105"/>
                <w:sz w:val="17"/>
              </w:rPr>
              <w:t>Boletim</w:t>
            </w:r>
            <w:r w:rsidRPr="00505E82">
              <w:rPr>
                <w:rFonts w:ascii="Times New Roman" w:hAnsi="Times New Roman"/>
                <w:i/>
                <w:spacing w:val="-12"/>
                <w:w w:val="105"/>
                <w:sz w:val="17"/>
              </w:rPr>
              <w:t xml:space="preserve"> </w:t>
            </w:r>
            <w:r w:rsidRPr="00505E82">
              <w:rPr>
                <w:rFonts w:ascii="Times New Roman" w:hAnsi="Times New Roman"/>
                <w:i/>
                <w:w w:val="105"/>
                <w:sz w:val="17"/>
              </w:rPr>
              <w:t>Informativo</w:t>
            </w:r>
            <w:r w:rsidRPr="00505E82">
              <w:rPr>
                <w:rFonts w:ascii="Times New Roman" w:hAnsi="Times New Roman"/>
                <w:i/>
                <w:spacing w:val="-15"/>
                <w:w w:val="105"/>
                <w:sz w:val="17"/>
              </w:rPr>
              <w:t xml:space="preserve"> </w:t>
            </w:r>
            <w:r w:rsidRPr="00505E82">
              <w:rPr>
                <w:rFonts w:ascii="Times New Roman" w:hAnsi="Times New Roman"/>
                <w:i/>
                <w:spacing w:val="3"/>
                <w:w w:val="105"/>
                <w:sz w:val="17"/>
              </w:rPr>
              <w:t>do</w:t>
            </w:r>
            <w:r w:rsidRPr="00505E82">
              <w:rPr>
                <w:rFonts w:ascii="Times New Roman" w:hAnsi="Times New Roman"/>
                <w:i/>
                <w:spacing w:val="-19"/>
                <w:w w:val="105"/>
                <w:sz w:val="17"/>
              </w:rPr>
              <w:t xml:space="preserve"> </w:t>
            </w:r>
            <w:r w:rsidRPr="00505E82">
              <w:rPr>
                <w:rFonts w:ascii="Times New Roman" w:hAnsi="Times New Roman"/>
                <w:i/>
                <w:w w:val="105"/>
                <w:sz w:val="17"/>
              </w:rPr>
              <w:t>Conselho</w:t>
            </w:r>
            <w:r w:rsidRPr="00505E82">
              <w:rPr>
                <w:rFonts w:ascii="Times New Roman" w:hAnsi="Times New Roman"/>
                <w:i/>
                <w:spacing w:val="-15"/>
                <w:w w:val="105"/>
                <w:sz w:val="17"/>
              </w:rPr>
              <w:t xml:space="preserve"> </w:t>
            </w:r>
            <w:r w:rsidRPr="00505E82">
              <w:rPr>
                <w:rFonts w:ascii="Times New Roman" w:hAnsi="Times New Roman"/>
                <w:i/>
                <w:w w:val="105"/>
                <w:sz w:val="17"/>
              </w:rPr>
              <w:t>Estadual</w:t>
            </w:r>
            <w:r w:rsidRPr="00505E82">
              <w:rPr>
                <w:rFonts w:ascii="Times New Roman" w:hAnsi="Times New Roman"/>
                <w:i/>
                <w:spacing w:val="-22"/>
                <w:w w:val="105"/>
                <w:sz w:val="17"/>
              </w:rPr>
              <w:t xml:space="preserve"> </w:t>
            </w:r>
            <w:r w:rsidRPr="00505E82">
              <w:rPr>
                <w:rFonts w:ascii="Times New Roman" w:hAnsi="Times New Roman"/>
                <w:i/>
                <w:w w:val="105"/>
                <w:sz w:val="17"/>
              </w:rPr>
              <w:t>da</w:t>
            </w:r>
            <w:r w:rsidRPr="00505E82">
              <w:rPr>
                <w:rFonts w:ascii="Times New Roman" w:hAnsi="Times New Roman"/>
                <w:i/>
                <w:spacing w:val="-15"/>
                <w:w w:val="105"/>
                <w:sz w:val="17"/>
              </w:rPr>
              <w:t xml:space="preserve"> </w:t>
            </w:r>
            <w:r w:rsidRPr="00505E82">
              <w:rPr>
                <w:rFonts w:ascii="Times New Roman" w:hAnsi="Times New Roman"/>
                <w:i/>
                <w:w w:val="105"/>
                <w:sz w:val="17"/>
              </w:rPr>
              <w:t>Condição</w:t>
            </w:r>
            <w:r w:rsidRPr="00505E82">
              <w:rPr>
                <w:rFonts w:ascii="Times New Roman" w:hAnsi="Times New Roman"/>
                <w:i/>
                <w:spacing w:val="-11"/>
                <w:w w:val="105"/>
                <w:sz w:val="17"/>
              </w:rPr>
              <w:t xml:space="preserve"> </w:t>
            </w:r>
            <w:r w:rsidRPr="00505E82">
              <w:rPr>
                <w:rFonts w:ascii="Times New Roman" w:hAnsi="Times New Roman"/>
                <w:i/>
                <w:w w:val="105"/>
                <w:sz w:val="17"/>
              </w:rPr>
              <w:t>Feminina/Voar</w:t>
            </w:r>
            <w:r w:rsidRPr="00505E82">
              <w:rPr>
                <w:rFonts w:ascii="Times New Roman" w:hAnsi="Times New Roman"/>
                <w:i/>
                <w:spacing w:val="-15"/>
                <w:w w:val="105"/>
                <w:sz w:val="17"/>
              </w:rPr>
              <w:t xml:space="preserve"> </w:t>
            </w:r>
            <w:r w:rsidRPr="00505E82">
              <w:rPr>
                <w:rFonts w:ascii="Times New Roman" w:hAnsi="Times New Roman"/>
                <w:i/>
                <w:w w:val="105"/>
                <w:sz w:val="17"/>
              </w:rPr>
              <w:t>é Preciso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3" w:right="65"/>
              <w:rPr>
                <w:rFonts w:ascii="Times New Roman" w:eastAsia="Times New Roman" w:hAnsi="Times New Roman"/>
                <w:sz w:val="17"/>
                <w:szCs w:val="17"/>
              </w:rPr>
            </w:pPr>
            <w:r w:rsidRPr="00505E82">
              <w:rPr>
                <w:rFonts w:ascii="Times New Roman"/>
                <w:w w:val="105"/>
                <w:sz w:val="17"/>
              </w:rPr>
              <w:t>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Boletim</w:t>
            </w:r>
            <w:r w:rsidRPr="00505E82">
              <w:rPr>
                <w:rFonts w:ascii="Times New Roman"/>
                <w:i/>
                <w:spacing w:val="-24"/>
                <w:w w:val="105"/>
                <w:sz w:val="17"/>
              </w:rPr>
              <w:t xml:space="preserve"> </w:t>
            </w:r>
            <w:r w:rsidRPr="00505E82">
              <w:rPr>
                <w:rFonts w:ascii="Times New Roman"/>
                <w:i/>
                <w:w w:val="105"/>
                <w:sz w:val="17"/>
              </w:rPr>
              <w:t>Origem</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Recife/PE</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41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00"/>
              <w:ind w:left="86" w:right="128"/>
              <w:rPr>
                <w:rFonts w:ascii="Times New Roman" w:eastAsia="Times New Roman" w:hAnsi="Times New Roman"/>
                <w:sz w:val="17"/>
                <w:szCs w:val="17"/>
              </w:rPr>
            </w:pPr>
            <w:r w:rsidRPr="00505E82">
              <w:rPr>
                <w:rFonts w:ascii="Times New Roman"/>
                <w:i/>
                <w:w w:val="105"/>
                <w:sz w:val="17"/>
              </w:rPr>
              <w:t>Brasil</w:t>
            </w:r>
            <w:r w:rsidRPr="00505E82">
              <w:rPr>
                <w:rFonts w:ascii="Times New Roman"/>
                <w:i/>
                <w:spacing w:val="-19"/>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ight="181"/>
              <w:rPr>
                <w:rFonts w:ascii="Times New Roman" w:eastAsia="Times New Roman" w:hAnsi="Times New Roman"/>
                <w:sz w:val="17"/>
                <w:szCs w:val="17"/>
              </w:rPr>
            </w:pPr>
            <w:r w:rsidRPr="00505E82">
              <w:rPr>
                <w:rFonts w:ascii="Times New Roman" w:hAnsi="Times New Roman"/>
                <w:w w:val="105"/>
                <w:sz w:val="17"/>
              </w:rPr>
              <w:t>Londrina/PR -</w:t>
            </w:r>
            <w:r w:rsidRPr="00505E82">
              <w:rPr>
                <w:rFonts w:ascii="Times New Roman" w:hAnsi="Times New Roman"/>
                <w:spacing w:val="-28"/>
                <w:w w:val="105"/>
                <w:sz w:val="17"/>
              </w:rPr>
              <w:t xml:space="preserve"> </w:t>
            </w:r>
            <w:r w:rsidRPr="00505E82">
              <w:rPr>
                <w:rFonts w:ascii="Times New Roman" w:hAnsi="Times New Roman"/>
                <w:w w:val="105"/>
                <w:sz w:val="17"/>
              </w:rPr>
              <w:t>São 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2" w:right="65"/>
              <w:rPr>
                <w:rFonts w:ascii="Times New Roman" w:eastAsia="Times New Roman" w:hAnsi="Times New Roman"/>
                <w:sz w:val="17"/>
                <w:szCs w:val="17"/>
              </w:rPr>
            </w:pPr>
            <w:r w:rsidRPr="00505E82">
              <w:rPr>
                <w:rFonts w:ascii="Times New Roman"/>
                <w:w w:val="105"/>
                <w:sz w:val="17"/>
              </w:rPr>
              <w:t>1975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41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00"/>
              <w:ind w:left="86" w:right="128"/>
              <w:rPr>
                <w:rFonts w:ascii="Times New Roman" w:eastAsia="Times New Roman" w:hAnsi="Times New Roman"/>
                <w:sz w:val="17"/>
                <w:szCs w:val="17"/>
              </w:rPr>
            </w:pPr>
            <w:r w:rsidRPr="00505E82">
              <w:rPr>
                <w:rFonts w:ascii="Times New Roman"/>
                <w:i/>
                <w:w w:val="105"/>
                <w:sz w:val="17"/>
              </w:rPr>
              <w:lastRenderedPageBreak/>
              <w:t>ChanacomChana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3" w:right="65"/>
              <w:rPr>
                <w:rFonts w:ascii="Times New Roman" w:eastAsia="Times New Roman" w:hAnsi="Times New Roman"/>
                <w:sz w:val="17"/>
                <w:szCs w:val="17"/>
              </w:rPr>
            </w:pPr>
            <w:r w:rsidRPr="00505E82">
              <w:rPr>
                <w:rFonts w:ascii="Times New Roman"/>
                <w:w w:val="105"/>
                <w:sz w:val="17"/>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132"/>
              <w:rPr>
                <w:rFonts w:ascii="Times New Roman" w:eastAsia="Times New Roman" w:hAnsi="Times New Roman"/>
                <w:sz w:val="17"/>
                <w:szCs w:val="17"/>
              </w:rPr>
            </w:pPr>
            <w:r w:rsidRPr="00505E82">
              <w:rPr>
                <w:rFonts w:ascii="Times New Roman"/>
                <w:w w:val="105"/>
                <w:sz w:val="17"/>
              </w:rPr>
              <w:t xml:space="preserve">variados- </w:t>
            </w:r>
            <w:r w:rsidRPr="00505E82">
              <w:rPr>
                <w:rFonts w:ascii="Times New Roman"/>
                <w:spacing w:val="-1"/>
                <w:w w:val="105"/>
                <w:sz w:val="17"/>
              </w:rPr>
              <w:t>sexualidade</w:t>
            </w:r>
          </w:p>
        </w:tc>
      </w:tr>
      <w:tr w:rsidR="00CC7D10" w:rsidTr="00505E82">
        <w:trPr>
          <w:trHeight w:hRule="exact" w:val="40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95"/>
              <w:ind w:left="86" w:right="128"/>
              <w:rPr>
                <w:rFonts w:ascii="Times New Roman" w:eastAsia="Times New Roman" w:hAnsi="Times New Roman"/>
                <w:sz w:val="17"/>
                <w:szCs w:val="17"/>
              </w:rPr>
            </w:pPr>
            <w:r w:rsidRPr="00505E82">
              <w:rPr>
                <w:rFonts w:ascii="Times New Roman"/>
                <w:i/>
                <w:spacing w:val="-3"/>
                <w:w w:val="105"/>
                <w:sz w:val="17"/>
              </w:rPr>
              <w:t xml:space="preserve">Correio </w:t>
            </w:r>
            <w:r w:rsidRPr="00505E82">
              <w:rPr>
                <w:rFonts w:ascii="Times New Roman"/>
                <w:i/>
                <w:spacing w:val="3"/>
                <w:w w:val="105"/>
                <w:sz w:val="17"/>
              </w:rPr>
              <w:t>da</w:t>
            </w:r>
            <w:r w:rsidRPr="00505E82">
              <w:rPr>
                <w:rFonts w:ascii="Times New Roman"/>
                <w:i/>
                <w:spacing w:val="-10"/>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ight="181"/>
              <w:rPr>
                <w:rFonts w:ascii="Times New Roman" w:eastAsia="Times New Roman" w:hAnsi="Times New Roman"/>
                <w:sz w:val="17"/>
                <w:szCs w:val="17"/>
              </w:rPr>
            </w:pPr>
            <w:r w:rsidRPr="00505E82">
              <w:rPr>
                <w:rFonts w:ascii="Times New Roman"/>
                <w:w w:val="105"/>
                <w:sz w:val="17"/>
              </w:rPr>
              <w:t>Porto</w:t>
            </w:r>
            <w:r w:rsidRPr="00505E82">
              <w:rPr>
                <w:rFonts w:ascii="Times New Roman"/>
                <w:spacing w:val="-28"/>
                <w:w w:val="105"/>
                <w:sz w:val="17"/>
              </w:rPr>
              <w:t xml:space="preserve"> </w:t>
            </w:r>
            <w:r w:rsidRPr="00505E82">
              <w:rPr>
                <w:rFonts w:ascii="Times New Roman"/>
                <w:w w:val="105"/>
                <w:sz w:val="17"/>
              </w:rPr>
              <w:t>Alegre/RS</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3" w:right="65"/>
              <w:rPr>
                <w:rFonts w:ascii="Times New Roman" w:eastAsia="Times New Roman" w:hAnsi="Times New Roman"/>
                <w:sz w:val="17"/>
                <w:szCs w:val="17"/>
              </w:rPr>
            </w:pPr>
            <w:r w:rsidRPr="00505E82">
              <w:rPr>
                <w:rFonts w:ascii="Times New Roman"/>
                <w:w w:val="105"/>
                <w:sz w:val="17"/>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260"/>
              <w:rPr>
                <w:rFonts w:ascii="Times New Roman" w:eastAsia="Times New Roman" w:hAnsi="Times New Roman"/>
                <w:sz w:val="17"/>
                <w:szCs w:val="17"/>
              </w:rPr>
            </w:pPr>
            <w:r w:rsidRPr="00505E82">
              <w:rPr>
                <w:rFonts w:ascii="Times New Roman"/>
                <w:spacing w:val="-1"/>
                <w:w w:val="105"/>
                <w:sz w:val="17"/>
              </w:rPr>
              <w:t xml:space="preserve">noticioso- </w:t>
            </w:r>
            <w:r w:rsidRPr="00505E82">
              <w:rPr>
                <w:rFonts w:ascii="Times New Roman"/>
                <w:sz w:val="17"/>
              </w:rPr>
              <w:t>comercial</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Direitos</w:t>
            </w:r>
            <w:r w:rsidRPr="00505E82">
              <w:rPr>
                <w:rFonts w:ascii="Times New Roman"/>
                <w:i/>
                <w:spacing w:val="-23"/>
                <w:w w:val="105"/>
                <w:sz w:val="17"/>
              </w:rPr>
              <w:t xml:space="preserve"> </w:t>
            </w:r>
            <w:r w:rsidRPr="00505E82">
              <w:rPr>
                <w:rFonts w:ascii="Times New Roman"/>
                <w:i/>
                <w:spacing w:val="3"/>
                <w:w w:val="105"/>
                <w:sz w:val="17"/>
              </w:rPr>
              <w:t>da</w:t>
            </w:r>
            <w:r w:rsidRPr="00505E82">
              <w:rPr>
                <w:rFonts w:ascii="Times New Roman"/>
                <w:i/>
                <w:spacing w:val="-16"/>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Santo</w:t>
            </w:r>
            <w:r w:rsidRPr="00505E82">
              <w:rPr>
                <w:rFonts w:ascii="Times New Roman" w:hAnsi="Times New Roman"/>
                <w:spacing w:val="-31"/>
                <w:w w:val="105"/>
                <w:sz w:val="17"/>
              </w:rPr>
              <w:t xml:space="preserve"> </w:t>
            </w:r>
            <w:r w:rsidRPr="00505E82">
              <w:rPr>
                <w:rFonts w:ascii="Times New Roman" w:hAnsi="Times New Roman"/>
                <w:w w:val="105"/>
                <w:sz w:val="17"/>
              </w:rPr>
              <w:t>André/SP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Em</w:t>
            </w:r>
            <w:r w:rsidRPr="00505E82">
              <w:rPr>
                <w:rFonts w:ascii="Times New Roman"/>
                <w:i/>
                <w:spacing w:val="-12"/>
                <w:w w:val="105"/>
                <w:sz w:val="17"/>
              </w:rPr>
              <w:t xml:space="preserve"> </w:t>
            </w:r>
            <w:r w:rsidRPr="00505E82">
              <w:rPr>
                <w:rFonts w:ascii="Times New Roman"/>
                <w:i/>
                <w:w w:val="105"/>
                <w:sz w:val="17"/>
              </w:rPr>
              <w:t>Dia</w:t>
            </w:r>
            <w:r w:rsidRPr="00505E82">
              <w:rPr>
                <w:rFonts w:ascii="Times New Roman"/>
                <w:i/>
                <w:spacing w:val="-6"/>
                <w:w w:val="105"/>
                <w:sz w:val="17"/>
              </w:rPr>
              <w:t xml:space="preserve"> </w:t>
            </w:r>
            <w:r w:rsidRPr="00505E82">
              <w:rPr>
                <w:rFonts w:ascii="Times New Roman"/>
                <w:i/>
                <w:w w:val="105"/>
                <w:sz w:val="17"/>
              </w:rPr>
              <w:t>com</w:t>
            </w:r>
            <w:r w:rsidRPr="00505E82">
              <w:rPr>
                <w:rFonts w:ascii="Times New Roman"/>
                <w:i/>
                <w:spacing w:val="-7"/>
                <w:w w:val="105"/>
                <w:sz w:val="17"/>
              </w:rPr>
              <w:t xml:space="preserve"> </w:t>
            </w:r>
            <w:r w:rsidRPr="00505E82">
              <w:rPr>
                <w:rFonts w:ascii="Times New Roman"/>
                <w:i/>
                <w:w w:val="105"/>
                <w:sz w:val="17"/>
              </w:rPr>
              <w:t>a</w:t>
            </w:r>
            <w:r w:rsidRPr="00505E82">
              <w:rPr>
                <w:rFonts w:ascii="Times New Roman"/>
                <w:i/>
                <w:spacing w:val="-11"/>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Brasília/DF</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6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8"/>
              <w:ind w:left="86" w:right="128"/>
              <w:rPr>
                <w:rFonts w:ascii="Times New Roman" w:eastAsia="Times New Roman" w:hAnsi="Times New Roman"/>
                <w:sz w:val="17"/>
                <w:szCs w:val="17"/>
              </w:rPr>
            </w:pPr>
            <w:r w:rsidRPr="00505E82">
              <w:rPr>
                <w:rFonts w:ascii="Times New Roman"/>
                <w:i/>
                <w:w w:val="105"/>
                <w:sz w:val="17"/>
              </w:rPr>
              <w:t>Enfoque</w:t>
            </w:r>
            <w:r w:rsidRPr="00505E82">
              <w:rPr>
                <w:rFonts w:ascii="Times New Roman"/>
                <w:i/>
                <w:spacing w:val="-33"/>
                <w:w w:val="105"/>
                <w:sz w:val="17"/>
              </w:rPr>
              <w:t xml:space="preserve"> </w:t>
            </w:r>
            <w:r w:rsidRPr="00505E82">
              <w:rPr>
                <w:rFonts w:ascii="Times New Roman"/>
                <w:i/>
                <w:w w:val="105"/>
                <w:sz w:val="17"/>
              </w:rPr>
              <w:t>Feminista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8"/>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3" w:right="65"/>
              <w:rPr>
                <w:rFonts w:ascii="Times New Roman" w:eastAsia="Times New Roman" w:hAnsi="Times New Roman"/>
                <w:sz w:val="17"/>
                <w:szCs w:val="17"/>
              </w:rPr>
            </w:pPr>
            <w:r w:rsidRPr="00505E82">
              <w:rPr>
                <w:rFonts w:ascii="Times New Roman"/>
                <w:w w:val="105"/>
                <w:sz w:val="17"/>
              </w:rPr>
              <w:t>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461"/>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19"/>
              <w:ind w:left="86" w:right="128"/>
              <w:rPr>
                <w:rFonts w:ascii="Times New Roman" w:eastAsia="Times New Roman" w:hAnsi="Times New Roman"/>
                <w:sz w:val="17"/>
                <w:szCs w:val="17"/>
              </w:rPr>
            </w:pPr>
            <w:r w:rsidRPr="00505E82">
              <w:rPr>
                <w:rFonts w:ascii="Times New Roman" w:hAnsi="Times New Roman"/>
                <w:i/>
                <w:spacing w:val="-3"/>
                <w:w w:val="105"/>
                <w:sz w:val="17"/>
              </w:rPr>
              <w:t>Espaço</w:t>
            </w:r>
            <w:r w:rsidRPr="00505E82">
              <w:rPr>
                <w:rFonts w:ascii="Times New Roman" w:hAnsi="Times New Roman"/>
                <w:i/>
                <w:spacing w:val="-4"/>
                <w:w w:val="105"/>
                <w:sz w:val="17"/>
              </w:rPr>
              <w:t xml:space="preserve"> </w:t>
            </w:r>
            <w:r w:rsidRPr="00505E82">
              <w:rPr>
                <w:rFonts w:ascii="Times New Roman" w:hAns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line="254" w:lineRule="auto"/>
              <w:ind w:left="67" w:right="315"/>
              <w:rPr>
                <w:rFonts w:ascii="Times New Roman" w:eastAsia="Times New Roman" w:hAnsi="Times New Roman"/>
                <w:sz w:val="17"/>
                <w:szCs w:val="17"/>
              </w:rPr>
            </w:pPr>
            <w:r w:rsidRPr="00505E82">
              <w:rPr>
                <w:rFonts w:ascii="Times New Roman" w:hAnsi="Times New Roman"/>
                <w:w w:val="105"/>
                <w:sz w:val="17"/>
              </w:rPr>
              <w:t>São Bernardo</w:t>
            </w:r>
            <w:r w:rsidRPr="00505E82">
              <w:rPr>
                <w:rFonts w:ascii="Times New Roman" w:hAnsi="Times New Roman"/>
                <w:spacing w:val="-23"/>
                <w:w w:val="105"/>
                <w:sz w:val="17"/>
              </w:rPr>
              <w:t xml:space="preserve"> </w:t>
            </w:r>
            <w:r w:rsidRPr="00505E82">
              <w:rPr>
                <w:rFonts w:ascii="Times New Roman" w:hAnsi="Times New Roman"/>
                <w:w w:val="105"/>
                <w:sz w:val="17"/>
              </w:rPr>
              <w:t>do Campo/SP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19"/>
              <w:ind w:left="62" w:right="65"/>
              <w:rPr>
                <w:rFonts w:ascii="Times New Roman" w:eastAsia="Times New Roman" w:hAnsi="Times New Roman"/>
                <w:sz w:val="17"/>
                <w:szCs w:val="17"/>
              </w:rPr>
            </w:pPr>
            <w:r w:rsidRPr="00505E82">
              <w:rPr>
                <w:rFonts w:ascii="Times New Roman"/>
                <w:w w:val="105"/>
                <w:sz w:val="17"/>
              </w:rPr>
              <w:t>1985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19"/>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317"/>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52"/>
              <w:ind w:left="86" w:right="128"/>
              <w:rPr>
                <w:rFonts w:ascii="Times New Roman" w:eastAsia="Times New Roman" w:hAnsi="Times New Roman"/>
                <w:sz w:val="17"/>
                <w:szCs w:val="17"/>
              </w:rPr>
            </w:pPr>
            <w:r w:rsidRPr="00505E82">
              <w:rPr>
                <w:rFonts w:ascii="Times New Roman"/>
                <w:i/>
                <w:w w:val="105"/>
                <w:sz w:val="17"/>
              </w:rPr>
              <w:t>Fala</w:t>
            </w:r>
            <w:r w:rsidRPr="00505E82">
              <w:rPr>
                <w:rFonts w:ascii="Times New Roman"/>
                <w:i/>
                <w:spacing w:val="-17"/>
                <w:w w:val="105"/>
                <w:sz w:val="17"/>
              </w:rPr>
              <w:t xml:space="preserve"> </w:t>
            </w:r>
            <w:r w:rsidRPr="00505E82">
              <w:rPr>
                <w:rFonts w:ascii="Times New Roman"/>
                <w:i/>
                <w:w w:val="105"/>
                <w:sz w:val="17"/>
              </w:rPr>
              <w:t>Maria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Fala,</w:t>
            </w:r>
            <w:r w:rsidRPr="00505E82">
              <w:rPr>
                <w:rFonts w:ascii="Times New Roman"/>
                <w:i/>
                <w:spacing w:val="-17"/>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João</w:t>
            </w:r>
            <w:r w:rsidRPr="00505E82">
              <w:rPr>
                <w:rFonts w:ascii="Times New Roman" w:hAnsi="Times New Roman"/>
                <w:spacing w:val="-27"/>
                <w:w w:val="105"/>
                <w:sz w:val="17"/>
              </w:rPr>
              <w:t xml:space="preserve"> </w:t>
            </w:r>
            <w:r w:rsidRPr="00505E82">
              <w:rPr>
                <w:rFonts w:ascii="Times New Roman" w:hAnsi="Times New Roman"/>
                <w:w w:val="105"/>
                <w:sz w:val="17"/>
              </w:rPr>
              <w:t>Pessoa/PB</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8"/>
              <w:ind w:left="86" w:right="128"/>
              <w:rPr>
                <w:rFonts w:ascii="Times New Roman" w:eastAsia="Times New Roman" w:hAnsi="Times New Roman"/>
                <w:sz w:val="17"/>
                <w:szCs w:val="17"/>
              </w:rPr>
            </w:pPr>
            <w:r w:rsidRPr="00505E82">
              <w:rPr>
                <w:rFonts w:ascii="Times New Roman" w:hAnsi="Times New Roman"/>
                <w:i/>
                <w:w w:val="105"/>
                <w:sz w:val="17"/>
              </w:rPr>
              <w:t>Fazendo</w:t>
            </w:r>
            <w:r w:rsidRPr="00505E82">
              <w:rPr>
                <w:rFonts w:ascii="Times New Roman" w:hAnsi="Times New Roman"/>
                <w:i/>
                <w:spacing w:val="-25"/>
                <w:w w:val="105"/>
                <w:sz w:val="17"/>
              </w:rPr>
              <w:t xml:space="preserve"> </w:t>
            </w:r>
            <w:r w:rsidRPr="00505E82">
              <w:rPr>
                <w:rFonts w:ascii="Times New Roman" w:hAnsi="Times New Roman"/>
                <w:i/>
                <w:w w:val="105"/>
                <w:sz w:val="17"/>
              </w:rPr>
              <w:t>Gênero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7" w:right="181"/>
              <w:rPr>
                <w:rFonts w:ascii="Times New Roman" w:eastAsia="Times New Roman" w:hAnsi="Times New Roman"/>
                <w:sz w:val="17"/>
                <w:szCs w:val="17"/>
              </w:rPr>
            </w:pPr>
            <w:r w:rsidRPr="00505E82">
              <w:rPr>
                <w:rFonts w:ascii="Times New Roman" w:hAnsi="Times New Roman"/>
                <w:w w:val="105"/>
                <w:sz w:val="17"/>
              </w:rPr>
              <w:t>Goiânia/GO</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3" w:right="65"/>
              <w:rPr>
                <w:rFonts w:ascii="Times New Roman" w:eastAsia="Times New Roman" w:hAnsi="Times New Roman"/>
                <w:sz w:val="17"/>
                <w:szCs w:val="17"/>
              </w:rPr>
            </w:pPr>
            <w:r w:rsidRPr="00505E82">
              <w:rPr>
                <w:rFonts w:ascii="Times New Roman"/>
                <w:w w:val="105"/>
                <w:sz w:val="17"/>
              </w:rPr>
              <w:t>1997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8"/>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8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33"/>
              <w:ind w:left="86" w:right="128"/>
              <w:rPr>
                <w:rFonts w:ascii="Times New Roman" w:eastAsia="Times New Roman" w:hAnsi="Times New Roman"/>
                <w:sz w:val="17"/>
                <w:szCs w:val="17"/>
              </w:rPr>
            </w:pPr>
            <w:r w:rsidRPr="00505E82">
              <w:rPr>
                <w:rFonts w:ascii="Times New Roman" w:hAnsi="Times New Roman"/>
                <w:i/>
                <w:w w:val="105"/>
                <w:sz w:val="17"/>
              </w:rPr>
              <w:t>Fêmea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7" w:right="181"/>
              <w:rPr>
                <w:rFonts w:ascii="Times New Roman" w:eastAsia="Times New Roman" w:hAnsi="Times New Roman"/>
                <w:sz w:val="17"/>
                <w:szCs w:val="17"/>
              </w:rPr>
            </w:pPr>
            <w:r w:rsidRPr="00505E82">
              <w:rPr>
                <w:rFonts w:ascii="Times New Roman" w:hAnsi="Times New Roman"/>
                <w:w w:val="105"/>
                <w:sz w:val="17"/>
              </w:rPr>
              <w:t>Brasília/DF</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3" w:right="65"/>
              <w:rPr>
                <w:rFonts w:ascii="Times New Roman" w:eastAsia="Times New Roman" w:hAnsi="Times New Roman"/>
                <w:sz w:val="17"/>
                <w:szCs w:val="17"/>
              </w:rPr>
            </w:pPr>
            <w:r w:rsidRPr="00505E82">
              <w:rPr>
                <w:rFonts w:ascii="Times New Roman"/>
                <w:w w:val="105"/>
                <w:sz w:val="17"/>
              </w:rPr>
              <w:t>1983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7"/>
              <w:rPr>
                <w:rFonts w:ascii="Times New Roman" w:eastAsia="Times New Roman" w:hAnsi="Times New Roman"/>
                <w:sz w:val="17"/>
                <w:szCs w:val="17"/>
              </w:rPr>
            </w:pPr>
            <w:r w:rsidRPr="00505E82">
              <w:rPr>
                <w:rFonts w:ascii="Times New Roman"/>
                <w:w w:val="105"/>
                <w:sz w:val="17"/>
              </w:rPr>
              <w:t>legislativo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Folha da</w:t>
            </w:r>
            <w:r w:rsidRPr="00505E82">
              <w:rPr>
                <w:rFonts w:ascii="Times New Roman" w:hAnsi="Times New Roman"/>
                <w:i/>
                <w:spacing w:val="-27"/>
                <w:w w:val="105"/>
                <w:sz w:val="17"/>
              </w:rPr>
              <w:t xml:space="preserve"> </w:t>
            </w:r>
            <w:r w:rsidRPr="00505E82">
              <w:rPr>
                <w:rFonts w:ascii="Times New Roman" w:hAnsi="Times New Roman"/>
                <w:i/>
                <w:w w:val="105"/>
                <w:sz w:val="17"/>
              </w:rPr>
              <w:t>Década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7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33"/>
              <w:ind w:left="86" w:right="128"/>
              <w:rPr>
                <w:rFonts w:ascii="Times New Roman" w:eastAsia="Times New Roman" w:hAnsi="Times New Roman"/>
                <w:sz w:val="17"/>
                <w:szCs w:val="17"/>
              </w:rPr>
            </w:pPr>
            <w:r w:rsidRPr="00505E82">
              <w:rPr>
                <w:rFonts w:ascii="Times New Roman"/>
                <w:i/>
                <w:w w:val="105"/>
                <w:sz w:val="17"/>
              </w:rPr>
              <w:t>Folha</w:t>
            </w:r>
            <w:r w:rsidRPr="00505E82">
              <w:rPr>
                <w:rFonts w:ascii="Times New Roman"/>
                <w:i/>
                <w:spacing w:val="-26"/>
                <w:w w:val="105"/>
                <w:sz w:val="17"/>
              </w:rPr>
              <w:t xml:space="preserve"> </w:t>
            </w:r>
            <w:r w:rsidRPr="00505E82">
              <w:rPr>
                <w:rFonts w:ascii="Times New Roman"/>
                <w:i/>
                <w:w w:val="105"/>
                <w:sz w:val="17"/>
              </w:rPr>
              <w:t>Feminista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Folha</w:t>
            </w:r>
            <w:r w:rsidRPr="00505E82">
              <w:rPr>
                <w:rFonts w:ascii="Times New Roman"/>
                <w:i/>
                <w:spacing w:val="-19"/>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Rio de</w:t>
            </w:r>
            <w:r w:rsidRPr="00505E82">
              <w:rPr>
                <w:rFonts w:ascii="Times New Roman"/>
                <w:spacing w:val="-32"/>
                <w:w w:val="105"/>
                <w:sz w:val="17"/>
              </w:rPr>
              <w:t xml:space="preserve"> </w:t>
            </w:r>
            <w:r w:rsidRPr="00505E82">
              <w:rPr>
                <w:rFonts w:ascii="Times New Roman"/>
                <w:w w:val="105"/>
                <w:sz w:val="17"/>
              </w:rPr>
              <w:t>Janeiro/RJ</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1992 -</w:t>
            </w:r>
            <w:r w:rsidRPr="00505E82">
              <w:rPr>
                <w:rFonts w:ascii="Times New Roman"/>
                <w:spacing w:val="-18"/>
                <w:w w:val="105"/>
                <w:sz w:val="17"/>
              </w:rPr>
              <w:t xml:space="preserve"> </w:t>
            </w:r>
            <w:r w:rsidRPr="00505E82">
              <w:rPr>
                <w:rFonts w:ascii="Times New Roman"/>
                <w:w w:val="105"/>
                <w:sz w:val="17"/>
              </w:rPr>
              <w:t>n3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religioso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Força</w:t>
            </w:r>
            <w:r w:rsidRPr="00505E82">
              <w:rPr>
                <w:rFonts w:ascii="Times New Roman" w:hAnsi="Times New Roman"/>
                <w:i/>
                <w:spacing w:val="-18"/>
                <w:w w:val="105"/>
                <w:sz w:val="17"/>
              </w:rPr>
              <w:t xml:space="preserve"> </w:t>
            </w:r>
            <w:r w:rsidRPr="00505E82">
              <w:rPr>
                <w:rFonts w:ascii="Times New Roman" w:hAns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sz w:val="17"/>
              </w:rPr>
              <w:t>Belo</w:t>
            </w:r>
            <w:r w:rsidRPr="00505E82">
              <w:rPr>
                <w:rFonts w:ascii="Times New Roman"/>
                <w:spacing w:val="32"/>
                <w:sz w:val="17"/>
              </w:rPr>
              <w:t xml:space="preserve"> </w:t>
            </w:r>
            <w:r w:rsidRPr="00505E82">
              <w:rPr>
                <w:rFonts w:ascii="Times New Roman"/>
                <w:sz w:val="17"/>
              </w:rPr>
              <w:t>Horizonte/MG</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eastAsia="Times New Roman" w:hAnsi="Times New Roman"/>
                <w:i/>
                <w:w w:val="105"/>
                <w:sz w:val="17"/>
                <w:szCs w:val="17"/>
              </w:rPr>
              <w:t>InformaAção –</w:t>
            </w:r>
            <w:r w:rsidRPr="00505E82">
              <w:rPr>
                <w:rFonts w:ascii="Times New Roman" w:eastAsia="Times New Roman" w:hAnsi="Times New Roman"/>
                <w:i/>
                <w:spacing w:val="-33"/>
                <w:w w:val="105"/>
                <w:sz w:val="17"/>
                <w:szCs w:val="17"/>
              </w:rPr>
              <w:t xml:space="preserve"> </w:t>
            </w:r>
            <w:r w:rsidRPr="00505E82">
              <w:rPr>
                <w:rFonts w:ascii="Times New Roman" w:eastAsia="Times New Roman" w:hAnsi="Times New Roman"/>
                <w:i/>
                <w:w w:val="105"/>
                <w:sz w:val="17"/>
                <w:szCs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Campinas/SP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9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43"/>
              <w:ind w:left="86" w:right="128"/>
              <w:rPr>
                <w:rFonts w:ascii="Times New Roman" w:eastAsia="Times New Roman" w:hAnsi="Times New Roman"/>
                <w:sz w:val="17"/>
                <w:szCs w:val="17"/>
              </w:rPr>
            </w:pPr>
            <w:r w:rsidRPr="00505E82">
              <w:rPr>
                <w:rFonts w:ascii="Times New Roman"/>
                <w:i/>
                <w:w w:val="105"/>
                <w:sz w:val="17"/>
              </w:rPr>
              <w:t>Informe</w:t>
            </w:r>
            <w:r w:rsidRPr="00505E82">
              <w:rPr>
                <w:rFonts w:ascii="Times New Roman"/>
                <w:i/>
                <w:spacing w:val="-26"/>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3"/>
              <w:ind w:left="67" w:right="181"/>
              <w:rPr>
                <w:rFonts w:ascii="Times New Roman" w:eastAsia="Times New Roman" w:hAnsi="Times New Roman"/>
                <w:sz w:val="17"/>
                <w:szCs w:val="17"/>
              </w:rPr>
            </w:pPr>
            <w:r w:rsidRPr="00505E82">
              <w:rPr>
                <w:rFonts w:ascii="Times New Roman" w:hAnsi="Times New Roman"/>
                <w:w w:val="105"/>
                <w:sz w:val="17"/>
              </w:rPr>
              <w:t>Brasília/DF</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3"/>
              <w:ind w:left="63" w:right="65"/>
              <w:rPr>
                <w:rFonts w:ascii="Times New Roman" w:eastAsia="Times New Roman" w:hAnsi="Times New Roman"/>
                <w:sz w:val="17"/>
                <w:szCs w:val="17"/>
              </w:rPr>
            </w:pPr>
            <w:r w:rsidRPr="00505E82">
              <w:rPr>
                <w:rFonts w:ascii="Times New Roman"/>
                <w:w w:val="105"/>
                <w:sz w:val="17"/>
              </w:rPr>
              <w:t>1987/n</w:t>
            </w:r>
            <w:r w:rsidRPr="00505E82">
              <w:rPr>
                <w:rFonts w:ascii="Times New Roman"/>
                <w:spacing w:val="-17"/>
                <w:w w:val="105"/>
                <w:sz w:val="17"/>
              </w:rPr>
              <w:t xml:space="preserve"> </w:t>
            </w:r>
            <w:r w:rsidRPr="00505E82">
              <w:rPr>
                <w:rFonts w:ascii="Times New Roman"/>
                <w:w w:val="105"/>
                <w:sz w:val="17"/>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3"/>
              <w:ind w:left="67"/>
              <w:rPr>
                <w:rFonts w:ascii="Times New Roman" w:eastAsia="Times New Roman" w:hAnsi="Times New Roman"/>
                <w:sz w:val="17"/>
                <w:szCs w:val="17"/>
              </w:rPr>
            </w:pPr>
            <w:r w:rsidRPr="00505E82">
              <w:rPr>
                <w:rFonts w:ascii="Times New Roman"/>
                <w:w w:val="105"/>
                <w:sz w:val="17"/>
              </w:rPr>
              <w:t>legislativo</w:t>
            </w:r>
          </w:p>
        </w:tc>
      </w:tr>
      <w:tr w:rsidR="00CC7D10" w:rsidTr="00505E82">
        <w:trPr>
          <w:trHeight w:hRule="exact" w:val="211"/>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86" w:right="128"/>
              <w:rPr>
                <w:rFonts w:ascii="Times New Roman" w:eastAsia="Times New Roman" w:hAnsi="Times New Roman"/>
                <w:sz w:val="17"/>
                <w:szCs w:val="17"/>
              </w:rPr>
            </w:pPr>
            <w:r w:rsidRPr="00505E82">
              <w:rPr>
                <w:rFonts w:ascii="Times New Roman"/>
                <w:i/>
                <w:w w:val="105"/>
                <w:sz w:val="17"/>
              </w:rPr>
              <w:t>Jornal da</w:t>
            </w:r>
            <w:r w:rsidRPr="00505E82">
              <w:rPr>
                <w:rFonts w:ascii="Times New Roman"/>
                <w:i/>
                <w:spacing w:val="-16"/>
                <w:w w:val="105"/>
                <w:sz w:val="17"/>
              </w:rPr>
              <w:t xml:space="preserve"> </w:t>
            </w:r>
            <w:r w:rsidRPr="00505E82">
              <w:rPr>
                <w:rFonts w:ascii="Times New Roman"/>
                <w:i/>
                <w:spacing w:val="-3"/>
                <w:w w:val="105"/>
                <w:sz w:val="17"/>
              </w:rPr>
              <w:t>Casa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ight="181"/>
              <w:rPr>
                <w:rFonts w:ascii="Times New Roman" w:eastAsia="Times New Roman" w:hAnsi="Times New Roman"/>
                <w:sz w:val="17"/>
                <w:szCs w:val="17"/>
              </w:rPr>
            </w:pPr>
            <w:r w:rsidRPr="00505E82">
              <w:rPr>
                <w:rFonts w:ascii="Times New Roman"/>
                <w:w w:val="105"/>
                <w:sz w:val="17"/>
              </w:rPr>
              <w:t>Recife/PE</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3" w:right="65"/>
              <w:rPr>
                <w:rFonts w:ascii="Times New Roman" w:eastAsia="Times New Roman" w:hAnsi="Times New Roman"/>
                <w:sz w:val="17"/>
                <w:szCs w:val="17"/>
              </w:rPr>
            </w:pPr>
            <w:r w:rsidRPr="00505E82">
              <w:rPr>
                <w:rFonts w:ascii="Times New Roman"/>
                <w:w w:val="105"/>
                <w:sz w:val="17"/>
              </w:rPr>
              <w:t>1993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8"/>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9"/>
              <w:rPr>
                <w:rFonts w:ascii="Times New Roman" w:eastAsia="Times New Roman" w:hAnsi="Times New Roman"/>
                <w:sz w:val="17"/>
                <w:szCs w:val="17"/>
              </w:rPr>
            </w:pPr>
            <w:r w:rsidRPr="00505E82">
              <w:rPr>
                <w:rFonts w:ascii="Times New Roman"/>
                <w:w w:val="105"/>
                <w:sz w:val="17"/>
              </w:rPr>
              <w:t>trabalho</w:t>
            </w:r>
          </w:p>
        </w:tc>
      </w:tr>
      <w:tr w:rsidR="00CC7D10" w:rsidTr="00505E82">
        <w:trPr>
          <w:trHeight w:hRule="exact" w:val="211"/>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86" w:right="128"/>
              <w:rPr>
                <w:rFonts w:ascii="Times New Roman" w:eastAsia="Times New Roman" w:hAnsi="Times New Roman"/>
                <w:sz w:val="17"/>
                <w:szCs w:val="17"/>
              </w:rPr>
            </w:pPr>
            <w:r w:rsidRPr="00505E82">
              <w:rPr>
                <w:rFonts w:ascii="Times New Roman"/>
                <w:i/>
                <w:w w:val="105"/>
                <w:sz w:val="17"/>
              </w:rPr>
              <w:t>Jornal da</w:t>
            </w:r>
            <w:r w:rsidRPr="00505E82">
              <w:rPr>
                <w:rFonts w:ascii="Times New Roman"/>
                <w:i/>
                <w:spacing w:val="-29"/>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3" w:right="65"/>
              <w:rPr>
                <w:rFonts w:ascii="Times New Roman" w:eastAsia="Times New Roman" w:hAnsi="Times New Roman"/>
                <w:sz w:val="17"/>
                <w:szCs w:val="17"/>
              </w:rPr>
            </w:pPr>
            <w:r w:rsidRPr="00505E82">
              <w:rPr>
                <w:rFonts w:ascii="Times New Roman"/>
                <w:w w:val="105"/>
                <w:sz w:val="17"/>
              </w:rPr>
              <w:t>1980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8"/>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9"/>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Jornal da</w:t>
            </w:r>
            <w:r w:rsidRPr="00505E82">
              <w:rPr>
                <w:rFonts w:ascii="Times New Roman"/>
                <w:i/>
                <w:spacing w:val="-29"/>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Curitiba/PR</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Jornal da</w:t>
            </w:r>
            <w:r w:rsidRPr="00505E82">
              <w:rPr>
                <w:rFonts w:ascii="Times New Roman"/>
                <w:i/>
                <w:spacing w:val="-29"/>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Cabo/PE</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Jornal</w:t>
            </w:r>
            <w:r w:rsidRPr="00505E82">
              <w:rPr>
                <w:rFonts w:ascii="Times New Roman" w:hAnsi="Times New Roman"/>
                <w:i/>
                <w:spacing w:val="-15"/>
                <w:w w:val="105"/>
                <w:sz w:val="17"/>
              </w:rPr>
              <w:t xml:space="preserve"> </w:t>
            </w:r>
            <w:r w:rsidRPr="00505E82">
              <w:rPr>
                <w:rFonts w:ascii="Times New Roman" w:hAnsi="Times New Roman"/>
                <w:i/>
                <w:w w:val="105"/>
                <w:sz w:val="17"/>
              </w:rPr>
              <w:t>da</w:t>
            </w:r>
            <w:r w:rsidRPr="00505E82">
              <w:rPr>
                <w:rFonts w:ascii="Times New Roman" w:hAnsi="Times New Roman"/>
                <w:i/>
                <w:spacing w:val="-11"/>
                <w:w w:val="105"/>
                <w:sz w:val="17"/>
              </w:rPr>
              <w:t xml:space="preserve"> </w:t>
            </w:r>
            <w:r w:rsidRPr="00505E82">
              <w:rPr>
                <w:rFonts w:ascii="Times New Roman" w:hAnsi="Times New Roman"/>
                <w:i/>
                <w:w w:val="105"/>
                <w:sz w:val="17"/>
              </w:rPr>
              <w:t>Mulher</w:t>
            </w:r>
            <w:r w:rsidRPr="00505E82">
              <w:rPr>
                <w:rFonts w:ascii="Times New Roman" w:hAnsi="Times New Roman"/>
                <w:i/>
                <w:spacing w:val="-11"/>
                <w:w w:val="105"/>
                <w:sz w:val="17"/>
              </w:rPr>
              <w:t xml:space="preserve"> </w:t>
            </w:r>
            <w:r w:rsidRPr="00505E82">
              <w:rPr>
                <w:rFonts w:ascii="Times New Roman" w:hAnsi="Times New Roman"/>
                <w:i/>
                <w:w w:val="105"/>
                <w:sz w:val="17"/>
              </w:rPr>
              <w:t>do</w:t>
            </w:r>
            <w:r w:rsidRPr="00505E82">
              <w:rPr>
                <w:rFonts w:ascii="Times New Roman" w:hAnsi="Times New Roman"/>
                <w:i/>
                <w:spacing w:val="-11"/>
                <w:w w:val="105"/>
                <w:sz w:val="17"/>
              </w:rPr>
              <w:t xml:space="preserve"> </w:t>
            </w:r>
            <w:r w:rsidRPr="00505E82">
              <w:rPr>
                <w:rFonts w:ascii="Times New Roman" w:hAnsi="Times New Roman"/>
                <w:i/>
                <w:w w:val="105"/>
                <w:sz w:val="17"/>
              </w:rPr>
              <w:t>Grajaú</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40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95"/>
              <w:ind w:left="86" w:right="128"/>
              <w:rPr>
                <w:rFonts w:ascii="Times New Roman" w:eastAsia="Times New Roman" w:hAnsi="Times New Roman"/>
                <w:sz w:val="17"/>
                <w:szCs w:val="17"/>
              </w:rPr>
            </w:pPr>
            <w:r w:rsidRPr="00505E82">
              <w:rPr>
                <w:rFonts w:ascii="Times New Roman" w:hAnsi="Times New Roman"/>
                <w:i/>
                <w:w w:val="105"/>
                <w:sz w:val="17"/>
              </w:rPr>
              <w:t xml:space="preserve">Jornal da </w:t>
            </w:r>
            <w:r w:rsidRPr="00505E82">
              <w:rPr>
                <w:rFonts w:ascii="Times New Roman" w:hAnsi="Times New Roman"/>
                <w:i/>
                <w:spacing w:val="-3"/>
                <w:w w:val="105"/>
                <w:sz w:val="17"/>
              </w:rPr>
              <w:t>Nova</w:t>
            </w:r>
            <w:r w:rsidRPr="00505E82">
              <w:rPr>
                <w:rFonts w:ascii="Times New Roman" w:hAnsi="Times New Roman"/>
                <w:i/>
                <w:spacing w:val="-29"/>
                <w:w w:val="105"/>
                <w:sz w:val="17"/>
              </w:rPr>
              <w:t xml:space="preserve"> </w:t>
            </w:r>
            <w:r w:rsidRPr="00505E82">
              <w:rPr>
                <w:rFonts w:ascii="Times New Roman" w:hAnsi="Times New Roman"/>
                <w:i/>
                <w:w w:val="105"/>
                <w:sz w:val="17"/>
              </w:rPr>
              <w:t>Família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3" w:right="65"/>
              <w:rPr>
                <w:rFonts w:ascii="Times New Roman" w:eastAsia="Times New Roman" w:hAnsi="Times New Roman"/>
                <w:sz w:val="17"/>
                <w:szCs w:val="17"/>
              </w:rPr>
            </w:pPr>
            <w:r w:rsidRPr="00505E82">
              <w:rPr>
                <w:rFonts w:ascii="Times New Roman"/>
                <w:w w:val="105"/>
                <w:sz w:val="17"/>
              </w:rPr>
              <w:t>1988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260"/>
              <w:rPr>
                <w:rFonts w:ascii="Times New Roman" w:eastAsia="Times New Roman" w:hAnsi="Times New Roman"/>
                <w:sz w:val="17"/>
                <w:szCs w:val="17"/>
              </w:rPr>
            </w:pPr>
            <w:r w:rsidRPr="00505E82">
              <w:rPr>
                <w:rFonts w:ascii="Times New Roman"/>
                <w:spacing w:val="-1"/>
                <w:w w:val="105"/>
                <w:sz w:val="17"/>
              </w:rPr>
              <w:t xml:space="preserve">noticioso- </w:t>
            </w:r>
            <w:r w:rsidRPr="00505E82">
              <w:rPr>
                <w:rFonts w:ascii="Times New Roman"/>
                <w:sz w:val="17"/>
              </w:rPr>
              <w:t>comercial</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Jornal</w:t>
            </w:r>
            <w:r w:rsidRPr="00505E82">
              <w:rPr>
                <w:rFonts w:ascii="Times New Roman" w:hAnsi="Times New Roman"/>
                <w:i/>
                <w:spacing w:val="-10"/>
                <w:w w:val="105"/>
                <w:sz w:val="17"/>
              </w:rPr>
              <w:t xml:space="preserve"> </w:t>
            </w:r>
            <w:r w:rsidRPr="00505E82">
              <w:rPr>
                <w:rFonts w:ascii="Times New Roman" w:hAnsi="Times New Roman"/>
                <w:i/>
                <w:w w:val="105"/>
                <w:sz w:val="17"/>
              </w:rPr>
              <w:t>da</w:t>
            </w:r>
            <w:r w:rsidRPr="00505E82">
              <w:rPr>
                <w:rFonts w:ascii="Times New Roman" w:hAnsi="Times New Roman"/>
                <w:i/>
                <w:spacing w:val="-6"/>
                <w:w w:val="105"/>
                <w:sz w:val="17"/>
              </w:rPr>
              <w:t xml:space="preserve"> </w:t>
            </w:r>
            <w:r w:rsidRPr="00505E82">
              <w:rPr>
                <w:rFonts w:ascii="Times New Roman" w:hAnsi="Times New Roman"/>
                <w:i/>
                <w:w w:val="105"/>
                <w:sz w:val="17"/>
              </w:rPr>
              <w:t>Rede</w:t>
            </w:r>
            <w:r w:rsidRPr="00505E82">
              <w:rPr>
                <w:rFonts w:ascii="Times New Roman" w:hAnsi="Times New Roman"/>
                <w:i/>
                <w:spacing w:val="-15"/>
                <w:w w:val="105"/>
                <w:sz w:val="17"/>
              </w:rPr>
              <w:t xml:space="preserve"> </w:t>
            </w:r>
            <w:r w:rsidRPr="00505E82">
              <w:rPr>
                <w:rFonts w:ascii="Times New Roman" w:hAnsi="Times New Roman"/>
                <w:i/>
                <w:w w:val="105"/>
                <w:sz w:val="17"/>
              </w:rPr>
              <w:t>Saúde/</w:t>
            </w:r>
            <w:r w:rsidRPr="00505E82">
              <w:rPr>
                <w:rFonts w:ascii="Times New Roman" w:hAnsi="Times New Roman"/>
                <w:i/>
                <w:spacing w:val="-10"/>
                <w:w w:val="105"/>
                <w:sz w:val="17"/>
              </w:rPr>
              <w:t xml:space="preserve"> </w:t>
            </w:r>
            <w:r w:rsidRPr="00505E82">
              <w:rPr>
                <w:rFonts w:ascii="Times New Roman" w:hAnsi="Times New Roman"/>
                <w:i/>
                <w:w w:val="105"/>
                <w:sz w:val="17"/>
              </w:rPr>
              <w:t>Jornal</w:t>
            </w:r>
            <w:r w:rsidRPr="00505E82">
              <w:rPr>
                <w:rFonts w:ascii="Times New Roman" w:hAnsi="Times New Roman"/>
                <w:i/>
                <w:spacing w:val="-10"/>
                <w:w w:val="105"/>
                <w:sz w:val="17"/>
              </w:rPr>
              <w:t xml:space="preserve"> </w:t>
            </w:r>
            <w:r w:rsidRPr="00505E82">
              <w:rPr>
                <w:rFonts w:ascii="Times New Roman" w:hAnsi="Times New Roman"/>
                <w:i/>
                <w:w w:val="105"/>
                <w:sz w:val="17"/>
              </w:rPr>
              <w:t>da</w:t>
            </w:r>
            <w:r w:rsidRPr="00505E82">
              <w:rPr>
                <w:rFonts w:ascii="Times New Roman" w:hAnsi="Times New Roman"/>
                <w:i/>
                <w:spacing w:val="-11"/>
                <w:w w:val="105"/>
                <w:sz w:val="17"/>
              </w:rPr>
              <w:t xml:space="preserve"> </w:t>
            </w:r>
            <w:r w:rsidRPr="00505E82">
              <w:rPr>
                <w:rFonts w:ascii="Times New Roman" w:hAnsi="Times New Roman"/>
                <w:i/>
                <w:w w:val="105"/>
                <w:sz w:val="17"/>
              </w:rPr>
              <w:t>Rede</w:t>
            </w:r>
            <w:r w:rsidRPr="00505E82">
              <w:rPr>
                <w:rFonts w:ascii="Times New Roman" w:hAnsi="Times New Roman"/>
                <w:i/>
                <w:spacing w:val="-11"/>
                <w:w w:val="105"/>
                <w:sz w:val="17"/>
              </w:rPr>
              <w:t xml:space="preserve"> </w:t>
            </w:r>
            <w:r w:rsidRPr="00505E82">
              <w:rPr>
                <w:rFonts w:ascii="Times New Roman" w:hAnsi="Times New Roman"/>
                <w:i/>
                <w:w w:val="105"/>
                <w:sz w:val="17"/>
              </w:rPr>
              <w:t>/</w:t>
            </w:r>
            <w:r w:rsidRPr="00505E82">
              <w:rPr>
                <w:rFonts w:ascii="Times New Roman" w:hAnsi="Times New Roman"/>
                <w:i/>
                <w:spacing w:val="-5"/>
                <w:w w:val="105"/>
                <w:sz w:val="17"/>
              </w:rPr>
              <w:t xml:space="preserve"> </w:t>
            </w:r>
            <w:r w:rsidRPr="00505E82">
              <w:rPr>
                <w:rFonts w:ascii="Times New Roman" w:hAnsi="Times New Roman"/>
                <w:i/>
                <w:w w:val="105"/>
                <w:sz w:val="17"/>
              </w:rPr>
              <w:t>Redefax</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Jornal</w:t>
            </w:r>
            <w:r w:rsidRPr="00505E82">
              <w:rPr>
                <w:rFonts w:ascii="Times New Roman"/>
                <w:i/>
                <w:spacing w:val="-25"/>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Maria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Curitiba/PR</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41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95"/>
              <w:ind w:left="86" w:right="128"/>
              <w:rPr>
                <w:rFonts w:ascii="Times New Roman" w:eastAsia="Times New Roman" w:hAnsi="Times New Roman"/>
                <w:sz w:val="17"/>
                <w:szCs w:val="17"/>
              </w:rPr>
            </w:pPr>
            <w:r w:rsidRPr="00505E82">
              <w:rPr>
                <w:rFonts w:ascii="Times New Roman"/>
                <w:i/>
                <w:w w:val="105"/>
                <w:sz w:val="17"/>
              </w:rPr>
              <w:t>Maria</w:t>
            </w:r>
            <w:r w:rsidRPr="00505E82">
              <w:rPr>
                <w:rFonts w:ascii="Times New Roman"/>
                <w:i/>
                <w:spacing w:val="-6"/>
                <w:w w:val="105"/>
                <w:sz w:val="17"/>
              </w:rPr>
              <w:t xml:space="preserve"> </w:t>
            </w:r>
            <w:r w:rsidRPr="00505E82">
              <w:rPr>
                <w:rFonts w:ascii="Times New Roman"/>
                <w:i/>
                <w:w w:val="105"/>
                <w:sz w:val="17"/>
              </w:rPr>
              <w:t>-</w:t>
            </w:r>
            <w:r w:rsidRPr="00505E82">
              <w:rPr>
                <w:rFonts w:ascii="Times New Roman"/>
                <w:i/>
                <w:spacing w:val="-14"/>
                <w:w w:val="105"/>
                <w:sz w:val="17"/>
              </w:rPr>
              <w:t xml:space="preserve"> </w:t>
            </w:r>
            <w:r w:rsidRPr="00505E82">
              <w:rPr>
                <w:rFonts w:ascii="Times New Roman"/>
                <w:i/>
                <w:w w:val="105"/>
                <w:sz w:val="17"/>
              </w:rPr>
              <w:t>O</w:t>
            </w:r>
            <w:r w:rsidRPr="00505E82">
              <w:rPr>
                <w:rFonts w:ascii="Times New Roman"/>
                <w:i/>
                <w:spacing w:val="-7"/>
                <w:w w:val="105"/>
                <w:sz w:val="17"/>
              </w:rPr>
              <w:t xml:space="preserve"> </w:t>
            </w:r>
            <w:r w:rsidRPr="00505E82">
              <w:rPr>
                <w:rFonts w:ascii="Times New Roman"/>
                <w:i/>
                <w:w w:val="105"/>
                <w:sz w:val="17"/>
              </w:rPr>
              <w:t>Jornal</w:t>
            </w:r>
            <w:r w:rsidRPr="00505E82">
              <w:rPr>
                <w:rFonts w:ascii="Times New Roman"/>
                <w:i/>
                <w:spacing w:val="-14"/>
                <w:w w:val="105"/>
                <w:sz w:val="17"/>
              </w:rPr>
              <w:t xml:space="preserve"> </w:t>
            </w:r>
            <w:r w:rsidRPr="00505E82">
              <w:rPr>
                <w:rFonts w:ascii="Times New Roman"/>
                <w:i/>
                <w:w w:val="105"/>
                <w:sz w:val="17"/>
              </w:rPr>
              <w:t>da</w:t>
            </w:r>
            <w:r w:rsidRPr="00505E82">
              <w:rPr>
                <w:rFonts w:ascii="Times New Roman"/>
                <w:i/>
                <w:spacing w:val="-10"/>
                <w:w w:val="105"/>
                <w:sz w:val="17"/>
              </w:rPr>
              <w:t xml:space="preserve"> </w:t>
            </w:r>
            <w:r w:rsidRPr="00505E82">
              <w:rPr>
                <w:rFonts w:ascii="Times New Roman"/>
                <w:i/>
                <w:w w:val="105"/>
                <w:sz w:val="17"/>
              </w:rPr>
              <w:t>Maioria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ight="181"/>
              <w:rPr>
                <w:rFonts w:ascii="Times New Roman" w:eastAsia="Times New Roman" w:hAnsi="Times New Roman"/>
                <w:sz w:val="17"/>
                <w:szCs w:val="17"/>
              </w:rPr>
            </w:pPr>
            <w:r w:rsidRPr="00505E82">
              <w:rPr>
                <w:rFonts w:ascii="Times New Roman" w:hAnsi="Times New Roman"/>
                <w:w w:val="105"/>
                <w:sz w:val="17"/>
              </w:rPr>
              <w:t>Brasília/DF</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3" w:right="65"/>
              <w:rPr>
                <w:rFonts w:ascii="Times New Roman" w:eastAsia="Times New Roman" w:hAnsi="Times New Roman"/>
                <w:sz w:val="17"/>
                <w:szCs w:val="17"/>
              </w:rPr>
            </w:pPr>
            <w:r w:rsidRPr="00505E82">
              <w:rPr>
                <w:rFonts w:ascii="Times New Roman"/>
                <w:w w:val="105"/>
                <w:sz w:val="17"/>
              </w:rPr>
              <w:t>1987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260"/>
              <w:rPr>
                <w:rFonts w:ascii="Times New Roman" w:eastAsia="Times New Roman" w:hAnsi="Times New Roman"/>
                <w:sz w:val="17"/>
                <w:szCs w:val="17"/>
              </w:rPr>
            </w:pPr>
            <w:r w:rsidRPr="00505E82">
              <w:rPr>
                <w:rFonts w:ascii="Times New Roman"/>
                <w:spacing w:val="-1"/>
                <w:w w:val="105"/>
                <w:sz w:val="17"/>
              </w:rPr>
              <w:t xml:space="preserve">noticioso- </w:t>
            </w:r>
            <w:r w:rsidRPr="00505E82">
              <w:rPr>
                <w:rFonts w:ascii="Times New Roman"/>
                <w:sz w:val="17"/>
              </w:rPr>
              <w:t>comercial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9"/>
              <w:ind w:left="86" w:right="128"/>
              <w:rPr>
                <w:rFonts w:ascii="Times New Roman" w:eastAsia="Times New Roman" w:hAnsi="Times New Roman"/>
                <w:sz w:val="17"/>
                <w:szCs w:val="17"/>
              </w:rPr>
            </w:pPr>
            <w:r w:rsidRPr="00505E82">
              <w:rPr>
                <w:rFonts w:ascii="Times New Roman"/>
                <w:i/>
                <w:sz w:val="17"/>
              </w:rPr>
              <w:t>Maria</w:t>
            </w:r>
            <w:r w:rsidRPr="00505E82">
              <w:rPr>
                <w:rFonts w:ascii="Times New Roman"/>
                <w:i/>
                <w:spacing w:val="26"/>
                <w:sz w:val="17"/>
              </w:rPr>
              <w:t xml:space="preserve"> </w:t>
            </w:r>
            <w:r w:rsidRPr="00505E82">
              <w:rPr>
                <w:rFonts w:ascii="Times New Roman"/>
                <w:i/>
                <w:sz w:val="17"/>
              </w:rPr>
              <w:t>Brasileira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9"/>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9"/>
              <w:ind w:left="63" w:right="65"/>
              <w:rPr>
                <w:rFonts w:ascii="Times New Roman" w:eastAsia="Times New Roman" w:hAnsi="Times New Roman"/>
                <w:sz w:val="17"/>
                <w:szCs w:val="17"/>
              </w:rPr>
            </w:pPr>
            <w:r w:rsidRPr="00505E82">
              <w:rPr>
                <w:rFonts w:ascii="Times New Roman"/>
                <w:w w:val="105"/>
                <w:sz w:val="17"/>
              </w:rPr>
              <w:t>1979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9"/>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Maria</w:t>
            </w:r>
            <w:r w:rsidRPr="00505E82">
              <w:rPr>
                <w:rFonts w:ascii="Times New Roman"/>
                <w:i/>
                <w:spacing w:val="-21"/>
                <w:w w:val="105"/>
                <w:sz w:val="17"/>
              </w:rPr>
              <w:t xml:space="preserve"> </w:t>
            </w:r>
            <w:r w:rsidRPr="00505E82">
              <w:rPr>
                <w:rFonts w:ascii="Times New Roman"/>
                <w:i/>
                <w:w w:val="105"/>
                <w:sz w:val="17"/>
              </w:rPr>
              <w:t>Maria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Salvador/BA</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Mariação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Goiânia/GO</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312"/>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52"/>
              <w:ind w:left="86" w:right="128"/>
              <w:rPr>
                <w:rFonts w:ascii="Times New Roman" w:eastAsia="Times New Roman" w:hAnsi="Times New Roman"/>
                <w:sz w:val="17"/>
                <w:szCs w:val="17"/>
              </w:rPr>
            </w:pPr>
            <w:r w:rsidRPr="00505E82">
              <w:rPr>
                <w:rFonts w:ascii="Times New Roman"/>
                <w:i/>
                <w:w w:val="105"/>
                <w:sz w:val="17"/>
              </w:rPr>
              <w:t>MariaMaria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ight="181"/>
              <w:rPr>
                <w:rFonts w:ascii="Times New Roman" w:eastAsia="Times New Roman" w:hAnsi="Times New Roman"/>
                <w:sz w:val="17"/>
                <w:szCs w:val="17"/>
              </w:rPr>
            </w:pPr>
            <w:r w:rsidRPr="00505E82">
              <w:rPr>
                <w:rFonts w:ascii="Times New Roman" w:hAnsi="Times New Roman"/>
                <w:w w:val="105"/>
                <w:sz w:val="17"/>
              </w:rPr>
              <w:t>Brasília/DF</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3" w:right="65"/>
              <w:rPr>
                <w:rFonts w:ascii="Times New Roman" w:eastAsia="Times New Roman" w:hAnsi="Times New Roman"/>
                <w:sz w:val="17"/>
                <w:szCs w:val="17"/>
              </w:rPr>
            </w:pPr>
            <w:r w:rsidRPr="00505E82">
              <w:rPr>
                <w:rFonts w:ascii="Times New Roman"/>
                <w:w w:val="105"/>
                <w:sz w:val="17"/>
              </w:rPr>
              <w:t>1999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11"/>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86" w:right="128"/>
              <w:rPr>
                <w:rFonts w:ascii="Times New Roman" w:eastAsia="Times New Roman" w:hAnsi="Times New Roman"/>
                <w:sz w:val="17"/>
                <w:szCs w:val="17"/>
              </w:rPr>
            </w:pP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3" w:right="65"/>
              <w:rPr>
                <w:rFonts w:ascii="Times New Roman" w:eastAsia="Times New Roman" w:hAnsi="Times New Roman"/>
                <w:sz w:val="17"/>
                <w:szCs w:val="17"/>
              </w:rPr>
            </w:pPr>
            <w:r w:rsidRPr="00505E82">
              <w:rPr>
                <w:rFonts w:ascii="Times New Roman"/>
                <w:w w:val="105"/>
                <w:sz w:val="17"/>
              </w:rPr>
              <w:t>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8"/>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9"/>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Natal/RN</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41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00"/>
              <w:ind w:left="86" w:right="128"/>
              <w:rPr>
                <w:rFonts w:ascii="Times New Roman" w:eastAsia="Times New Roman" w:hAnsi="Times New Roman"/>
                <w:sz w:val="17"/>
                <w:szCs w:val="17"/>
              </w:rPr>
            </w:pPr>
            <w:r w:rsidRPr="00505E82">
              <w:rPr>
                <w:rFonts w:ascii="Times New Roman"/>
                <w:i/>
                <w:w w:val="105"/>
                <w:sz w:val="17"/>
              </w:rPr>
              <w:t>Mulher</w:t>
            </w:r>
            <w:r w:rsidRPr="00505E82">
              <w:rPr>
                <w:rFonts w:ascii="Times New Roman"/>
                <w:i/>
                <w:spacing w:val="-19"/>
                <w:w w:val="105"/>
                <w:sz w:val="17"/>
              </w:rPr>
              <w:t xml:space="preserve"> </w:t>
            </w:r>
            <w:r w:rsidRPr="00505E82">
              <w:rPr>
                <w:rFonts w:ascii="Times New Roman"/>
                <w:i/>
                <w:w w:val="105"/>
                <w:sz w:val="17"/>
              </w:rPr>
              <w:t>ABC</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315"/>
              <w:rPr>
                <w:rFonts w:ascii="Times New Roman" w:eastAsia="Times New Roman" w:hAnsi="Times New Roman"/>
                <w:sz w:val="17"/>
                <w:szCs w:val="17"/>
              </w:rPr>
            </w:pPr>
            <w:r w:rsidRPr="00505E82">
              <w:rPr>
                <w:rFonts w:ascii="Times New Roman" w:hAnsi="Times New Roman"/>
                <w:w w:val="105"/>
                <w:sz w:val="17"/>
              </w:rPr>
              <w:t>São Bernardo</w:t>
            </w:r>
            <w:r w:rsidRPr="00505E82">
              <w:rPr>
                <w:rFonts w:ascii="Times New Roman" w:hAnsi="Times New Roman"/>
                <w:spacing w:val="-23"/>
                <w:w w:val="105"/>
                <w:sz w:val="17"/>
              </w:rPr>
              <w:t xml:space="preserve"> </w:t>
            </w:r>
            <w:r w:rsidRPr="00505E82">
              <w:rPr>
                <w:rFonts w:ascii="Times New Roman" w:hAnsi="Times New Roman"/>
                <w:w w:val="105"/>
                <w:sz w:val="17"/>
              </w:rPr>
              <w:t>do Campo/SP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2" w:right="65"/>
              <w:rPr>
                <w:rFonts w:ascii="Times New Roman" w:eastAsia="Times New Roman" w:hAnsi="Times New Roman"/>
                <w:sz w:val="17"/>
                <w:szCs w:val="17"/>
              </w:rPr>
            </w:pPr>
            <w:r w:rsidRPr="00505E82">
              <w:rPr>
                <w:rFonts w:ascii="Times New Roman"/>
                <w:w w:val="105"/>
                <w:sz w:val="17"/>
              </w:rPr>
              <w:t>1980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260"/>
              <w:rPr>
                <w:rFonts w:ascii="Times New Roman" w:eastAsia="Times New Roman" w:hAnsi="Times New Roman"/>
                <w:sz w:val="17"/>
                <w:szCs w:val="17"/>
              </w:rPr>
            </w:pPr>
            <w:r w:rsidRPr="00505E82">
              <w:rPr>
                <w:rFonts w:ascii="Times New Roman"/>
                <w:spacing w:val="-1"/>
                <w:w w:val="105"/>
                <w:sz w:val="17"/>
              </w:rPr>
              <w:t xml:space="preserve">noticioso- </w:t>
            </w:r>
            <w:r w:rsidRPr="00505E82">
              <w:rPr>
                <w:rFonts w:ascii="Times New Roman"/>
                <w:sz w:val="17"/>
              </w:rPr>
              <w:t>comercial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eastAsia="Times New Roman" w:hAnsi="Times New Roman"/>
                <w:i/>
                <w:w w:val="105"/>
                <w:sz w:val="17"/>
                <w:szCs w:val="17"/>
              </w:rPr>
              <w:lastRenderedPageBreak/>
              <w:t>Mulher –</w:t>
            </w:r>
            <w:r w:rsidRPr="00505E82">
              <w:rPr>
                <w:rFonts w:ascii="Times New Roman" w:eastAsia="Times New Roman" w:hAnsi="Times New Roman"/>
                <w:i/>
                <w:spacing w:val="-32"/>
                <w:w w:val="105"/>
                <w:sz w:val="17"/>
                <w:szCs w:val="17"/>
              </w:rPr>
              <w:t xml:space="preserve"> </w:t>
            </w:r>
            <w:r w:rsidRPr="00505E82">
              <w:rPr>
                <w:rFonts w:ascii="Times New Roman" w:eastAsia="Times New Roman" w:hAnsi="Times New Roman"/>
                <w:i/>
                <w:w w:val="105"/>
                <w:sz w:val="17"/>
                <w:szCs w:val="17"/>
              </w:rPr>
              <w:t>Libertação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spacing w:val="-3"/>
                <w:w w:val="105"/>
                <w:sz w:val="17"/>
              </w:rPr>
              <w:t>Lins/SP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religioso</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Mulher e</w:t>
            </w:r>
            <w:r w:rsidRPr="00505E82">
              <w:rPr>
                <w:rFonts w:ascii="Times New Roman" w:hAnsi="Times New Roman"/>
                <w:i/>
                <w:spacing w:val="-20"/>
                <w:w w:val="105"/>
                <w:sz w:val="17"/>
              </w:rPr>
              <w:t xml:space="preserve"> </w:t>
            </w:r>
            <w:r w:rsidRPr="00505E82">
              <w:rPr>
                <w:rFonts w:ascii="Times New Roman" w:hAnsi="Times New Roman"/>
                <w:i/>
                <w:w w:val="105"/>
                <w:sz w:val="17"/>
              </w:rPr>
              <w:t>Saúde</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Mulher e</w:t>
            </w:r>
            <w:r w:rsidRPr="00505E82">
              <w:rPr>
                <w:rFonts w:ascii="Times New Roman" w:hAnsi="Times New Roman"/>
                <w:i/>
                <w:spacing w:val="-20"/>
                <w:w w:val="105"/>
                <w:sz w:val="17"/>
              </w:rPr>
              <w:t xml:space="preserve"> </w:t>
            </w:r>
            <w:r w:rsidRPr="00505E82">
              <w:rPr>
                <w:rFonts w:ascii="Times New Roman" w:hAnsi="Times New Roman"/>
                <w:i/>
                <w:w w:val="105"/>
                <w:sz w:val="17"/>
              </w:rPr>
              <w:t>Saúde</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Cuiabá/MT</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Mulher Liberta</w:t>
            </w:r>
            <w:r w:rsidRPr="00505E82">
              <w:rPr>
                <w:rFonts w:ascii="Times New Roman"/>
                <w:i/>
                <w:spacing w:val="-34"/>
                <w:w w:val="105"/>
                <w:sz w:val="17"/>
              </w:rPr>
              <w:t xml:space="preserve"> </w:t>
            </w:r>
            <w:r w:rsidRPr="00505E82">
              <w:rPr>
                <w:rFonts w:asci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Porto</w:t>
            </w:r>
            <w:r w:rsidRPr="00505E82">
              <w:rPr>
                <w:rFonts w:ascii="Times New Roman"/>
                <w:spacing w:val="-28"/>
                <w:w w:val="105"/>
                <w:sz w:val="17"/>
              </w:rPr>
              <w:t xml:space="preserve"> </w:t>
            </w:r>
            <w:r w:rsidRPr="00505E82">
              <w:rPr>
                <w:rFonts w:ascii="Times New Roman"/>
                <w:w w:val="105"/>
                <w:sz w:val="17"/>
              </w:rPr>
              <w:t>Alegre/RS</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257"/>
        </w:trPr>
        <w:tc>
          <w:tcPr>
            <w:tcW w:w="5448" w:type="dxa"/>
            <w:tcBorders>
              <w:top w:val="single" w:sz="4" w:space="0" w:color="000000"/>
              <w:left w:val="nil"/>
              <w:bottom w:val="single" w:sz="2"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Mulher</w:t>
            </w:r>
            <w:r w:rsidRPr="00505E82">
              <w:rPr>
                <w:rFonts w:ascii="Times New Roman" w:hAnsi="Times New Roman"/>
                <w:i/>
                <w:spacing w:val="-23"/>
                <w:w w:val="105"/>
                <w:sz w:val="17"/>
              </w:rPr>
              <w:t xml:space="preserve"> </w:t>
            </w:r>
            <w:r w:rsidRPr="00505E82">
              <w:rPr>
                <w:rFonts w:ascii="Times New Roman" w:hAnsi="Times New Roman"/>
                <w:i/>
                <w:w w:val="105"/>
                <w:sz w:val="17"/>
              </w:rPr>
              <w:t>Notícias</w:t>
            </w:r>
          </w:p>
        </w:tc>
        <w:tc>
          <w:tcPr>
            <w:tcW w:w="1579"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sz w:val="17"/>
              </w:rPr>
              <w:t>Belo</w:t>
            </w:r>
            <w:r w:rsidRPr="00505E82">
              <w:rPr>
                <w:rFonts w:ascii="Times New Roman"/>
                <w:spacing w:val="32"/>
                <w:sz w:val="17"/>
              </w:rPr>
              <w:t xml:space="preserve"> </w:t>
            </w:r>
            <w:r w:rsidRPr="00505E82">
              <w:rPr>
                <w:rFonts w:ascii="Times New Roman"/>
                <w:sz w:val="17"/>
              </w:rPr>
              <w:t>Horizonte/MG</w:t>
            </w:r>
          </w:p>
        </w:tc>
        <w:tc>
          <w:tcPr>
            <w:tcW w:w="934"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1987</w:t>
            </w:r>
          </w:p>
        </w:tc>
        <w:tc>
          <w:tcPr>
            <w:tcW w:w="85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7"/>
        </w:trPr>
        <w:tc>
          <w:tcPr>
            <w:tcW w:w="5448" w:type="dxa"/>
            <w:tcBorders>
              <w:top w:val="single" w:sz="2"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Mulher</w:t>
            </w:r>
            <w:r w:rsidRPr="00505E82">
              <w:rPr>
                <w:rFonts w:ascii="Times New Roman"/>
                <w:i/>
                <w:spacing w:val="-32"/>
                <w:w w:val="105"/>
                <w:sz w:val="17"/>
              </w:rPr>
              <w:t xml:space="preserve"> </w:t>
            </w:r>
            <w:r w:rsidRPr="00505E82">
              <w:rPr>
                <w:rFonts w:ascii="Times New Roman"/>
                <w:i/>
                <w:w w:val="105"/>
                <w:sz w:val="17"/>
              </w:rPr>
              <w:t>Paulista</w:t>
            </w:r>
          </w:p>
        </w:tc>
        <w:tc>
          <w:tcPr>
            <w:tcW w:w="1579"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1981</w:t>
            </w:r>
          </w:p>
        </w:tc>
        <w:tc>
          <w:tcPr>
            <w:tcW w:w="85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62"/>
        </w:trPr>
        <w:tc>
          <w:tcPr>
            <w:tcW w:w="5448" w:type="dxa"/>
            <w:tcBorders>
              <w:top w:val="single" w:sz="4" w:space="0" w:color="000000"/>
              <w:left w:val="nil"/>
              <w:bottom w:val="single" w:sz="2"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sz w:val="17"/>
              </w:rPr>
              <w:t>Mulher</w:t>
            </w:r>
            <w:r w:rsidRPr="00505E82">
              <w:rPr>
                <w:rFonts w:ascii="Times New Roman"/>
                <w:i/>
                <w:spacing w:val="40"/>
                <w:sz w:val="17"/>
              </w:rPr>
              <w:t xml:space="preserve"> </w:t>
            </w:r>
            <w:r w:rsidRPr="00505E82">
              <w:rPr>
                <w:rFonts w:ascii="Times New Roman"/>
                <w:i/>
                <w:sz w:val="17"/>
              </w:rPr>
              <w:t>Pernambucana</w:t>
            </w:r>
          </w:p>
        </w:tc>
        <w:tc>
          <w:tcPr>
            <w:tcW w:w="1579"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Recife/PE</w:t>
            </w:r>
          </w:p>
        </w:tc>
        <w:tc>
          <w:tcPr>
            <w:tcW w:w="934"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410"/>
        </w:trPr>
        <w:tc>
          <w:tcPr>
            <w:tcW w:w="5448" w:type="dxa"/>
            <w:tcBorders>
              <w:top w:val="single" w:sz="2"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00"/>
              <w:ind w:left="86" w:right="128"/>
              <w:rPr>
                <w:rFonts w:ascii="Times New Roman" w:eastAsia="Times New Roman" w:hAnsi="Times New Roman"/>
                <w:sz w:val="17"/>
                <w:szCs w:val="17"/>
              </w:rPr>
            </w:pPr>
            <w:r w:rsidRPr="00505E82">
              <w:rPr>
                <w:rFonts w:ascii="Times New Roman"/>
                <w:i/>
                <w:w w:val="105"/>
                <w:sz w:val="17"/>
              </w:rPr>
              <w:t>Mulheres</w:t>
            </w:r>
          </w:p>
        </w:tc>
        <w:tc>
          <w:tcPr>
            <w:tcW w:w="1579"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3" w:right="65"/>
              <w:rPr>
                <w:rFonts w:ascii="Times New Roman" w:eastAsia="Times New Roman" w:hAnsi="Times New Roman"/>
                <w:sz w:val="17"/>
                <w:szCs w:val="17"/>
              </w:rPr>
            </w:pPr>
            <w:r w:rsidRPr="00505E82">
              <w:rPr>
                <w:rFonts w:ascii="Times New Roman"/>
                <w:w w:val="105"/>
                <w:sz w:val="17"/>
              </w:rPr>
              <w:t>1984</w:t>
            </w:r>
          </w:p>
        </w:tc>
        <w:tc>
          <w:tcPr>
            <w:tcW w:w="85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ight="308"/>
              <w:rPr>
                <w:rFonts w:ascii="Times New Roman" w:eastAsia="Times New Roman" w:hAnsi="Times New Roman"/>
                <w:sz w:val="17"/>
                <w:szCs w:val="17"/>
              </w:rPr>
            </w:pPr>
            <w:r w:rsidRPr="00505E82">
              <w:rPr>
                <w:rFonts w:ascii="Times New Roman" w:hAnsi="Times New Roman"/>
                <w:spacing w:val="-1"/>
                <w:w w:val="105"/>
                <w:sz w:val="17"/>
              </w:rPr>
              <w:t>variados- educação</w:t>
            </w:r>
          </w:p>
        </w:tc>
      </w:tr>
      <w:tr w:rsidR="00CC7D10" w:rsidTr="00505E82">
        <w:trPr>
          <w:trHeight w:hRule="exact" w:val="27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33"/>
              <w:ind w:left="86" w:right="128"/>
              <w:rPr>
                <w:rFonts w:ascii="Times New Roman" w:eastAsia="Times New Roman" w:hAnsi="Times New Roman"/>
                <w:sz w:val="17"/>
                <w:szCs w:val="17"/>
              </w:rPr>
            </w:pPr>
            <w:r w:rsidRPr="00505E82">
              <w:rPr>
                <w:rFonts w:ascii="Times New Roman"/>
                <w:i/>
                <w:w w:val="105"/>
                <w:sz w:val="17"/>
              </w:rPr>
              <w:t xml:space="preserve">Mulheres </w:t>
            </w:r>
            <w:r w:rsidRPr="00505E82">
              <w:rPr>
                <w:rFonts w:ascii="Times New Roman"/>
                <w:i/>
                <w:spacing w:val="-4"/>
                <w:w w:val="105"/>
                <w:sz w:val="17"/>
              </w:rPr>
              <w:t>em</w:t>
            </w:r>
            <w:r w:rsidRPr="00505E82">
              <w:rPr>
                <w:rFonts w:ascii="Times New Roman"/>
                <w:i/>
                <w:spacing w:val="-21"/>
                <w:w w:val="105"/>
                <w:sz w:val="17"/>
              </w:rPr>
              <w:t xml:space="preserve"> </w:t>
            </w:r>
            <w:r w:rsidRPr="00505E82">
              <w:rPr>
                <w:rFonts w:ascii="Times New Roman"/>
                <w:i/>
                <w:w w:val="105"/>
                <w:sz w:val="17"/>
              </w:rPr>
              <w:t>Luta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7" w:right="181"/>
              <w:rPr>
                <w:rFonts w:ascii="Times New Roman" w:eastAsia="Times New Roman" w:hAnsi="Times New Roman"/>
                <w:sz w:val="17"/>
                <w:szCs w:val="17"/>
              </w:rPr>
            </w:pPr>
            <w:r w:rsidRPr="00505E82">
              <w:rPr>
                <w:rFonts w:ascii="Times New Roman"/>
                <w:w w:val="105"/>
                <w:sz w:val="17"/>
              </w:rPr>
              <w:t>Diadema/SP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3" w:right="65"/>
              <w:rPr>
                <w:rFonts w:ascii="Times New Roman" w:eastAsia="Times New Roman" w:hAnsi="Times New Roman"/>
                <w:sz w:val="17"/>
                <w:szCs w:val="17"/>
              </w:rPr>
            </w:pPr>
            <w:r w:rsidRPr="00505E82">
              <w:rPr>
                <w:rFonts w:ascii="Times New Roman"/>
                <w:w w:val="105"/>
                <w:sz w:val="17"/>
              </w:rPr>
              <w:t>1991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3"/>
              <w:ind w:left="67"/>
              <w:rPr>
                <w:rFonts w:ascii="Times New Roman" w:eastAsia="Times New Roman" w:hAnsi="Times New Roman"/>
                <w:sz w:val="17"/>
                <w:szCs w:val="17"/>
              </w:rPr>
            </w:pPr>
            <w:r w:rsidRPr="00505E82">
              <w:rPr>
                <w:rFonts w:ascii="Times New Roman"/>
                <w:w w:val="105"/>
                <w:sz w:val="17"/>
              </w:rPr>
              <w:t>estatal</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 xml:space="preserve">Mulher </w:t>
            </w:r>
            <w:r w:rsidRPr="00505E82">
              <w:rPr>
                <w:rFonts w:ascii="Times New Roman"/>
                <w:i/>
                <w:spacing w:val="-4"/>
                <w:w w:val="105"/>
                <w:sz w:val="17"/>
              </w:rPr>
              <w:t>em</w:t>
            </w:r>
            <w:r w:rsidRPr="00505E82">
              <w:rPr>
                <w:rFonts w:ascii="Times New Roman"/>
                <w:i/>
                <w:spacing w:val="-28"/>
                <w:w w:val="105"/>
                <w:sz w:val="17"/>
              </w:rPr>
              <w:t xml:space="preserve"> </w:t>
            </w:r>
            <w:r w:rsidRPr="00505E82">
              <w:rPr>
                <w:rFonts w:ascii="Times New Roman"/>
                <w:i/>
                <w:w w:val="105"/>
                <w:sz w:val="17"/>
              </w:rPr>
              <w:t>Movimento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Salvador/BA</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trabalho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 xml:space="preserve">Mulheres </w:t>
            </w:r>
            <w:r w:rsidRPr="00505E82">
              <w:rPr>
                <w:rFonts w:ascii="Times New Roman"/>
                <w:i/>
                <w:spacing w:val="-4"/>
                <w:w w:val="105"/>
                <w:sz w:val="17"/>
              </w:rPr>
              <w:t>em</w:t>
            </w:r>
            <w:r w:rsidRPr="00505E82">
              <w:rPr>
                <w:rFonts w:ascii="Times New Roman"/>
                <w:i/>
                <w:spacing w:val="-32"/>
                <w:w w:val="105"/>
                <w:sz w:val="17"/>
              </w:rPr>
              <w:t xml:space="preserve"> </w:t>
            </w:r>
            <w:r w:rsidRPr="00505E82">
              <w:rPr>
                <w:rFonts w:ascii="Times New Roman"/>
                <w:i/>
                <w:w w:val="105"/>
                <w:sz w:val="17"/>
              </w:rPr>
              <w:t>Movimento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Santo</w:t>
            </w:r>
            <w:r w:rsidRPr="00505E82">
              <w:rPr>
                <w:rFonts w:ascii="Times New Roman" w:hAnsi="Times New Roman"/>
                <w:spacing w:val="-31"/>
                <w:w w:val="105"/>
                <w:sz w:val="17"/>
              </w:rPr>
              <w:t xml:space="preserve"> </w:t>
            </w:r>
            <w:r w:rsidRPr="00505E82">
              <w:rPr>
                <w:rFonts w:ascii="Times New Roman" w:hAnsi="Times New Roman"/>
                <w:w w:val="105"/>
                <w:sz w:val="17"/>
              </w:rPr>
              <w:t>André/SP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Mulherio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312"/>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52"/>
              <w:ind w:left="86" w:right="128"/>
              <w:rPr>
                <w:rFonts w:ascii="Times New Roman" w:eastAsia="Times New Roman" w:hAnsi="Times New Roman"/>
                <w:sz w:val="17"/>
                <w:szCs w:val="17"/>
              </w:rPr>
            </w:pPr>
            <w:r w:rsidRPr="00505E82">
              <w:rPr>
                <w:rFonts w:ascii="Times New Roman" w:hAnsi="Times New Roman"/>
                <w:i/>
                <w:w w:val="105"/>
                <w:sz w:val="17"/>
              </w:rPr>
              <w:t>NEM-</w:t>
            </w:r>
            <w:r w:rsidRPr="00505E82">
              <w:rPr>
                <w:rFonts w:ascii="Times New Roman" w:hAnsi="Times New Roman"/>
                <w:i/>
                <w:spacing w:val="-13"/>
                <w:w w:val="105"/>
                <w:sz w:val="17"/>
              </w:rPr>
              <w:t xml:space="preserve"> </w:t>
            </w:r>
            <w:r w:rsidRPr="00505E82">
              <w:rPr>
                <w:rFonts w:ascii="Times New Roman" w:hAnsi="Times New Roman"/>
                <w:i/>
                <w:w w:val="105"/>
                <w:sz w:val="17"/>
              </w:rPr>
              <w:t>Núcleo</w:t>
            </w:r>
            <w:r w:rsidRPr="00505E82">
              <w:rPr>
                <w:rFonts w:ascii="Times New Roman" w:hAnsi="Times New Roman"/>
                <w:i/>
                <w:spacing w:val="-9"/>
                <w:w w:val="105"/>
                <w:sz w:val="17"/>
              </w:rPr>
              <w:t xml:space="preserve"> </w:t>
            </w:r>
            <w:r w:rsidRPr="00505E82">
              <w:rPr>
                <w:rFonts w:ascii="Times New Roman" w:hAnsi="Times New Roman"/>
                <w:i/>
                <w:spacing w:val="3"/>
                <w:w w:val="105"/>
                <w:sz w:val="17"/>
              </w:rPr>
              <w:t>de</w:t>
            </w:r>
            <w:r w:rsidRPr="00505E82">
              <w:rPr>
                <w:rFonts w:ascii="Times New Roman" w:hAnsi="Times New Roman"/>
                <w:i/>
                <w:spacing w:val="-14"/>
                <w:w w:val="105"/>
                <w:sz w:val="17"/>
              </w:rPr>
              <w:t xml:space="preserve"> </w:t>
            </w:r>
            <w:r w:rsidRPr="00505E82">
              <w:rPr>
                <w:rFonts w:ascii="Times New Roman" w:hAnsi="Times New Roman"/>
                <w:i/>
                <w:w w:val="105"/>
                <w:sz w:val="17"/>
              </w:rPr>
              <w:t>Estudos</w:t>
            </w:r>
            <w:r w:rsidRPr="00505E82">
              <w:rPr>
                <w:rFonts w:ascii="Times New Roman" w:hAnsi="Times New Roman"/>
                <w:i/>
                <w:spacing w:val="-13"/>
                <w:w w:val="105"/>
                <w:sz w:val="17"/>
              </w:rPr>
              <w:t xml:space="preserve"> </w:t>
            </w:r>
            <w:r w:rsidRPr="00505E82">
              <w:rPr>
                <w:rFonts w:ascii="Times New Roman" w:hAnsi="Times New Roman"/>
                <w:i/>
                <w:w w:val="105"/>
                <w:sz w:val="17"/>
              </w:rPr>
              <w:t>sobre</w:t>
            </w:r>
            <w:r w:rsidRPr="00505E82">
              <w:rPr>
                <w:rFonts w:ascii="Times New Roman" w:hAnsi="Times New Roman"/>
                <w:i/>
                <w:spacing w:val="-14"/>
                <w:w w:val="105"/>
                <w:sz w:val="17"/>
              </w:rPr>
              <w:t xml:space="preserve"> </w:t>
            </w:r>
            <w:r w:rsidRPr="00505E82">
              <w:rPr>
                <w:rFonts w:ascii="Times New Roman" w:hAnsi="Times New Roman"/>
                <w:i/>
                <w:w w:val="105"/>
                <w:sz w:val="17"/>
              </w:rPr>
              <w:t>a</w:t>
            </w:r>
            <w:r w:rsidRPr="00505E82">
              <w:rPr>
                <w:rFonts w:ascii="Times New Roman" w:hAnsi="Times New Roman"/>
                <w:i/>
                <w:spacing w:val="-5"/>
                <w:w w:val="105"/>
                <w:sz w:val="17"/>
              </w:rPr>
              <w:t xml:space="preserve"> </w:t>
            </w:r>
            <w:r w:rsidRPr="00505E82">
              <w:rPr>
                <w:rFonts w:ascii="Times New Roman" w:hAns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ight="181"/>
              <w:rPr>
                <w:rFonts w:ascii="Times New Roman" w:eastAsia="Times New Roman" w:hAnsi="Times New Roman"/>
                <w:sz w:val="17"/>
                <w:szCs w:val="17"/>
              </w:rPr>
            </w:pPr>
            <w:r w:rsidRPr="00505E82">
              <w:rPr>
                <w:rFonts w:ascii="Times New Roman"/>
                <w:w w:val="105"/>
                <w:sz w:val="17"/>
              </w:rPr>
              <w:t>Rio de</w:t>
            </w:r>
            <w:r w:rsidRPr="00505E82">
              <w:rPr>
                <w:rFonts w:ascii="Times New Roman"/>
                <w:spacing w:val="-32"/>
                <w:w w:val="105"/>
                <w:sz w:val="17"/>
              </w:rPr>
              <w:t xml:space="preserve"> </w:t>
            </w:r>
            <w:r w:rsidRPr="00505E82">
              <w:rPr>
                <w:rFonts w:ascii="Times New Roman"/>
                <w:w w:val="105"/>
                <w:sz w:val="17"/>
              </w:rPr>
              <w:t>Janeiro/RJ</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3" w:right="65"/>
              <w:rPr>
                <w:rFonts w:ascii="Times New Roman" w:eastAsia="Times New Roman" w:hAnsi="Times New Roman"/>
                <w:sz w:val="17"/>
                <w:szCs w:val="17"/>
              </w:rPr>
            </w:pPr>
            <w:r w:rsidRPr="00505E82">
              <w:rPr>
                <w:rFonts w:ascii="Times New Roman"/>
                <w:w w:val="105"/>
                <w:sz w:val="17"/>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52"/>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Nexo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2"/>
        </w:trPr>
        <w:tc>
          <w:tcPr>
            <w:tcW w:w="5448" w:type="dxa"/>
            <w:tcBorders>
              <w:top w:val="single" w:sz="4" w:space="0" w:color="000000"/>
              <w:left w:val="nil"/>
              <w:bottom w:val="single" w:sz="2" w:space="0" w:color="000000"/>
              <w:right w:val="single" w:sz="4" w:space="0" w:color="000000"/>
            </w:tcBorders>
            <w:shd w:val="clear" w:color="auto" w:fill="auto"/>
          </w:tcPr>
          <w:p w:rsidR="00CC7D10" w:rsidRPr="00505E82" w:rsidRDefault="00CC7D10" w:rsidP="00505E82">
            <w:pPr>
              <w:pStyle w:val="TableParagraph"/>
              <w:spacing w:before="19"/>
              <w:ind w:left="86" w:right="128"/>
              <w:rPr>
                <w:rFonts w:ascii="Times New Roman" w:eastAsia="Times New Roman" w:hAnsi="Times New Roman"/>
                <w:sz w:val="17"/>
                <w:szCs w:val="17"/>
              </w:rPr>
            </w:pPr>
            <w:r w:rsidRPr="00505E82">
              <w:rPr>
                <w:rFonts w:ascii="Times New Roman" w:hAnsi="Times New Roman"/>
                <w:i/>
                <w:w w:val="105"/>
                <w:sz w:val="17"/>
              </w:rPr>
              <w:t>Nós e</w:t>
            </w:r>
            <w:r w:rsidRPr="00505E82">
              <w:rPr>
                <w:rFonts w:ascii="Times New Roman" w:hAnsi="Times New Roman"/>
                <w:i/>
                <w:spacing w:val="-34"/>
                <w:w w:val="105"/>
                <w:sz w:val="17"/>
              </w:rPr>
              <w:t xml:space="preserve"> </w:t>
            </w:r>
            <w:r w:rsidRPr="00505E82">
              <w:rPr>
                <w:rFonts w:ascii="Times New Roman" w:hAnsi="Times New Roman"/>
                <w:i/>
                <w:w w:val="105"/>
                <w:sz w:val="17"/>
              </w:rPr>
              <w:t>a Constituinte</w:t>
            </w:r>
          </w:p>
        </w:tc>
        <w:tc>
          <w:tcPr>
            <w:tcW w:w="1579"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19"/>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19"/>
              <w:ind w:left="63" w:right="65"/>
              <w:rPr>
                <w:rFonts w:ascii="Times New Roman" w:eastAsia="Times New Roman" w:hAnsi="Times New Roman"/>
                <w:sz w:val="17"/>
                <w:szCs w:val="17"/>
              </w:rPr>
            </w:pPr>
            <w:r w:rsidRPr="00505E82">
              <w:rPr>
                <w:rFonts w:ascii="Times New Roman"/>
                <w:w w:val="105"/>
                <w:sz w:val="17"/>
              </w:rPr>
              <w:t>1986</w:t>
            </w:r>
          </w:p>
        </w:tc>
        <w:tc>
          <w:tcPr>
            <w:tcW w:w="85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2" w:space="0" w:color="000000"/>
              <w:right w:val="single" w:sz="4" w:space="0" w:color="000000"/>
            </w:tcBorders>
            <w:shd w:val="clear" w:color="auto" w:fill="auto"/>
          </w:tcPr>
          <w:p w:rsidR="00CC7D10" w:rsidRPr="00505E82" w:rsidRDefault="00CC7D10" w:rsidP="00505E82">
            <w:pPr>
              <w:pStyle w:val="TableParagraph"/>
              <w:spacing w:before="19"/>
              <w:ind w:left="67"/>
              <w:rPr>
                <w:rFonts w:ascii="Times New Roman" w:eastAsia="Times New Roman" w:hAnsi="Times New Roman"/>
                <w:sz w:val="17"/>
                <w:szCs w:val="17"/>
              </w:rPr>
            </w:pPr>
            <w:r w:rsidRPr="00505E82">
              <w:rPr>
                <w:rFonts w:ascii="Times New Roman"/>
                <w:w w:val="105"/>
                <w:sz w:val="17"/>
              </w:rPr>
              <w:t>legislativo</w:t>
            </w:r>
          </w:p>
        </w:tc>
      </w:tr>
      <w:tr w:rsidR="00CC7D10" w:rsidTr="00505E82">
        <w:trPr>
          <w:trHeight w:hRule="exact" w:val="257"/>
        </w:trPr>
        <w:tc>
          <w:tcPr>
            <w:tcW w:w="5448" w:type="dxa"/>
            <w:tcBorders>
              <w:top w:val="single" w:sz="2"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Nosotras</w:t>
            </w:r>
          </w:p>
        </w:tc>
        <w:tc>
          <w:tcPr>
            <w:tcW w:w="1579"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Paris/França</w:t>
            </w:r>
          </w:p>
        </w:tc>
        <w:tc>
          <w:tcPr>
            <w:tcW w:w="934"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1975</w:t>
            </w:r>
          </w:p>
        </w:tc>
        <w:tc>
          <w:tcPr>
            <w:tcW w:w="85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2"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Nosso</w:t>
            </w:r>
            <w:r w:rsidRPr="00505E82">
              <w:rPr>
                <w:rFonts w:ascii="Times New Roman"/>
                <w:i/>
                <w:spacing w:val="-19"/>
                <w:w w:val="105"/>
                <w:sz w:val="17"/>
              </w:rPr>
              <w:t xml:space="preserve"> </w:t>
            </w:r>
            <w:r w:rsidRPr="00505E82">
              <w:rPr>
                <w:rFonts w:ascii="Times New Roman"/>
                <w:i/>
                <w:w w:val="105"/>
                <w:sz w:val="17"/>
              </w:rPr>
              <w:t>Elo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religioso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Nós</w:t>
            </w:r>
            <w:r w:rsidRPr="00505E82">
              <w:rPr>
                <w:rFonts w:ascii="Times New Roman" w:hAnsi="Times New Roman"/>
                <w:i/>
                <w:spacing w:val="-23"/>
                <w:w w:val="105"/>
                <w:sz w:val="17"/>
              </w:rPr>
              <w:t xml:space="preserve"> </w:t>
            </w:r>
            <w:r w:rsidRPr="00505E82">
              <w:rPr>
                <w:rFonts w:ascii="Times New Roman" w:hAnsi="Times New Roman"/>
                <w:i/>
                <w:w w:val="105"/>
                <w:sz w:val="17"/>
              </w:rPr>
              <w:t>Mulheres</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primeira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9"/>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spacing w:val="-3"/>
                <w:w w:val="105"/>
                <w:sz w:val="17"/>
              </w:rPr>
              <w:t>Núcleo</w:t>
            </w:r>
            <w:r w:rsidRPr="00505E82">
              <w:rPr>
                <w:rFonts w:ascii="Times New Roman" w:hAnsi="Times New Roman"/>
                <w:i/>
                <w:spacing w:val="-4"/>
                <w:w w:val="105"/>
                <w:sz w:val="17"/>
              </w:rPr>
              <w:t xml:space="preserve"> </w:t>
            </w:r>
            <w:r w:rsidRPr="00505E82">
              <w:rPr>
                <w:rFonts w:ascii="Times New Roman" w:hAnsi="Times New Roman"/>
                <w:i/>
                <w:spacing w:val="3"/>
                <w:w w:val="105"/>
                <w:sz w:val="17"/>
              </w:rPr>
              <w:t>de</w:t>
            </w:r>
            <w:r w:rsidRPr="00505E82">
              <w:rPr>
                <w:rFonts w:ascii="Times New Roman" w:hAnsi="Times New Roman"/>
                <w:i/>
                <w:spacing w:val="-13"/>
                <w:w w:val="105"/>
                <w:sz w:val="17"/>
              </w:rPr>
              <w:t xml:space="preserve"> </w:t>
            </w:r>
            <w:r w:rsidRPr="00505E82">
              <w:rPr>
                <w:rFonts w:ascii="Times New Roman" w:hAnsi="Times New Roman"/>
                <w:i/>
                <w:w w:val="105"/>
                <w:sz w:val="17"/>
              </w:rPr>
              <w:t>Estudos</w:t>
            </w:r>
            <w:r w:rsidRPr="00505E82">
              <w:rPr>
                <w:rFonts w:ascii="Times New Roman" w:hAnsi="Times New Roman"/>
                <w:i/>
                <w:spacing w:val="-12"/>
                <w:w w:val="105"/>
                <w:sz w:val="17"/>
              </w:rPr>
              <w:t xml:space="preserve"> </w:t>
            </w:r>
            <w:r w:rsidRPr="00505E82">
              <w:rPr>
                <w:rFonts w:ascii="Times New Roman" w:hAnsi="Times New Roman"/>
                <w:i/>
                <w:w w:val="105"/>
                <w:sz w:val="17"/>
              </w:rPr>
              <w:t>e</w:t>
            </w:r>
            <w:r w:rsidRPr="00505E82">
              <w:rPr>
                <w:rFonts w:ascii="Times New Roman" w:hAnsi="Times New Roman"/>
                <w:i/>
                <w:spacing w:val="-13"/>
                <w:w w:val="105"/>
                <w:sz w:val="17"/>
              </w:rPr>
              <w:t xml:space="preserve"> </w:t>
            </w:r>
            <w:r w:rsidRPr="00505E82">
              <w:rPr>
                <w:rFonts w:ascii="Times New Roman" w:hAnsi="Times New Roman"/>
                <w:i/>
                <w:w w:val="105"/>
                <w:sz w:val="17"/>
              </w:rPr>
              <w:t>Pesquisas</w:t>
            </w:r>
            <w:r w:rsidRPr="00505E82">
              <w:rPr>
                <w:rFonts w:ascii="Times New Roman" w:hAnsi="Times New Roman"/>
                <w:i/>
                <w:spacing w:val="-12"/>
                <w:w w:val="105"/>
                <w:sz w:val="17"/>
              </w:rPr>
              <w:t xml:space="preserve"> </w:t>
            </w:r>
            <w:r w:rsidRPr="00505E82">
              <w:rPr>
                <w:rFonts w:ascii="Times New Roman" w:hAnsi="Times New Roman"/>
                <w:i/>
                <w:w w:val="105"/>
                <w:sz w:val="17"/>
              </w:rPr>
              <w:t>sobre</w:t>
            </w:r>
            <w:r w:rsidRPr="00505E82">
              <w:rPr>
                <w:rFonts w:ascii="Times New Roman" w:hAnsi="Times New Roman"/>
                <w:i/>
                <w:spacing w:val="-8"/>
                <w:w w:val="105"/>
                <w:sz w:val="17"/>
              </w:rPr>
              <w:t xml:space="preserve"> </w:t>
            </w:r>
            <w:r w:rsidRPr="00505E82">
              <w:rPr>
                <w:rFonts w:ascii="Times New Roman" w:hAnsi="Times New Roman"/>
                <w:i/>
                <w:w w:val="105"/>
                <w:sz w:val="17"/>
              </w:rPr>
              <w:t>a</w:t>
            </w:r>
            <w:r w:rsidRPr="00505E82">
              <w:rPr>
                <w:rFonts w:ascii="Times New Roman" w:hAnsi="Times New Roman"/>
                <w:i/>
                <w:spacing w:val="-4"/>
                <w:w w:val="105"/>
                <w:sz w:val="17"/>
              </w:rPr>
              <w:t xml:space="preserve"> </w:t>
            </w:r>
            <w:r w:rsidRPr="00505E82">
              <w:rPr>
                <w:rFonts w:ascii="Times New Roman" w:hAns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sz w:val="17"/>
              </w:rPr>
              <w:t>Belo</w:t>
            </w:r>
            <w:r w:rsidRPr="00505E82">
              <w:rPr>
                <w:rFonts w:ascii="Times New Roman"/>
                <w:spacing w:val="32"/>
                <w:sz w:val="17"/>
              </w:rPr>
              <w:t xml:space="preserve"> </w:t>
            </w:r>
            <w:r w:rsidRPr="00505E82">
              <w:rPr>
                <w:rFonts w:ascii="Times New Roman"/>
                <w:sz w:val="17"/>
              </w:rPr>
              <w:t>Horizonte/MG</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41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254" w:lineRule="auto"/>
              <w:ind w:left="86" w:right="128"/>
              <w:rPr>
                <w:rFonts w:ascii="Times New Roman" w:eastAsia="Times New Roman" w:hAnsi="Times New Roman"/>
                <w:sz w:val="17"/>
                <w:szCs w:val="17"/>
              </w:rPr>
            </w:pPr>
            <w:r w:rsidRPr="00505E82">
              <w:rPr>
                <w:rFonts w:ascii="Times New Roman" w:hAnsi="Times New Roman"/>
                <w:i/>
                <w:spacing w:val="-3"/>
                <w:w w:val="105"/>
                <w:sz w:val="17"/>
              </w:rPr>
              <w:t>Núcleo</w:t>
            </w:r>
            <w:r w:rsidRPr="00505E82">
              <w:rPr>
                <w:rFonts w:ascii="Times New Roman" w:hAnsi="Times New Roman"/>
                <w:i/>
                <w:spacing w:val="-1"/>
                <w:w w:val="105"/>
                <w:sz w:val="17"/>
              </w:rPr>
              <w:t xml:space="preserve"> </w:t>
            </w:r>
            <w:r w:rsidRPr="00505E82">
              <w:rPr>
                <w:rFonts w:ascii="Times New Roman" w:hAnsi="Times New Roman"/>
                <w:i/>
                <w:w w:val="105"/>
                <w:sz w:val="17"/>
              </w:rPr>
              <w:t>Mulher</w:t>
            </w:r>
            <w:r w:rsidRPr="00505E82">
              <w:rPr>
                <w:rFonts w:ascii="Times New Roman" w:hAnsi="Times New Roman"/>
                <w:i/>
                <w:spacing w:val="-10"/>
                <w:w w:val="105"/>
                <w:sz w:val="17"/>
              </w:rPr>
              <w:t xml:space="preserve"> </w:t>
            </w:r>
            <w:r w:rsidRPr="00505E82">
              <w:rPr>
                <w:rFonts w:ascii="Times New Roman" w:hAnsi="Times New Roman"/>
                <w:i/>
                <w:w w:val="105"/>
                <w:sz w:val="17"/>
              </w:rPr>
              <w:t>-</w:t>
            </w:r>
            <w:r w:rsidRPr="00505E82">
              <w:rPr>
                <w:rFonts w:ascii="Times New Roman" w:hAnsi="Times New Roman"/>
                <w:i/>
                <w:spacing w:val="-14"/>
                <w:w w:val="105"/>
                <w:sz w:val="17"/>
              </w:rPr>
              <w:t xml:space="preserve"> </w:t>
            </w:r>
            <w:r w:rsidRPr="00505E82">
              <w:rPr>
                <w:rFonts w:ascii="Times New Roman" w:hAnsi="Times New Roman"/>
                <w:i/>
                <w:w w:val="105"/>
                <w:sz w:val="17"/>
              </w:rPr>
              <w:t>CODAC/USP</w:t>
            </w:r>
            <w:r w:rsidRPr="00505E82">
              <w:rPr>
                <w:rFonts w:ascii="Times New Roman" w:hAnsi="Times New Roman"/>
                <w:i/>
                <w:spacing w:val="-11"/>
                <w:w w:val="105"/>
                <w:sz w:val="17"/>
              </w:rPr>
              <w:t xml:space="preserve"> </w:t>
            </w:r>
            <w:r w:rsidRPr="00505E82">
              <w:rPr>
                <w:rFonts w:ascii="Times New Roman" w:hAnsi="Times New Roman"/>
                <w:i/>
                <w:w w:val="105"/>
                <w:sz w:val="17"/>
              </w:rPr>
              <w:t>-</w:t>
            </w:r>
            <w:r w:rsidRPr="00505E82">
              <w:rPr>
                <w:rFonts w:ascii="Times New Roman" w:hAnsi="Times New Roman"/>
                <w:i/>
                <w:spacing w:val="-9"/>
                <w:w w:val="105"/>
                <w:sz w:val="17"/>
              </w:rPr>
              <w:t xml:space="preserve"> </w:t>
            </w:r>
            <w:r w:rsidRPr="00505E82">
              <w:rPr>
                <w:rFonts w:ascii="Times New Roman" w:hAnsi="Times New Roman"/>
                <w:i/>
                <w:w w:val="105"/>
                <w:sz w:val="17"/>
              </w:rPr>
              <w:t>Estudos</w:t>
            </w:r>
            <w:r w:rsidRPr="00505E82">
              <w:rPr>
                <w:rFonts w:ascii="Times New Roman" w:hAnsi="Times New Roman"/>
                <w:i/>
                <w:spacing w:val="-14"/>
                <w:w w:val="105"/>
                <w:sz w:val="17"/>
              </w:rPr>
              <w:t xml:space="preserve"> </w:t>
            </w:r>
            <w:r w:rsidRPr="00505E82">
              <w:rPr>
                <w:rFonts w:ascii="Times New Roman" w:hAnsi="Times New Roman"/>
                <w:i/>
                <w:w w:val="105"/>
                <w:sz w:val="17"/>
              </w:rPr>
              <w:t>Sobre</w:t>
            </w:r>
            <w:r w:rsidRPr="00505E82">
              <w:rPr>
                <w:rFonts w:ascii="Times New Roman" w:hAnsi="Times New Roman"/>
                <w:i/>
                <w:spacing w:val="-10"/>
                <w:w w:val="105"/>
                <w:sz w:val="17"/>
              </w:rPr>
              <w:t xml:space="preserve"> </w:t>
            </w:r>
            <w:r w:rsidRPr="00505E82">
              <w:rPr>
                <w:rFonts w:ascii="Times New Roman" w:hAnsi="Times New Roman"/>
                <w:i/>
                <w:w w:val="105"/>
                <w:sz w:val="17"/>
              </w:rPr>
              <w:t>Relações</w:t>
            </w:r>
            <w:r w:rsidRPr="00505E82">
              <w:rPr>
                <w:rFonts w:ascii="Times New Roman" w:hAnsi="Times New Roman"/>
                <w:i/>
                <w:spacing w:val="-12"/>
                <w:w w:val="105"/>
                <w:sz w:val="17"/>
              </w:rPr>
              <w:t xml:space="preserve"> </w:t>
            </w:r>
            <w:r w:rsidRPr="00505E82">
              <w:rPr>
                <w:rFonts w:ascii="Times New Roman" w:hAnsi="Times New Roman"/>
                <w:i/>
                <w:w w:val="105"/>
                <w:sz w:val="17"/>
              </w:rPr>
              <w:t>Sociais</w:t>
            </w:r>
            <w:r w:rsidRPr="00505E82">
              <w:rPr>
                <w:rFonts w:ascii="Times New Roman" w:hAnsi="Times New Roman"/>
                <w:i/>
                <w:spacing w:val="-14"/>
                <w:w w:val="105"/>
                <w:sz w:val="17"/>
              </w:rPr>
              <w:t xml:space="preserve"> </w:t>
            </w:r>
            <w:r w:rsidRPr="00505E82">
              <w:rPr>
                <w:rFonts w:ascii="Times New Roman" w:hAnsi="Times New Roman"/>
                <w:i/>
                <w:spacing w:val="3"/>
                <w:w w:val="105"/>
                <w:sz w:val="17"/>
              </w:rPr>
              <w:t xml:space="preserve">de </w:t>
            </w:r>
            <w:r w:rsidRPr="00505E82">
              <w:rPr>
                <w:rFonts w:ascii="Times New Roman" w:hAnsi="Times New Roman"/>
                <w:i/>
                <w:spacing w:val="-3"/>
                <w:w w:val="105"/>
                <w:sz w:val="17"/>
              </w:rPr>
              <w:t>Gênero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3" w:right="65"/>
              <w:rPr>
                <w:rFonts w:ascii="Times New Roman" w:eastAsia="Times New Roman" w:hAnsi="Times New Roman"/>
                <w:sz w:val="17"/>
                <w:szCs w:val="17"/>
              </w:rPr>
            </w:pPr>
            <w:r w:rsidRPr="00505E82">
              <w:rPr>
                <w:rFonts w:ascii="Times New Roman"/>
                <w:w w:val="105"/>
                <w:sz w:val="17"/>
              </w:rPr>
              <w:t>1986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41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00"/>
              <w:ind w:left="86" w:right="128"/>
              <w:rPr>
                <w:rFonts w:ascii="Times New Roman" w:eastAsia="Times New Roman" w:hAnsi="Times New Roman"/>
                <w:sz w:val="17"/>
                <w:szCs w:val="17"/>
              </w:rPr>
            </w:pPr>
            <w:r w:rsidRPr="00505E82">
              <w:rPr>
                <w:rFonts w:ascii="Times New Roman"/>
                <w:i/>
                <w:w w:val="105"/>
                <w:sz w:val="17"/>
              </w:rPr>
              <w:t>Nzinga</w:t>
            </w:r>
            <w:r w:rsidRPr="00505E82">
              <w:rPr>
                <w:rFonts w:ascii="Times New Roman"/>
                <w:i/>
                <w:spacing w:val="-3"/>
                <w:w w:val="105"/>
                <w:sz w:val="17"/>
              </w:rPr>
              <w:t xml:space="preserve"> Informativo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ight="181"/>
              <w:rPr>
                <w:rFonts w:ascii="Times New Roman" w:eastAsia="Times New Roman" w:hAnsi="Times New Roman"/>
                <w:sz w:val="17"/>
                <w:szCs w:val="17"/>
              </w:rPr>
            </w:pPr>
            <w:r w:rsidRPr="00505E82">
              <w:rPr>
                <w:rFonts w:ascii="Times New Roman"/>
                <w:w w:val="105"/>
                <w:sz w:val="17"/>
              </w:rPr>
              <w:t>Rio de</w:t>
            </w:r>
            <w:r w:rsidRPr="00505E82">
              <w:rPr>
                <w:rFonts w:ascii="Times New Roman"/>
                <w:spacing w:val="-32"/>
                <w:w w:val="105"/>
                <w:sz w:val="17"/>
              </w:rPr>
              <w:t xml:space="preserve"> </w:t>
            </w:r>
            <w:r w:rsidRPr="00505E82">
              <w:rPr>
                <w:rFonts w:ascii="Times New Roman"/>
                <w:w w:val="105"/>
                <w:sz w:val="17"/>
              </w:rPr>
              <w:t>Janeiro/RJ</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3" w:right="65"/>
              <w:rPr>
                <w:rFonts w:ascii="Times New Roman" w:eastAsia="Times New Roman" w:hAnsi="Times New Roman"/>
                <w:sz w:val="17"/>
                <w:szCs w:val="17"/>
              </w:rPr>
            </w:pPr>
            <w:r w:rsidRPr="00505E82">
              <w:rPr>
                <w:rFonts w:ascii="Times New Roman"/>
                <w:w w:val="105"/>
                <w:sz w:val="17"/>
              </w:rPr>
              <w:t>1985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309"/>
              <w:rPr>
                <w:rFonts w:ascii="Times New Roman" w:eastAsia="Times New Roman" w:hAnsi="Times New Roman"/>
                <w:sz w:val="17"/>
                <w:szCs w:val="17"/>
              </w:rPr>
            </w:pPr>
            <w:r w:rsidRPr="00505E82">
              <w:rPr>
                <w:rFonts w:ascii="Times New Roman"/>
                <w:spacing w:val="-1"/>
                <w:w w:val="105"/>
                <w:sz w:val="17"/>
              </w:rPr>
              <w:t xml:space="preserve">variados- </w:t>
            </w:r>
            <w:r w:rsidRPr="00505E82">
              <w:rPr>
                <w:rFonts w:ascii="Times New Roman"/>
                <w:w w:val="105"/>
                <w:sz w:val="17"/>
              </w:rPr>
              <w:t>racial</w:t>
            </w:r>
          </w:p>
        </w:tc>
      </w:tr>
      <w:tr w:rsidR="00CC7D10" w:rsidTr="00505E82">
        <w:trPr>
          <w:trHeight w:hRule="exact" w:val="211"/>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86" w:right="128"/>
              <w:rPr>
                <w:rFonts w:ascii="Times New Roman" w:eastAsia="Times New Roman" w:hAnsi="Times New Roman"/>
                <w:sz w:val="17"/>
                <w:szCs w:val="17"/>
              </w:rPr>
            </w:pPr>
            <w:r w:rsidRPr="00505E82">
              <w:rPr>
                <w:rFonts w:ascii="Times New Roman" w:hAnsi="Times New Roman"/>
                <w:i/>
                <w:w w:val="105"/>
                <w:sz w:val="17"/>
              </w:rPr>
              <w:t>Presença da</w:t>
            </w:r>
            <w:r w:rsidRPr="00505E82">
              <w:rPr>
                <w:rFonts w:ascii="Times New Roman" w:hAnsi="Times New Roman"/>
                <w:i/>
                <w:spacing w:val="-29"/>
                <w:w w:val="105"/>
                <w:sz w:val="17"/>
              </w:rPr>
              <w:t xml:space="preserve"> </w:t>
            </w:r>
            <w:r w:rsidRPr="00505E82">
              <w:rPr>
                <w:rFonts w:ascii="Times New Roman" w:hAnsi="Times New Roman"/>
                <w:i/>
                <w:w w:val="105"/>
                <w:sz w:val="17"/>
              </w:rPr>
              <w:t>Mulher</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3" w:right="65"/>
              <w:rPr>
                <w:rFonts w:ascii="Times New Roman" w:eastAsia="Times New Roman" w:hAnsi="Times New Roman"/>
                <w:sz w:val="17"/>
                <w:szCs w:val="17"/>
              </w:rPr>
            </w:pPr>
            <w:r w:rsidRPr="00505E82">
              <w:rPr>
                <w:rFonts w:ascii="Times New Roman"/>
                <w:w w:val="105"/>
                <w:sz w:val="17"/>
              </w:rPr>
              <w:t>1986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8"/>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9"/>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Rede</w:t>
            </w:r>
            <w:r w:rsidRPr="00505E82">
              <w:rPr>
                <w:rFonts w:ascii="Times New Roman" w:hAnsi="Times New Roman"/>
                <w:i/>
                <w:spacing w:val="-14"/>
                <w:w w:val="105"/>
                <w:sz w:val="17"/>
              </w:rPr>
              <w:t xml:space="preserve"> </w:t>
            </w:r>
            <w:r w:rsidRPr="00505E82">
              <w:rPr>
                <w:rFonts w:ascii="Times New Roman" w:hAnsi="Times New Roman"/>
                <w:i/>
                <w:w w:val="105"/>
                <w:sz w:val="17"/>
              </w:rPr>
              <w:t>Nacional</w:t>
            </w:r>
            <w:r w:rsidRPr="00505E82">
              <w:rPr>
                <w:rFonts w:ascii="Times New Roman" w:hAnsi="Times New Roman"/>
                <w:i/>
                <w:spacing w:val="-9"/>
                <w:w w:val="105"/>
                <w:sz w:val="17"/>
              </w:rPr>
              <w:t xml:space="preserve"> </w:t>
            </w:r>
            <w:r w:rsidRPr="00505E82">
              <w:rPr>
                <w:rFonts w:ascii="Times New Roman" w:hAnsi="Times New Roman"/>
                <w:i/>
                <w:spacing w:val="-3"/>
                <w:w w:val="105"/>
                <w:sz w:val="17"/>
              </w:rPr>
              <w:t>Feminista</w:t>
            </w:r>
            <w:r w:rsidRPr="00505E82">
              <w:rPr>
                <w:rFonts w:ascii="Times New Roman" w:hAnsi="Times New Roman"/>
                <w:i/>
                <w:spacing w:val="-10"/>
                <w:w w:val="105"/>
                <w:sz w:val="17"/>
              </w:rPr>
              <w:t xml:space="preserve"> </w:t>
            </w:r>
            <w:r w:rsidRPr="00505E82">
              <w:rPr>
                <w:rFonts w:ascii="Times New Roman" w:hAnsi="Times New Roman"/>
                <w:i/>
                <w:spacing w:val="6"/>
                <w:w w:val="105"/>
                <w:sz w:val="17"/>
              </w:rPr>
              <w:t>de</w:t>
            </w:r>
            <w:r w:rsidRPr="00505E82">
              <w:rPr>
                <w:rFonts w:ascii="Times New Roman" w:hAnsi="Times New Roman"/>
                <w:i/>
                <w:spacing w:val="-17"/>
                <w:w w:val="105"/>
                <w:sz w:val="17"/>
              </w:rPr>
              <w:t xml:space="preserve"> </w:t>
            </w:r>
            <w:r w:rsidRPr="00505E82">
              <w:rPr>
                <w:rFonts w:ascii="Times New Roman" w:hAnsi="Times New Roman"/>
                <w:i/>
                <w:w w:val="105"/>
                <w:sz w:val="17"/>
              </w:rPr>
              <w:t>Saúde</w:t>
            </w:r>
            <w:r w:rsidRPr="00505E82">
              <w:rPr>
                <w:rFonts w:ascii="Times New Roman" w:hAnsi="Times New Roman"/>
                <w:i/>
                <w:spacing w:val="-14"/>
                <w:w w:val="105"/>
                <w:sz w:val="17"/>
              </w:rPr>
              <w:t xml:space="preserve"> </w:t>
            </w:r>
            <w:r w:rsidRPr="00505E82">
              <w:rPr>
                <w:rFonts w:ascii="Times New Roman" w:hAnsi="Times New Roman"/>
                <w:i/>
                <w:w w:val="105"/>
                <w:sz w:val="17"/>
              </w:rPr>
              <w:t>e</w:t>
            </w:r>
            <w:r w:rsidRPr="00505E82">
              <w:rPr>
                <w:rFonts w:ascii="Times New Roman" w:hAnsi="Times New Roman"/>
                <w:i/>
                <w:spacing w:val="-10"/>
                <w:w w:val="105"/>
                <w:sz w:val="17"/>
              </w:rPr>
              <w:t xml:space="preserve"> </w:t>
            </w:r>
            <w:r w:rsidRPr="00505E82">
              <w:rPr>
                <w:rFonts w:ascii="Times New Roman" w:hAnsi="Times New Roman"/>
                <w:i/>
                <w:w w:val="105"/>
                <w:sz w:val="17"/>
              </w:rPr>
              <w:t>Direitos</w:t>
            </w:r>
            <w:r w:rsidRPr="00505E82">
              <w:rPr>
                <w:rFonts w:ascii="Times New Roman" w:hAnsi="Times New Roman"/>
                <w:i/>
                <w:spacing w:val="-13"/>
                <w:w w:val="105"/>
                <w:sz w:val="17"/>
              </w:rPr>
              <w:t xml:space="preserve"> </w:t>
            </w:r>
            <w:r w:rsidRPr="00505E82">
              <w:rPr>
                <w:rFonts w:ascii="Times New Roman" w:hAnsi="Times New Roman"/>
                <w:i/>
                <w:w w:val="105"/>
                <w:sz w:val="17"/>
              </w:rPr>
              <w:t>Reprodutivos</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Recife/PE</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Redir</w:t>
            </w:r>
            <w:r w:rsidRPr="00505E82">
              <w:rPr>
                <w:rFonts w:ascii="Times New Roman" w:hAnsi="Times New Roman"/>
                <w:i/>
                <w:spacing w:val="-16"/>
                <w:w w:val="105"/>
                <w:sz w:val="17"/>
              </w:rPr>
              <w:t xml:space="preserve"> </w:t>
            </w:r>
            <w:r w:rsidRPr="00505E82">
              <w:rPr>
                <w:rFonts w:ascii="Times New Roman" w:hAnsi="Times New Roman"/>
                <w:i/>
                <w:w w:val="105"/>
                <w:sz w:val="17"/>
              </w:rPr>
              <w:t>-</w:t>
            </w:r>
            <w:r w:rsidRPr="00505E82">
              <w:rPr>
                <w:rFonts w:ascii="Times New Roman" w:hAnsi="Times New Roman"/>
                <w:i/>
                <w:spacing w:val="-12"/>
                <w:w w:val="105"/>
                <w:sz w:val="17"/>
              </w:rPr>
              <w:t xml:space="preserve"> </w:t>
            </w:r>
            <w:r w:rsidRPr="00505E82">
              <w:rPr>
                <w:rFonts w:ascii="Times New Roman" w:hAnsi="Times New Roman"/>
                <w:i/>
                <w:w w:val="105"/>
                <w:sz w:val="17"/>
              </w:rPr>
              <w:t>Rede</w:t>
            </w:r>
            <w:r w:rsidRPr="00505E82">
              <w:rPr>
                <w:rFonts w:ascii="Times New Roman" w:hAnsi="Times New Roman"/>
                <w:i/>
                <w:spacing w:val="-20"/>
                <w:w w:val="105"/>
                <w:sz w:val="17"/>
              </w:rPr>
              <w:t xml:space="preserve"> </w:t>
            </w:r>
            <w:r w:rsidRPr="00505E82">
              <w:rPr>
                <w:rFonts w:ascii="Times New Roman" w:hAnsi="Times New Roman"/>
                <w:i/>
                <w:spacing w:val="6"/>
                <w:w w:val="105"/>
                <w:sz w:val="17"/>
              </w:rPr>
              <w:t>de</w:t>
            </w:r>
            <w:r w:rsidRPr="00505E82">
              <w:rPr>
                <w:rFonts w:ascii="Times New Roman" w:hAnsi="Times New Roman"/>
                <w:i/>
                <w:spacing w:val="-16"/>
                <w:w w:val="105"/>
                <w:sz w:val="17"/>
              </w:rPr>
              <w:t xml:space="preserve"> </w:t>
            </w:r>
            <w:r w:rsidRPr="00505E82">
              <w:rPr>
                <w:rFonts w:ascii="Times New Roman" w:hAnsi="Times New Roman"/>
                <w:i/>
                <w:w w:val="105"/>
                <w:sz w:val="17"/>
              </w:rPr>
              <w:t>Informação</w:t>
            </w:r>
            <w:r w:rsidRPr="00505E82">
              <w:rPr>
                <w:rFonts w:ascii="Times New Roman" w:hAnsi="Times New Roman"/>
                <w:i/>
                <w:spacing w:val="-12"/>
                <w:w w:val="105"/>
                <w:sz w:val="17"/>
              </w:rPr>
              <w:t xml:space="preserve"> </w:t>
            </w:r>
            <w:r w:rsidRPr="00505E82">
              <w:rPr>
                <w:rFonts w:ascii="Times New Roman" w:hAnsi="Times New Roman"/>
                <w:i/>
                <w:w w:val="105"/>
                <w:sz w:val="17"/>
              </w:rPr>
              <w:t>Saúde,</w:t>
            </w:r>
            <w:r w:rsidRPr="00505E82">
              <w:rPr>
                <w:rFonts w:ascii="Times New Roman" w:hAnsi="Times New Roman"/>
                <w:i/>
                <w:spacing w:val="-20"/>
                <w:w w:val="105"/>
                <w:sz w:val="17"/>
              </w:rPr>
              <w:t xml:space="preserve"> </w:t>
            </w:r>
            <w:r w:rsidRPr="00505E82">
              <w:rPr>
                <w:rFonts w:ascii="Times New Roman" w:hAnsi="Times New Roman"/>
                <w:i/>
                <w:w w:val="105"/>
                <w:sz w:val="17"/>
              </w:rPr>
              <w:t>Sexualidade</w:t>
            </w:r>
            <w:r w:rsidRPr="00505E82">
              <w:rPr>
                <w:rFonts w:ascii="Times New Roman" w:hAnsi="Times New Roman"/>
                <w:i/>
                <w:spacing w:val="-16"/>
                <w:w w:val="105"/>
                <w:sz w:val="17"/>
              </w:rPr>
              <w:t xml:space="preserve"> </w:t>
            </w:r>
            <w:r w:rsidRPr="00505E82">
              <w:rPr>
                <w:rFonts w:ascii="Times New Roman" w:hAnsi="Times New Roman"/>
                <w:i/>
                <w:w w:val="105"/>
                <w:sz w:val="17"/>
              </w:rPr>
              <w:t>e</w:t>
            </w:r>
            <w:r w:rsidRPr="00505E82">
              <w:rPr>
                <w:rFonts w:ascii="Times New Roman" w:hAnsi="Times New Roman"/>
                <w:i/>
                <w:spacing w:val="-12"/>
                <w:w w:val="105"/>
                <w:sz w:val="17"/>
              </w:rPr>
              <w:t xml:space="preserve"> </w:t>
            </w:r>
            <w:r w:rsidRPr="00505E82">
              <w:rPr>
                <w:rFonts w:ascii="Times New Roman" w:hAnsi="Times New Roman"/>
                <w:i/>
                <w:w w:val="105"/>
                <w:sz w:val="17"/>
              </w:rPr>
              <w:t>Direitos</w:t>
            </w:r>
            <w:r w:rsidRPr="00505E82">
              <w:rPr>
                <w:rFonts w:ascii="Times New Roman" w:hAnsi="Times New Roman"/>
                <w:i/>
                <w:spacing w:val="-16"/>
                <w:w w:val="105"/>
                <w:sz w:val="17"/>
              </w:rPr>
              <w:t xml:space="preserve"> </w:t>
            </w:r>
            <w:r w:rsidRPr="00505E82">
              <w:rPr>
                <w:rFonts w:ascii="Times New Roman" w:hAnsi="Times New Roman"/>
                <w:i/>
                <w:w w:val="105"/>
                <w:sz w:val="17"/>
              </w:rPr>
              <w:t>Reprodutivos</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w w:val="105"/>
                <w:sz w:val="17"/>
              </w:rPr>
              <w:t xml:space="preserve">Juiz </w:t>
            </w:r>
            <w:r w:rsidRPr="00505E82">
              <w:rPr>
                <w:rFonts w:ascii="Times New Roman"/>
                <w:spacing w:val="-4"/>
                <w:w w:val="105"/>
                <w:sz w:val="17"/>
              </w:rPr>
              <w:t>de</w:t>
            </w:r>
            <w:r w:rsidRPr="00505E82">
              <w:rPr>
                <w:rFonts w:ascii="Times New Roman"/>
                <w:spacing w:val="-20"/>
                <w:w w:val="105"/>
                <w:sz w:val="17"/>
              </w:rPr>
              <w:t xml:space="preserve"> </w:t>
            </w:r>
            <w:r w:rsidRPr="00505E82">
              <w:rPr>
                <w:rFonts w:ascii="Times New Roman"/>
                <w:w w:val="105"/>
                <w:sz w:val="17"/>
              </w:rPr>
              <w:t>Fora/MG</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cerca de</w:t>
            </w:r>
            <w:r w:rsidRPr="00505E82">
              <w:rPr>
                <w:rFonts w:ascii="Times New Roman"/>
                <w:spacing w:val="-20"/>
                <w:w w:val="105"/>
                <w:sz w:val="17"/>
              </w:rPr>
              <w:t xml:space="preserve"> </w:t>
            </w:r>
            <w:r w:rsidRPr="00505E82">
              <w:rPr>
                <w:rFonts w:ascii="Times New Roman"/>
                <w:w w:val="105"/>
                <w:sz w:val="17"/>
              </w:rPr>
              <w:t>1998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5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i/>
                <w:w w:val="105"/>
                <w:sz w:val="17"/>
              </w:rPr>
              <w:t>Revista</w:t>
            </w:r>
            <w:r w:rsidRPr="00505E82">
              <w:rPr>
                <w:rFonts w:ascii="Times New Roman"/>
                <w:i/>
                <w:spacing w:val="-9"/>
                <w:w w:val="105"/>
                <w:sz w:val="17"/>
              </w:rPr>
              <w:t xml:space="preserve"> </w:t>
            </w:r>
            <w:r w:rsidRPr="00505E82">
              <w:rPr>
                <w:rFonts w:ascii="Times New Roman"/>
                <w:i/>
                <w:w w:val="105"/>
                <w:sz w:val="17"/>
              </w:rPr>
              <w:t>da</w:t>
            </w:r>
            <w:r w:rsidRPr="00505E82">
              <w:rPr>
                <w:rFonts w:ascii="Times New Roman"/>
                <w:i/>
                <w:spacing w:val="-13"/>
                <w:w w:val="105"/>
                <w:sz w:val="17"/>
              </w:rPr>
              <w:t xml:space="preserve"> </w:t>
            </w:r>
            <w:r w:rsidRPr="00505E82">
              <w:rPr>
                <w:rFonts w:ascii="Times New Roman"/>
                <w:i/>
                <w:w w:val="105"/>
                <w:sz w:val="17"/>
              </w:rPr>
              <w:t>Mulher</w:t>
            </w:r>
            <w:r w:rsidRPr="00505E82">
              <w:rPr>
                <w:rFonts w:ascii="Times New Roman"/>
                <w:i/>
                <w:spacing w:val="-16"/>
                <w:w w:val="105"/>
                <w:sz w:val="17"/>
              </w:rPr>
              <w:t xml:space="preserve"> </w:t>
            </w:r>
            <w:r w:rsidRPr="00505E82">
              <w:rPr>
                <w:rFonts w:ascii="Times New Roman"/>
                <w:i/>
                <w:w w:val="105"/>
                <w:sz w:val="17"/>
              </w:rPr>
              <w:t>Rural</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Paraná</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trabalho</w:t>
            </w:r>
          </w:p>
        </w:tc>
      </w:tr>
      <w:tr w:rsidR="00CC7D10" w:rsidTr="00505E82">
        <w:trPr>
          <w:trHeight w:hRule="exact" w:val="41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100"/>
              <w:ind w:left="86" w:right="128"/>
              <w:rPr>
                <w:rFonts w:ascii="Times New Roman" w:eastAsia="Times New Roman" w:hAnsi="Times New Roman"/>
                <w:sz w:val="17"/>
                <w:szCs w:val="17"/>
              </w:rPr>
            </w:pPr>
            <w:r w:rsidRPr="00505E82">
              <w:rPr>
                <w:rFonts w:ascii="Times New Roman" w:hAnsi="Times New Roman"/>
                <w:i/>
                <w:w w:val="105"/>
                <w:sz w:val="17"/>
              </w:rPr>
              <w:t>Sempre</w:t>
            </w:r>
            <w:r w:rsidRPr="00505E82">
              <w:rPr>
                <w:rFonts w:ascii="Times New Roman" w:hAnsi="Times New Roman"/>
                <w:i/>
                <w:spacing w:val="-12"/>
                <w:w w:val="105"/>
                <w:sz w:val="17"/>
              </w:rPr>
              <w:t xml:space="preserve"> </w:t>
            </w:r>
            <w:r w:rsidRPr="00505E82">
              <w:rPr>
                <w:rFonts w:ascii="Times New Roman" w:hAnsi="Times New Roman"/>
                <w:i/>
                <w:w w:val="105"/>
                <w:sz w:val="17"/>
              </w:rPr>
              <w:t>Viva</w:t>
            </w:r>
            <w:r w:rsidRPr="00505E82">
              <w:rPr>
                <w:rFonts w:ascii="Times New Roman" w:hAnsi="Times New Roman"/>
                <w:i/>
                <w:spacing w:val="-8"/>
                <w:w w:val="105"/>
                <w:sz w:val="17"/>
              </w:rPr>
              <w:t xml:space="preserve"> </w:t>
            </w:r>
            <w:r w:rsidRPr="00505E82">
              <w:rPr>
                <w:rFonts w:ascii="Times New Roman" w:hAnsi="Times New Roman"/>
                <w:i/>
                <w:w w:val="105"/>
                <w:sz w:val="17"/>
              </w:rPr>
              <w:t>-</w:t>
            </w:r>
            <w:r w:rsidRPr="00505E82">
              <w:rPr>
                <w:rFonts w:ascii="Times New Roman" w:hAnsi="Times New Roman"/>
                <w:i/>
                <w:spacing w:val="-11"/>
                <w:w w:val="105"/>
                <w:sz w:val="17"/>
              </w:rPr>
              <w:t xml:space="preserve"> </w:t>
            </w:r>
            <w:r w:rsidRPr="00505E82">
              <w:rPr>
                <w:rFonts w:ascii="Times New Roman" w:hAnsi="Times New Roman"/>
                <w:i/>
                <w:w w:val="105"/>
                <w:sz w:val="17"/>
              </w:rPr>
              <w:t>Comitê</w:t>
            </w:r>
            <w:r w:rsidRPr="00505E82">
              <w:rPr>
                <w:rFonts w:ascii="Times New Roman" w:hAnsi="Times New Roman"/>
                <w:i/>
                <w:spacing w:val="-16"/>
                <w:w w:val="105"/>
                <w:sz w:val="17"/>
              </w:rPr>
              <w:t xml:space="preserve"> </w:t>
            </w:r>
            <w:r w:rsidRPr="00505E82">
              <w:rPr>
                <w:rFonts w:ascii="Times New Roman" w:hAnsi="Times New Roman"/>
                <w:i/>
                <w:spacing w:val="3"/>
                <w:w w:val="105"/>
                <w:sz w:val="17"/>
              </w:rPr>
              <w:t>de</w:t>
            </w:r>
            <w:r w:rsidRPr="00505E82">
              <w:rPr>
                <w:rFonts w:ascii="Times New Roman" w:hAnsi="Times New Roman"/>
                <w:i/>
                <w:spacing w:val="-12"/>
                <w:w w:val="105"/>
                <w:sz w:val="17"/>
              </w:rPr>
              <w:t xml:space="preserve"> </w:t>
            </w:r>
            <w:r w:rsidRPr="00505E82">
              <w:rPr>
                <w:rFonts w:ascii="Times New Roman" w:hAnsi="Times New Roman"/>
                <w:i/>
                <w:w w:val="105"/>
                <w:sz w:val="17"/>
              </w:rPr>
              <w:t>Mulheres</w:t>
            </w:r>
            <w:r w:rsidRPr="00505E82">
              <w:rPr>
                <w:rFonts w:ascii="Times New Roman" w:hAnsi="Times New Roman"/>
                <w:i/>
                <w:spacing w:val="-12"/>
                <w:w w:val="105"/>
                <w:sz w:val="17"/>
              </w:rPr>
              <w:t xml:space="preserve"> </w:t>
            </w:r>
            <w:r w:rsidRPr="00505E82">
              <w:rPr>
                <w:rFonts w:ascii="Times New Roman" w:hAnsi="Times New Roman"/>
                <w:i/>
                <w:spacing w:val="3"/>
                <w:w w:val="105"/>
                <w:sz w:val="17"/>
              </w:rPr>
              <w:t>de</w:t>
            </w:r>
            <w:r w:rsidRPr="00505E82">
              <w:rPr>
                <w:rFonts w:ascii="Times New Roman" w:hAnsi="Times New Roman"/>
                <w:i/>
                <w:spacing w:val="-16"/>
                <w:w w:val="105"/>
                <w:sz w:val="17"/>
              </w:rPr>
              <w:t xml:space="preserve"> </w:t>
            </w:r>
            <w:r w:rsidRPr="00505E82">
              <w:rPr>
                <w:rFonts w:ascii="Times New Roman" w:hAnsi="Times New Roman"/>
                <w:i/>
                <w:w w:val="105"/>
                <w:sz w:val="17"/>
              </w:rPr>
              <w:t>São</w:t>
            </w:r>
            <w:r w:rsidRPr="00505E82">
              <w:rPr>
                <w:rFonts w:ascii="Times New Roman" w:hAnsi="Times New Roman"/>
                <w:i/>
                <w:spacing w:val="-8"/>
                <w:w w:val="105"/>
                <w:sz w:val="17"/>
              </w:rPr>
              <w:t xml:space="preserve"> </w:t>
            </w:r>
            <w:r w:rsidRPr="00505E82">
              <w:rPr>
                <w:rFonts w:ascii="Times New Roman" w:hAnsi="Times New Roman"/>
                <w:i/>
                <w:w w:val="105"/>
                <w:sz w:val="17"/>
              </w:rPr>
              <w:t>Bernardo</w:t>
            </w:r>
            <w:r w:rsidRPr="00505E82">
              <w:rPr>
                <w:rFonts w:ascii="Times New Roman" w:hAnsi="Times New Roman"/>
                <w:i/>
                <w:spacing w:val="-16"/>
                <w:w w:val="105"/>
                <w:sz w:val="17"/>
              </w:rPr>
              <w:t xml:space="preserve"> </w:t>
            </w:r>
            <w:r w:rsidRPr="00505E82">
              <w:rPr>
                <w:rFonts w:ascii="Times New Roman" w:hAnsi="Times New Roman"/>
                <w:i/>
                <w:spacing w:val="3"/>
                <w:w w:val="105"/>
                <w:sz w:val="17"/>
              </w:rPr>
              <w:t>do</w:t>
            </w:r>
            <w:r w:rsidRPr="00505E82">
              <w:rPr>
                <w:rFonts w:ascii="Times New Roman" w:hAnsi="Times New Roman"/>
                <w:i/>
                <w:spacing w:val="-13"/>
                <w:w w:val="105"/>
                <w:sz w:val="17"/>
              </w:rPr>
              <w:t xml:space="preserve"> </w:t>
            </w:r>
            <w:r w:rsidRPr="00505E82">
              <w:rPr>
                <w:rFonts w:ascii="Times New Roman" w:hAnsi="Times New Roman"/>
                <w:i/>
                <w:w w:val="105"/>
                <w:sz w:val="17"/>
              </w:rPr>
              <w:t>Campo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7" w:right="315"/>
              <w:rPr>
                <w:rFonts w:ascii="Times New Roman" w:eastAsia="Times New Roman" w:hAnsi="Times New Roman"/>
                <w:sz w:val="17"/>
                <w:szCs w:val="17"/>
              </w:rPr>
            </w:pPr>
            <w:r w:rsidRPr="00505E82">
              <w:rPr>
                <w:rFonts w:ascii="Times New Roman" w:hAnsi="Times New Roman"/>
                <w:w w:val="105"/>
                <w:sz w:val="17"/>
              </w:rPr>
              <w:t>São Bernardo</w:t>
            </w:r>
            <w:r w:rsidRPr="00505E82">
              <w:rPr>
                <w:rFonts w:ascii="Times New Roman" w:hAnsi="Times New Roman"/>
                <w:spacing w:val="-23"/>
                <w:w w:val="105"/>
                <w:sz w:val="17"/>
              </w:rPr>
              <w:t xml:space="preserve"> </w:t>
            </w:r>
            <w:r w:rsidRPr="00505E82">
              <w:rPr>
                <w:rFonts w:ascii="Times New Roman" w:hAnsi="Times New Roman"/>
                <w:w w:val="105"/>
                <w:sz w:val="17"/>
              </w:rPr>
              <w:t>do Campo/SP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2" w:right="65"/>
              <w:rPr>
                <w:rFonts w:ascii="Times New Roman" w:eastAsia="Times New Roman" w:hAnsi="Times New Roman"/>
                <w:sz w:val="17"/>
                <w:szCs w:val="17"/>
              </w:rPr>
            </w:pPr>
            <w:r w:rsidRPr="00505E82">
              <w:rPr>
                <w:rFonts w:ascii="Times New Roman"/>
                <w:w w:val="105"/>
                <w:sz w:val="17"/>
              </w:rPr>
              <w:t>1986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100"/>
              <w:ind w:left="67"/>
              <w:rPr>
                <w:rFonts w:ascii="Times New Roman" w:eastAsia="Times New Roman" w:hAnsi="Times New Roman"/>
                <w:sz w:val="17"/>
                <w:szCs w:val="17"/>
              </w:rPr>
            </w:pPr>
            <w:r w:rsidRPr="00505E82">
              <w:rPr>
                <w:rFonts w:ascii="Times New Roman"/>
                <w:w w:val="105"/>
                <w:sz w:val="17"/>
              </w:rPr>
              <w:t>trabalho</w:t>
            </w:r>
          </w:p>
        </w:tc>
      </w:tr>
      <w:tr w:rsidR="00CC7D10" w:rsidTr="00505E82">
        <w:trPr>
          <w:trHeight w:hRule="exact" w:val="283"/>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38"/>
              <w:ind w:left="86" w:right="128"/>
              <w:rPr>
                <w:rFonts w:ascii="Times New Roman" w:eastAsia="Times New Roman" w:hAnsi="Times New Roman"/>
                <w:sz w:val="17"/>
                <w:szCs w:val="17"/>
              </w:rPr>
            </w:pPr>
            <w:r w:rsidRPr="00505E82">
              <w:rPr>
                <w:rFonts w:ascii="Times New Roman" w:hAnsi="Times New Roman"/>
                <w:i/>
                <w:w w:val="105"/>
                <w:sz w:val="17"/>
              </w:rPr>
              <w:t>Sexo</w:t>
            </w:r>
            <w:r w:rsidRPr="00505E82">
              <w:rPr>
                <w:rFonts w:ascii="Times New Roman" w:hAnsi="Times New Roman"/>
                <w:i/>
                <w:spacing w:val="-11"/>
                <w:w w:val="105"/>
                <w:sz w:val="17"/>
              </w:rPr>
              <w:t xml:space="preserve"> </w:t>
            </w:r>
            <w:r w:rsidRPr="00505E82">
              <w:rPr>
                <w:rFonts w:ascii="Times New Roman" w:hAnsi="Times New Roman"/>
                <w:i/>
                <w:w w:val="105"/>
                <w:sz w:val="17"/>
              </w:rPr>
              <w:t>Explícito</w:t>
            </w:r>
            <w:r w:rsidRPr="00505E82">
              <w:rPr>
                <w:rFonts w:ascii="Times New Roman" w:hAnsi="Times New Roman"/>
                <w:i/>
                <w:spacing w:val="-11"/>
                <w:w w:val="105"/>
                <w:sz w:val="17"/>
              </w:rPr>
              <w:t xml:space="preserve"> </w:t>
            </w:r>
            <w:r w:rsidRPr="00505E82">
              <w:rPr>
                <w:rFonts w:ascii="Times New Roman" w:hAnsi="Times New Roman"/>
                <w:i/>
                <w:w w:val="105"/>
                <w:sz w:val="17"/>
              </w:rPr>
              <w:t>/</w:t>
            </w:r>
            <w:r w:rsidRPr="00505E82">
              <w:rPr>
                <w:rFonts w:ascii="Times New Roman" w:hAnsi="Times New Roman"/>
                <w:i/>
                <w:spacing w:val="-18"/>
                <w:w w:val="105"/>
                <w:sz w:val="17"/>
              </w:rPr>
              <w:t xml:space="preserve"> </w:t>
            </w:r>
            <w:r w:rsidRPr="00505E82">
              <w:rPr>
                <w:rFonts w:ascii="Times New Roman" w:hAnsi="Times New Roman"/>
                <w:i/>
                <w:w w:val="105"/>
                <w:sz w:val="17"/>
              </w:rPr>
              <w:t>O</w:t>
            </w:r>
            <w:r w:rsidRPr="00505E82">
              <w:rPr>
                <w:rFonts w:ascii="Times New Roman" w:hAnsi="Times New Roman"/>
                <w:i/>
                <w:spacing w:val="-12"/>
                <w:w w:val="105"/>
                <w:sz w:val="17"/>
              </w:rPr>
              <w:t xml:space="preserve"> </w:t>
            </w:r>
            <w:r w:rsidRPr="00505E82">
              <w:rPr>
                <w:rFonts w:ascii="Times New Roman" w:hAnsi="Times New Roman"/>
                <w:i/>
                <w:w w:val="105"/>
                <w:sz w:val="17"/>
              </w:rPr>
              <w:t>Sexo</w:t>
            </w:r>
            <w:r w:rsidRPr="00505E82">
              <w:rPr>
                <w:rFonts w:ascii="Times New Roman" w:hAnsi="Times New Roman"/>
                <w:i/>
                <w:spacing w:val="-11"/>
                <w:w w:val="105"/>
                <w:sz w:val="17"/>
              </w:rPr>
              <w:t xml:space="preserve"> </w:t>
            </w:r>
            <w:r w:rsidRPr="00505E82">
              <w:rPr>
                <w:rFonts w:ascii="Times New Roman" w:hAnsi="Times New Roman"/>
                <w:i/>
                <w:w w:val="105"/>
                <w:sz w:val="17"/>
              </w:rPr>
              <w:t>Finalmente</w:t>
            </w:r>
            <w:r w:rsidRPr="00505E82">
              <w:rPr>
                <w:rFonts w:ascii="Times New Roman" w:hAnsi="Times New Roman"/>
                <w:i/>
                <w:spacing w:val="-19"/>
                <w:w w:val="105"/>
                <w:sz w:val="17"/>
              </w:rPr>
              <w:t xml:space="preserve"> </w:t>
            </w:r>
            <w:r w:rsidRPr="00505E82">
              <w:rPr>
                <w:rFonts w:ascii="Times New Roman" w:hAnsi="Times New Roman"/>
                <w:i/>
                <w:w w:val="105"/>
                <w:sz w:val="17"/>
              </w:rPr>
              <w:t>Explícito</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8"/>
              <w:ind w:left="67" w:right="181"/>
              <w:rPr>
                <w:rFonts w:ascii="Times New Roman" w:eastAsia="Times New Roman" w:hAnsi="Times New Roman"/>
                <w:sz w:val="17"/>
                <w:szCs w:val="17"/>
              </w:rPr>
            </w:pPr>
            <w:r w:rsidRPr="00505E82">
              <w:rPr>
                <w:rFonts w:ascii="Times New Roman"/>
                <w:w w:val="105"/>
                <w:sz w:val="17"/>
              </w:rPr>
              <w:t>Rio de</w:t>
            </w:r>
            <w:r w:rsidRPr="00505E82">
              <w:rPr>
                <w:rFonts w:ascii="Times New Roman"/>
                <w:spacing w:val="-32"/>
                <w:w w:val="105"/>
                <w:sz w:val="17"/>
              </w:rPr>
              <w:t xml:space="preserve"> </w:t>
            </w:r>
            <w:r w:rsidRPr="00505E82">
              <w:rPr>
                <w:rFonts w:ascii="Times New Roman"/>
                <w:w w:val="105"/>
                <w:sz w:val="17"/>
              </w:rPr>
              <w:t>Janeiro/RJ</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8"/>
              <w:ind w:left="63" w:right="65"/>
              <w:rPr>
                <w:rFonts w:ascii="Times New Roman" w:eastAsia="Times New Roman" w:hAnsi="Times New Roman"/>
                <w:sz w:val="17"/>
                <w:szCs w:val="17"/>
              </w:rPr>
            </w:pPr>
            <w:r w:rsidRPr="00505E82">
              <w:rPr>
                <w:rFonts w:ascii="Times New Roman"/>
                <w:w w:val="105"/>
                <w:sz w:val="17"/>
              </w:rPr>
              <w:t>1983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38"/>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264"/>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23"/>
              <w:ind w:left="86" w:right="128"/>
              <w:rPr>
                <w:rFonts w:ascii="Times New Roman" w:eastAsia="Times New Roman" w:hAnsi="Times New Roman"/>
                <w:sz w:val="17"/>
                <w:szCs w:val="17"/>
              </w:rPr>
            </w:pPr>
            <w:r w:rsidRPr="00505E82">
              <w:rPr>
                <w:rFonts w:ascii="Times New Roman" w:hAnsi="Times New Roman"/>
                <w:i/>
                <w:w w:val="105"/>
                <w:sz w:val="17"/>
              </w:rPr>
              <w:t xml:space="preserve">União </w:t>
            </w:r>
            <w:r w:rsidRPr="00505E82">
              <w:rPr>
                <w:rFonts w:ascii="Times New Roman" w:hAnsi="Times New Roman"/>
                <w:i/>
                <w:spacing w:val="3"/>
                <w:w w:val="105"/>
                <w:sz w:val="17"/>
              </w:rPr>
              <w:t xml:space="preserve">de </w:t>
            </w:r>
            <w:r w:rsidRPr="00505E82">
              <w:rPr>
                <w:rFonts w:ascii="Times New Roman" w:hAnsi="Times New Roman"/>
                <w:i/>
                <w:spacing w:val="-3"/>
                <w:w w:val="105"/>
                <w:sz w:val="17"/>
              </w:rPr>
              <w:t xml:space="preserve">Mulheres </w:t>
            </w:r>
            <w:r w:rsidRPr="00505E82">
              <w:rPr>
                <w:rFonts w:ascii="Times New Roman" w:hAnsi="Times New Roman"/>
                <w:i/>
                <w:spacing w:val="3"/>
                <w:w w:val="105"/>
                <w:sz w:val="17"/>
              </w:rPr>
              <w:t>de</w:t>
            </w:r>
            <w:r w:rsidRPr="00505E82">
              <w:rPr>
                <w:rFonts w:ascii="Times New Roman" w:hAnsi="Times New Roman"/>
                <w:i/>
                <w:spacing w:val="-30"/>
                <w:w w:val="105"/>
                <w:sz w:val="17"/>
              </w:rPr>
              <w:t xml:space="preserve"> </w:t>
            </w:r>
            <w:r w:rsidRPr="00505E82">
              <w:rPr>
                <w:rFonts w:ascii="Times New Roman" w:hAnsi="Times New Roman"/>
                <w:i/>
                <w:w w:val="105"/>
                <w:sz w:val="17"/>
              </w:rPr>
              <w:t xml:space="preserve">São </w:t>
            </w:r>
            <w:r w:rsidRPr="00505E82">
              <w:rPr>
                <w:rFonts w:ascii="Times New Roman" w:hAnsi="Times New Roman"/>
                <w:i/>
                <w:spacing w:val="-3"/>
                <w:w w:val="105"/>
                <w:sz w:val="17"/>
              </w:rPr>
              <w:t xml:space="preserve">Paulo </w:t>
            </w:r>
            <w:r w:rsidRPr="00505E82">
              <w:rPr>
                <w:rFonts w:ascii="Times New Roman" w:hAnsi="Times New Roman"/>
                <w:i/>
                <w:w w:val="105"/>
                <w:sz w:val="17"/>
              </w:rPr>
              <w:t>(UBM)</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ight="181"/>
              <w:rPr>
                <w:rFonts w:ascii="Times New Roman" w:eastAsia="Times New Roman" w:hAnsi="Times New Roman"/>
                <w:sz w:val="17"/>
                <w:szCs w:val="17"/>
              </w:rPr>
            </w:pPr>
            <w:r w:rsidRPr="00505E82">
              <w:rPr>
                <w:rFonts w:ascii="Times New Roman" w:hAnsi="Times New Roman"/>
                <w:w w:val="105"/>
                <w:sz w:val="17"/>
              </w:rPr>
              <w:t>São</w:t>
            </w:r>
            <w:r w:rsidRPr="00505E82">
              <w:rPr>
                <w:rFonts w:ascii="Times New Roman" w:hAnsi="Times New Roman"/>
                <w:spacing w:val="-27"/>
                <w:w w:val="105"/>
                <w:sz w:val="17"/>
              </w:rPr>
              <w:t xml:space="preserve"> </w:t>
            </w:r>
            <w:r w:rsidRPr="00505E82">
              <w:rPr>
                <w:rFonts w:ascii="Times New Roman" w:hAnsi="Times New Roman"/>
                <w:w w:val="105"/>
                <w:sz w:val="17"/>
              </w:rPr>
              <w:t>Paulo/SP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3" w:right="65"/>
              <w:rPr>
                <w:rFonts w:ascii="Times New Roman" w:eastAsia="Times New Roman" w:hAnsi="Times New Roman"/>
                <w:sz w:val="17"/>
                <w:szCs w:val="17"/>
              </w:rPr>
            </w:pPr>
            <w:r w:rsidRPr="00505E82">
              <w:rPr>
                <w:rFonts w:ascii="Times New Roman"/>
                <w:w w:val="105"/>
                <w:sz w:val="17"/>
              </w:rPr>
              <w:t>1985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23"/>
              <w:ind w:left="67"/>
              <w:rPr>
                <w:rFonts w:ascii="Times New Roman" w:eastAsia="Times New Roman" w:hAnsi="Times New Roman"/>
                <w:sz w:val="17"/>
                <w:szCs w:val="17"/>
              </w:rPr>
            </w:pPr>
            <w:r w:rsidRPr="00505E82">
              <w:rPr>
                <w:rFonts w:ascii="Times New Roman"/>
                <w:w w:val="105"/>
                <w:sz w:val="17"/>
              </w:rPr>
              <w:t>noticioso</w:t>
            </w:r>
          </w:p>
        </w:tc>
      </w:tr>
      <w:tr w:rsidR="00CC7D10" w:rsidTr="00505E82">
        <w:trPr>
          <w:trHeight w:hRule="exact" w:val="226"/>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4"/>
              <w:ind w:left="86" w:right="128"/>
              <w:rPr>
                <w:rFonts w:ascii="Times New Roman" w:eastAsia="Times New Roman" w:hAnsi="Times New Roman"/>
                <w:sz w:val="17"/>
                <w:szCs w:val="17"/>
              </w:rPr>
            </w:pPr>
            <w:r w:rsidRPr="00505E82">
              <w:rPr>
                <w:rFonts w:ascii="Times New Roman" w:hAnsi="Times New Roman"/>
                <w:i/>
                <w:w w:val="105"/>
                <w:sz w:val="17"/>
              </w:rPr>
              <w:t>Via-Láctea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ight="181"/>
              <w:rPr>
                <w:rFonts w:ascii="Times New Roman" w:eastAsia="Times New Roman" w:hAnsi="Times New Roman"/>
                <w:sz w:val="17"/>
                <w:szCs w:val="17"/>
              </w:rPr>
            </w:pPr>
            <w:r w:rsidRPr="00505E82">
              <w:rPr>
                <w:rFonts w:ascii="Times New Roman"/>
                <w:w w:val="105"/>
                <w:sz w:val="17"/>
              </w:rPr>
              <w:t>Natal/RN</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3" w:right="65"/>
              <w:rPr>
                <w:rFonts w:ascii="Times New Roman" w:eastAsia="Times New Roman" w:hAnsi="Times New Roman"/>
                <w:sz w:val="17"/>
                <w:szCs w:val="17"/>
              </w:rPr>
            </w:pPr>
            <w:r w:rsidRPr="00505E82">
              <w:rPr>
                <w:rFonts w:ascii="Times New Roman"/>
                <w:w w:val="105"/>
                <w:sz w:val="17"/>
              </w:rPr>
              <w:t>1993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4"/>
              <w:ind w:left="67"/>
              <w:rPr>
                <w:rFonts w:ascii="Times New Roman" w:eastAsia="Times New Roman" w:hAnsi="Times New Roman"/>
                <w:sz w:val="17"/>
                <w:szCs w:val="17"/>
              </w:rPr>
            </w:pPr>
            <w:r w:rsidRPr="00505E82">
              <w:rPr>
                <w:rFonts w:ascii="Times New Roman" w:hAnsi="Times New Roman"/>
                <w:w w:val="105"/>
                <w:sz w:val="17"/>
              </w:rPr>
              <w:t>universitário</w:t>
            </w:r>
          </w:p>
        </w:tc>
      </w:tr>
      <w:tr w:rsidR="00CC7D10" w:rsidTr="00505E82">
        <w:trPr>
          <w:trHeight w:hRule="exact" w:val="360"/>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71"/>
              <w:ind w:left="86" w:right="128"/>
              <w:rPr>
                <w:rFonts w:ascii="Times New Roman" w:eastAsia="Times New Roman" w:hAnsi="Times New Roman"/>
                <w:sz w:val="17"/>
                <w:szCs w:val="17"/>
              </w:rPr>
            </w:pPr>
            <w:r w:rsidRPr="00505E82">
              <w:rPr>
                <w:rFonts w:ascii="Times New Roman"/>
                <w:i/>
                <w:w w:val="105"/>
                <w:sz w:val="17"/>
              </w:rPr>
              <w:t>Vida</w:t>
            </w:r>
            <w:r w:rsidRPr="00505E82">
              <w:rPr>
                <w:rFonts w:ascii="Times New Roman"/>
                <w:i/>
                <w:spacing w:val="-19"/>
                <w:w w:val="105"/>
                <w:sz w:val="17"/>
              </w:rPr>
              <w:t xml:space="preserve"> </w:t>
            </w:r>
            <w:r w:rsidRPr="00505E82">
              <w:rPr>
                <w:rFonts w:ascii="Times New Roman"/>
                <w:i/>
                <w:w w:val="105"/>
                <w:sz w:val="17"/>
              </w:rPr>
              <w:t>Vivida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71"/>
              <w:ind w:left="67"/>
              <w:rPr>
                <w:rFonts w:ascii="Times New Roman" w:eastAsia="Times New Roman" w:hAnsi="Times New Roman"/>
                <w:sz w:val="17"/>
                <w:szCs w:val="17"/>
              </w:rPr>
            </w:pPr>
            <w:r w:rsidRPr="00505E82">
              <w:rPr>
                <w:rFonts w:ascii="Times New Roman"/>
                <w:sz w:val="17"/>
              </w:rPr>
              <w:t>Belo</w:t>
            </w:r>
            <w:r w:rsidRPr="00505E82">
              <w:rPr>
                <w:rFonts w:ascii="Times New Roman"/>
                <w:spacing w:val="32"/>
                <w:sz w:val="17"/>
              </w:rPr>
              <w:t xml:space="preserve"> </w:t>
            </w:r>
            <w:r w:rsidRPr="00505E82">
              <w:rPr>
                <w:rFonts w:ascii="Times New Roman"/>
                <w:sz w:val="17"/>
              </w:rPr>
              <w:t>Horizonte/MG</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71"/>
              <w:ind w:left="63" w:right="65"/>
              <w:rPr>
                <w:rFonts w:ascii="Times New Roman" w:eastAsia="Times New Roman" w:hAnsi="Times New Roman"/>
                <w:sz w:val="17"/>
                <w:szCs w:val="17"/>
              </w:rPr>
            </w:pPr>
            <w:r w:rsidRPr="00505E82">
              <w:rPr>
                <w:rFonts w:ascii="Times New Roman"/>
                <w:w w:val="105"/>
                <w:sz w:val="17"/>
              </w:rPr>
              <w:t>1993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71"/>
              <w:ind w:left="67"/>
              <w:rPr>
                <w:rFonts w:ascii="Times New Roman" w:eastAsia="Times New Roman" w:hAnsi="Times New Roman"/>
                <w:sz w:val="17"/>
                <w:szCs w:val="17"/>
              </w:rPr>
            </w:pPr>
            <w:r w:rsidRPr="00505E82">
              <w:rPr>
                <w:rFonts w:ascii="Times New Roman" w:hAnsi="Times New Roman"/>
                <w:w w:val="105"/>
                <w:sz w:val="17"/>
              </w:rPr>
              <w:t>saúde</w:t>
            </w:r>
          </w:p>
        </w:tc>
      </w:tr>
      <w:tr w:rsidR="00CC7D10" w:rsidTr="00505E82">
        <w:trPr>
          <w:trHeight w:hRule="exact" w:val="408"/>
        </w:trPr>
        <w:tc>
          <w:tcPr>
            <w:tcW w:w="5448" w:type="dxa"/>
            <w:tcBorders>
              <w:top w:val="single" w:sz="4" w:space="0" w:color="000000"/>
              <w:left w:val="nil"/>
              <w:bottom w:val="single" w:sz="4" w:space="0" w:color="000000"/>
              <w:right w:val="single" w:sz="4" w:space="0" w:color="000000"/>
            </w:tcBorders>
            <w:shd w:val="clear" w:color="auto" w:fill="auto"/>
          </w:tcPr>
          <w:p w:rsidR="00CC7D10" w:rsidRPr="00505E82" w:rsidRDefault="00CC7D10" w:rsidP="00505E82">
            <w:pPr>
              <w:pStyle w:val="TableParagraph"/>
              <w:spacing w:before="95"/>
              <w:ind w:left="86" w:right="128"/>
              <w:rPr>
                <w:rFonts w:ascii="Times New Roman" w:eastAsia="Times New Roman" w:hAnsi="Times New Roman"/>
                <w:sz w:val="17"/>
                <w:szCs w:val="17"/>
              </w:rPr>
            </w:pPr>
            <w:r w:rsidRPr="00505E82">
              <w:rPr>
                <w:rFonts w:ascii="Times New Roman" w:hAnsi="Times New Roman"/>
                <w:i/>
                <w:w w:val="105"/>
                <w:sz w:val="17"/>
              </w:rPr>
              <w:t>Vivência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ight="181"/>
              <w:rPr>
                <w:rFonts w:ascii="Times New Roman" w:eastAsia="Times New Roman" w:hAnsi="Times New Roman"/>
                <w:sz w:val="17"/>
                <w:szCs w:val="17"/>
              </w:rPr>
            </w:pPr>
            <w:r w:rsidRPr="00505E82">
              <w:rPr>
                <w:rFonts w:ascii="Times New Roman"/>
                <w:w w:val="105"/>
                <w:sz w:val="17"/>
              </w:rPr>
              <w:t>Campinas/SP</w:t>
            </w:r>
          </w:p>
        </w:tc>
        <w:tc>
          <w:tcPr>
            <w:tcW w:w="934"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247" w:lineRule="auto"/>
              <w:ind w:left="62" w:right="65"/>
              <w:rPr>
                <w:rFonts w:ascii="Times New Roman" w:eastAsia="Times New Roman" w:hAnsi="Times New Roman"/>
                <w:sz w:val="17"/>
                <w:szCs w:val="17"/>
              </w:rPr>
            </w:pPr>
            <w:r w:rsidRPr="00505E82">
              <w:rPr>
                <w:rFonts w:ascii="Times New Roman" w:hAnsi="Times New Roman"/>
                <w:w w:val="105"/>
                <w:sz w:val="17"/>
              </w:rPr>
              <w:t>anos Quércia/ Fleury</w:t>
            </w:r>
            <w:r w:rsidRPr="00505E82">
              <w:rPr>
                <w:rFonts w:ascii="Times New Roman" w:hAnsi="Times New Roman"/>
                <w:spacing w:val="-29"/>
                <w:w w:val="105"/>
                <w:sz w:val="17"/>
              </w:rPr>
              <w:t xml:space="preserve"> </w:t>
            </w:r>
            <w:r w:rsidRPr="00505E82">
              <w:rPr>
                <w:rFonts w:ascii="Times New Roman" w:hAnsi="Times New Roman"/>
                <w:w w:val="105"/>
                <w:sz w:val="17"/>
              </w:rPr>
              <w:t>1987-94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line="195" w:lineRule="exact"/>
              <w:ind w:left="67"/>
              <w:rPr>
                <w:rFonts w:ascii="Times New Roman" w:eastAsia="Times New Roman" w:hAnsi="Times New Roman"/>
                <w:sz w:val="17"/>
                <w:szCs w:val="17"/>
              </w:rPr>
            </w:pPr>
            <w:r w:rsidRPr="00505E82">
              <w:rPr>
                <w:rFonts w:ascii="Times New Roman"/>
                <w:w w:val="105"/>
                <w:sz w:val="17"/>
              </w:rPr>
              <w:t>segunda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CC7D10" w:rsidRPr="00505E82" w:rsidRDefault="00CC7D10" w:rsidP="00505E82">
            <w:pPr>
              <w:pStyle w:val="TableParagraph"/>
              <w:spacing w:before="95"/>
              <w:ind w:left="67"/>
              <w:rPr>
                <w:rFonts w:ascii="Times New Roman" w:eastAsia="Times New Roman" w:hAnsi="Times New Roman"/>
                <w:sz w:val="17"/>
                <w:szCs w:val="17"/>
              </w:rPr>
            </w:pPr>
            <w:r w:rsidRPr="00505E82">
              <w:rPr>
                <w:rFonts w:ascii="Times New Roman"/>
                <w:w w:val="105"/>
                <w:sz w:val="17"/>
              </w:rPr>
              <w:t>estatal</w:t>
            </w:r>
          </w:p>
        </w:tc>
      </w:tr>
    </w:tbl>
    <w:p w:rsidR="00CC7D10" w:rsidRDefault="00CC7D10" w:rsidP="00CC7D10">
      <w:pPr>
        <w:spacing w:before="9"/>
        <w:rPr>
          <w:rFonts w:ascii="Times New Roman" w:eastAsia="Times New Roman" w:hAnsi="Times New Roman"/>
          <w:sz w:val="8"/>
          <w:szCs w:val="8"/>
        </w:rPr>
      </w:pPr>
    </w:p>
    <w:p w:rsidR="00CC7D10" w:rsidRDefault="00CC7D10" w:rsidP="00CC7D10">
      <w:pPr>
        <w:spacing w:before="73"/>
        <w:ind w:left="1017" w:right="248"/>
        <w:rPr>
          <w:rFonts w:ascii="Times New Roman" w:eastAsia="Times New Roman" w:hAnsi="Times New Roman"/>
          <w:sz w:val="23"/>
          <w:szCs w:val="23"/>
        </w:rPr>
      </w:pPr>
      <w:r>
        <w:rPr>
          <w:rFonts w:ascii="Times New Roman" w:hAnsi="Times New Roman"/>
          <w:b/>
          <w:sz w:val="23"/>
        </w:rPr>
        <w:t>Referencias</w:t>
      </w:r>
      <w:r>
        <w:rPr>
          <w:rFonts w:ascii="Times New Roman" w:hAnsi="Times New Roman"/>
          <w:b/>
          <w:spacing w:val="33"/>
          <w:sz w:val="23"/>
        </w:rPr>
        <w:t xml:space="preserve"> </w:t>
      </w:r>
      <w:r>
        <w:rPr>
          <w:rFonts w:ascii="Times New Roman" w:hAnsi="Times New Roman"/>
          <w:b/>
          <w:sz w:val="23"/>
        </w:rPr>
        <w:t>bibliográficas</w:t>
      </w:r>
    </w:p>
    <w:p w:rsidR="00CC7D10" w:rsidRDefault="00CC7D10" w:rsidP="00CC7D10">
      <w:pPr>
        <w:spacing w:before="4" w:line="362" w:lineRule="auto"/>
        <w:ind w:left="134" w:right="428" w:firstLine="345"/>
        <w:rPr>
          <w:rFonts w:ascii="Times New Roman" w:eastAsia="Times New Roman" w:hAnsi="Times New Roman"/>
          <w:sz w:val="23"/>
          <w:szCs w:val="23"/>
        </w:rPr>
      </w:pPr>
      <w:r>
        <w:rPr>
          <w:rFonts w:ascii="Times New Roman" w:hAnsi="Times New Roman"/>
          <w:sz w:val="23"/>
        </w:rPr>
        <w:lastRenderedPageBreak/>
        <w:t xml:space="preserve">AVELAR, Lúcia. (2001) </w:t>
      </w:r>
      <w:r>
        <w:rPr>
          <w:rFonts w:ascii="Times New Roman" w:hAnsi="Times New Roman"/>
          <w:i/>
          <w:sz w:val="23"/>
        </w:rPr>
        <w:t>Mulheres na elite política brasileira</w:t>
      </w:r>
      <w:r>
        <w:rPr>
          <w:rFonts w:ascii="Times New Roman" w:hAnsi="Times New Roman"/>
          <w:sz w:val="23"/>
        </w:rPr>
        <w:t>. São Paulo (SP), Fundação Konrad Adenauer, Editora</w:t>
      </w:r>
      <w:r>
        <w:rPr>
          <w:rFonts w:ascii="Times New Roman" w:hAnsi="Times New Roman"/>
          <w:spacing w:val="39"/>
          <w:sz w:val="23"/>
        </w:rPr>
        <w:t xml:space="preserve"> </w:t>
      </w:r>
      <w:r>
        <w:rPr>
          <w:rFonts w:ascii="Times New Roman" w:hAnsi="Times New Roman"/>
          <w:sz w:val="23"/>
        </w:rPr>
        <w:t>Unesp.</w:t>
      </w:r>
    </w:p>
    <w:p w:rsidR="00CC7D10" w:rsidRDefault="00CC7D10" w:rsidP="00CC7D10">
      <w:pPr>
        <w:pStyle w:val="Corpodetexto"/>
        <w:spacing w:before="9" w:line="369" w:lineRule="auto"/>
        <w:ind w:left="134" w:right="429" w:firstLine="345"/>
        <w:jc w:val="both"/>
      </w:pPr>
      <w:r>
        <w:t xml:space="preserve">BRUSCHINI, Cristina e COSTA, Albertina de Oliveira. (1992) </w:t>
      </w:r>
      <w:r>
        <w:rPr>
          <w:i/>
        </w:rPr>
        <w:t xml:space="preserve">Uma questão de gênero. </w:t>
      </w:r>
      <w:r>
        <w:rPr>
          <w:spacing w:val="-2"/>
        </w:rPr>
        <w:t xml:space="preserve">Rio </w:t>
      </w:r>
      <w:r>
        <w:t xml:space="preserve">de janeiro (RJ), </w:t>
      </w:r>
      <w:r>
        <w:rPr>
          <w:spacing w:val="2"/>
        </w:rPr>
        <w:t xml:space="preserve">Rosa </w:t>
      </w:r>
      <w:r>
        <w:t xml:space="preserve">dos Tempos e São Paulo, Fundação Carlos </w:t>
      </w:r>
      <w:r>
        <w:rPr>
          <w:spacing w:val="5"/>
        </w:rPr>
        <w:t xml:space="preserve"> </w:t>
      </w:r>
      <w:r>
        <w:t>Chagas.</w:t>
      </w:r>
    </w:p>
    <w:p w:rsidR="00CC7D10" w:rsidRDefault="00CC7D10" w:rsidP="00CC7D10">
      <w:pPr>
        <w:spacing w:line="364" w:lineRule="auto"/>
        <w:ind w:left="134" w:right="429" w:firstLine="345"/>
        <w:rPr>
          <w:rFonts w:ascii="Times New Roman" w:eastAsia="Times New Roman" w:hAnsi="Times New Roman"/>
          <w:sz w:val="23"/>
          <w:szCs w:val="23"/>
        </w:rPr>
      </w:pPr>
      <w:r>
        <w:rPr>
          <w:rFonts w:ascii="Times New Roman" w:hAnsi="Times New Roman"/>
          <w:sz w:val="23"/>
        </w:rPr>
        <w:t xml:space="preserve">BUITTONI, Dulcília Schroeder. (1981) </w:t>
      </w:r>
      <w:r>
        <w:rPr>
          <w:rFonts w:ascii="Times New Roman" w:hAnsi="Times New Roman"/>
          <w:i/>
          <w:sz w:val="23"/>
        </w:rPr>
        <w:t>Mulher de papel: a representação da mulher na imprensa feminina brasileira</w:t>
      </w:r>
      <w:r>
        <w:rPr>
          <w:rFonts w:ascii="Times New Roman" w:hAnsi="Times New Roman"/>
          <w:sz w:val="23"/>
        </w:rPr>
        <w:t>. São Paulo (SP),</w:t>
      </w:r>
      <w:r>
        <w:rPr>
          <w:rFonts w:ascii="Times New Roman" w:hAnsi="Times New Roman"/>
          <w:spacing w:val="49"/>
          <w:sz w:val="23"/>
        </w:rPr>
        <w:t xml:space="preserve"> </w:t>
      </w:r>
      <w:r>
        <w:rPr>
          <w:rFonts w:ascii="Times New Roman" w:hAnsi="Times New Roman"/>
          <w:sz w:val="23"/>
        </w:rPr>
        <w:t>Loyola.</w:t>
      </w:r>
    </w:p>
    <w:p w:rsidR="00CC7D10" w:rsidRDefault="00CC7D10" w:rsidP="00CC7D10">
      <w:pPr>
        <w:tabs>
          <w:tab w:val="left" w:pos="3404"/>
        </w:tabs>
        <w:spacing w:before="6"/>
        <w:ind w:left="479" w:right="248"/>
        <w:rPr>
          <w:rFonts w:ascii="Times New Roman" w:eastAsia="Times New Roman" w:hAnsi="Times New Roman"/>
          <w:sz w:val="23"/>
          <w:szCs w:val="23"/>
        </w:rPr>
      </w:pPr>
      <w:r>
        <w:rPr>
          <w:rFonts w:ascii="Times New Roman" w:hAnsi="Times New Roman"/>
          <w:spacing w:val="3"/>
          <w:sz w:val="23"/>
        </w:rPr>
        <w:t>_</w:t>
      </w:r>
      <w:r>
        <w:rPr>
          <w:rFonts w:ascii="Times New Roman" w:hAnsi="Times New Roman"/>
          <w:spacing w:val="3"/>
          <w:sz w:val="23"/>
          <w:u w:val="single" w:color="000000"/>
        </w:rPr>
        <w:t xml:space="preserve"> </w:t>
      </w:r>
      <w:r>
        <w:rPr>
          <w:rFonts w:ascii="Times New Roman" w:hAnsi="Times New Roman"/>
          <w:spacing w:val="3"/>
          <w:sz w:val="23"/>
          <w:u w:val="single" w:color="000000"/>
        </w:rPr>
        <w:tab/>
      </w:r>
      <w:r>
        <w:rPr>
          <w:rFonts w:ascii="Times New Roman" w:hAnsi="Times New Roman"/>
          <w:sz w:val="23"/>
        </w:rPr>
        <w:t xml:space="preserve">_. (1986) </w:t>
      </w:r>
      <w:r>
        <w:rPr>
          <w:rFonts w:ascii="Times New Roman" w:hAnsi="Times New Roman"/>
          <w:i/>
          <w:sz w:val="23"/>
        </w:rPr>
        <w:t>Imprensa feminina</w:t>
      </w:r>
      <w:r>
        <w:rPr>
          <w:rFonts w:ascii="Times New Roman" w:hAnsi="Times New Roman"/>
          <w:sz w:val="23"/>
        </w:rPr>
        <w:t xml:space="preserve">. São Paulo (SP), Editora </w:t>
      </w:r>
      <w:r>
        <w:rPr>
          <w:rFonts w:ascii="Times New Roman" w:hAnsi="Times New Roman"/>
          <w:spacing w:val="9"/>
          <w:sz w:val="23"/>
        </w:rPr>
        <w:t xml:space="preserve"> </w:t>
      </w:r>
      <w:r>
        <w:rPr>
          <w:rFonts w:ascii="Times New Roman" w:hAnsi="Times New Roman"/>
          <w:sz w:val="23"/>
        </w:rPr>
        <w:t>Ática.</w:t>
      </w:r>
    </w:p>
    <w:p w:rsidR="00CC7D10" w:rsidRDefault="00CC7D10" w:rsidP="00CC7D10">
      <w:pPr>
        <w:spacing w:before="143" w:line="362" w:lineRule="auto"/>
        <w:ind w:left="134" w:right="420" w:firstLine="345"/>
        <w:rPr>
          <w:rFonts w:ascii="Times New Roman" w:eastAsia="Times New Roman" w:hAnsi="Times New Roman"/>
          <w:sz w:val="23"/>
          <w:szCs w:val="23"/>
        </w:rPr>
      </w:pPr>
      <w:r>
        <w:rPr>
          <w:rFonts w:ascii="Times New Roman" w:eastAsia="Times New Roman" w:hAnsi="Times New Roman"/>
          <w:sz w:val="23"/>
          <w:szCs w:val="23"/>
        </w:rPr>
        <w:t xml:space="preserve">GOLDBERG, Anette. (1989) </w:t>
      </w:r>
      <w:r>
        <w:rPr>
          <w:rFonts w:ascii="Times New Roman" w:eastAsia="Times New Roman" w:hAnsi="Times New Roman"/>
          <w:i/>
          <w:sz w:val="23"/>
          <w:szCs w:val="23"/>
        </w:rPr>
        <w:t xml:space="preserve">Feminismo no Brasil contemporâneo: o percurso intelectual </w:t>
      </w:r>
      <w:r>
        <w:rPr>
          <w:rFonts w:ascii="Times New Roman" w:eastAsia="Times New Roman" w:hAnsi="Times New Roman"/>
          <w:i/>
          <w:spacing w:val="4"/>
          <w:sz w:val="23"/>
          <w:szCs w:val="23"/>
        </w:rPr>
        <w:t xml:space="preserve">de  </w:t>
      </w:r>
      <w:r>
        <w:rPr>
          <w:rFonts w:ascii="Times New Roman" w:eastAsia="Times New Roman" w:hAnsi="Times New Roman"/>
          <w:i/>
          <w:sz w:val="23"/>
          <w:szCs w:val="23"/>
        </w:rPr>
        <w:t>um  ideário político.</w:t>
      </w:r>
      <w:r>
        <w:rPr>
          <w:rFonts w:ascii="Times New Roman" w:eastAsia="Times New Roman" w:hAnsi="Times New Roman"/>
          <w:sz w:val="23"/>
          <w:szCs w:val="23"/>
        </w:rPr>
        <w:t xml:space="preserve">, </w:t>
      </w:r>
      <w:r>
        <w:rPr>
          <w:rFonts w:ascii="Times New Roman" w:eastAsia="Times New Roman" w:hAnsi="Times New Roman"/>
          <w:spacing w:val="-3"/>
          <w:sz w:val="23"/>
          <w:szCs w:val="23"/>
        </w:rPr>
        <w:t xml:space="preserve">In </w:t>
      </w:r>
      <w:r>
        <w:rPr>
          <w:rFonts w:ascii="Times New Roman" w:eastAsia="Times New Roman" w:hAnsi="Times New Roman"/>
          <w:sz w:val="23"/>
          <w:szCs w:val="23"/>
        </w:rPr>
        <w:t xml:space="preserve">BIB. Rio </w:t>
      </w:r>
      <w:r>
        <w:rPr>
          <w:rFonts w:ascii="Times New Roman" w:eastAsia="Times New Roman" w:hAnsi="Times New Roman"/>
          <w:spacing w:val="4"/>
          <w:sz w:val="23"/>
          <w:szCs w:val="23"/>
        </w:rPr>
        <w:t xml:space="preserve">de </w:t>
      </w:r>
      <w:r>
        <w:rPr>
          <w:rFonts w:ascii="Times New Roman" w:eastAsia="Times New Roman" w:hAnsi="Times New Roman"/>
          <w:sz w:val="23"/>
          <w:szCs w:val="23"/>
        </w:rPr>
        <w:t xml:space="preserve">Janeiro, número 28, pp. 42 – </w:t>
      </w:r>
      <w:r>
        <w:rPr>
          <w:rFonts w:ascii="Times New Roman" w:eastAsia="Times New Roman" w:hAnsi="Times New Roman"/>
          <w:spacing w:val="2"/>
          <w:sz w:val="23"/>
          <w:szCs w:val="23"/>
        </w:rPr>
        <w:t xml:space="preserve">70, </w:t>
      </w:r>
      <w:r>
        <w:rPr>
          <w:rFonts w:ascii="Times New Roman" w:eastAsia="Times New Roman" w:hAnsi="Times New Roman"/>
          <w:sz w:val="23"/>
          <w:szCs w:val="23"/>
        </w:rPr>
        <w:t xml:space="preserve">2º </w:t>
      </w:r>
      <w:r>
        <w:rPr>
          <w:rFonts w:ascii="Times New Roman" w:eastAsia="Times New Roman" w:hAnsi="Times New Roman"/>
          <w:spacing w:val="20"/>
          <w:sz w:val="23"/>
          <w:szCs w:val="23"/>
        </w:rPr>
        <w:t xml:space="preserve"> </w:t>
      </w:r>
      <w:r>
        <w:rPr>
          <w:rFonts w:ascii="Times New Roman" w:eastAsia="Times New Roman" w:hAnsi="Times New Roman"/>
          <w:sz w:val="23"/>
          <w:szCs w:val="23"/>
        </w:rPr>
        <w:t>semestre.</w:t>
      </w:r>
    </w:p>
    <w:p w:rsidR="00CC7D10" w:rsidRDefault="00CC7D10" w:rsidP="00CC7D10">
      <w:pPr>
        <w:pStyle w:val="Corpodetexto"/>
        <w:spacing w:before="9" w:line="364" w:lineRule="auto"/>
        <w:ind w:left="134" w:right="428" w:firstLine="345"/>
        <w:jc w:val="both"/>
      </w:pPr>
      <w:r>
        <w:t xml:space="preserve">HEILNORN, Maria Luiza e SORJ, Bila. (1999) </w:t>
      </w:r>
      <w:r>
        <w:rPr>
          <w:i/>
        </w:rPr>
        <w:t xml:space="preserve">Estudos de gênero no Brasil </w:t>
      </w:r>
      <w:r>
        <w:rPr>
          <w:spacing w:val="-4"/>
        </w:rPr>
        <w:t xml:space="preserve">in </w:t>
      </w:r>
      <w:r>
        <w:t xml:space="preserve">MICELI, Sérgio (org.). São Paulo (SP). </w:t>
      </w:r>
      <w:r>
        <w:rPr>
          <w:u w:val="single" w:color="000000"/>
        </w:rPr>
        <w:t>O que ler na Ciência Social Brasileira (1970-1995)</w:t>
      </w:r>
      <w:r>
        <w:t>. São Paulo (SP), Editora Sumaré, ANPOCS, Brasília, DF,</w:t>
      </w:r>
      <w:r>
        <w:rPr>
          <w:spacing w:val="37"/>
        </w:rPr>
        <w:t xml:space="preserve"> </w:t>
      </w:r>
      <w:r>
        <w:t>CAPES.</w:t>
      </w:r>
    </w:p>
    <w:p w:rsidR="00CC7D10" w:rsidRDefault="00CC7D10" w:rsidP="00CC7D10">
      <w:pPr>
        <w:spacing w:before="11" w:line="364" w:lineRule="auto"/>
        <w:ind w:left="134" w:right="429" w:firstLine="345"/>
        <w:rPr>
          <w:rFonts w:ascii="Times New Roman" w:eastAsia="Times New Roman" w:hAnsi="Times New Roman"/>
          <w:sz w:val="23"/>
          <w:szCs w:val="23"/>
        </w:rPr>
      </w:pPr>
      <w:r>
        <w:rPr>
          <w:rFonts w:ascii="Times New Roman" w:hAnsi="Times New Roman"/>
          <w:sz w:val="23"/>
        </w:rPr>
        <w:t xml:space="preserve">KUCINSKI, Bernardo. (1991) </w:t>
      </w:r>
      <w:r>
        <w:rPr>
          <w:rFonts w:ascii="Times New Roman" w:hAnsi="Times New Roman"/>
          <w:i/>
          <w:sz w:val="23"/>
        </w:rPr>
        <w:t>Jornalistas e revolucionários: nos tempos da imprensa alternativa</w:t>
      </w:r>
      <w:r>
        <w:rPr>
          <w:rFonts w:ascii="Times New Roman" w:hAnsi="Times New Roman"/>
          <w:sz w:val="23"/>
        </w:rPr>
        <w:t>. São Paulo,</w:t>
      </w:r>
      <w:r>
        <w:rPr>
          <w:rFonts w:ascii="Times New Roman" w:hAnsi="Times New Roman"/>
          <w:spacing w:val="18"/>
          <w:sz w:val="23"/>
        </w:rPr>
        <w:t xml:space="preserve"> </w:t>
      </w:r>
      <w:r>
        <w:rPr>
          <w:rFonts w:ascii="Times New Roman" w:hAnsi="Times New Roman"/>
          <w:sz w:val="23"/>
        </w:rPr>
        <w:t>Scritta.</w:t>
      </w:r>
    </w:p>
    <w:p w:rsidR="00CC7D10" w:rsidRDefault="00CC7D10" w:rsidP="00CC7D10">
      <w:pPr>
        <w:spacing w:before="6" w:line="364" w:lineRule="auto"/>
        <w:ind w:left="134" w:right="426" w:firstLine="345"/>
        <w:rPr>
          <w:rFonts w:ascii="Times New Roman" w:eastAsia="Times New Roman" w:hAnsi="Times New Roman"/>
          <w:sz w:val="23"/>
          <w:szCs w:val="23"/>
        </w:rPr>
      </w:pPr>
      <w:r>
        <w:rPr>
          <w:rFonts w:ascii="Times New Roman" w:hAnsi="Times New Roman"/>
          <w:sz w:val="23"/>
        </w:rPr>
        <w:t xml:space="preserve">MIGUEL, Sônia Malheiros. (1988) </w:t>
      </w:r>
      <w:r>
        <w:rPr>
          <w:rFonts w:ascii="Times New Roman" w:hAnsi="Times New Roman"/>
          <w:i/>
          <w:sz w:val="23"/>
        </w:rPr>
        <w:t>Um olhar para dentro: o movimento feminista no Rio de Janeiro</w:t>
      </w:r>
      <w:r>
        <w:rPr>
          <w:rFonts w:ascii="Times New Roman" w:hAnsi="Times New Roman"/>
          <w:sz w:val="23"/>
        </w:rPr>
        <w:t>. Dissertação de mestrado apresentada no Programa de Pós-graduação em Ciências Sociais da Universidade Federal de Santa</w:t>
      </w:r>
      <w:r>
        <w:rPr>
          <w:rFonts w:ascii="Times New Roman" w:hAnsi="Times New Roman"/>
          <w:spacing w:val="32"/>
          <w:sz w:val="23"/>
        </w:rPr>
        <w:t xml:space="preserve"> </w:t>
      </w:r>
      <w:r>
        <w:rPr>
          <w:rFonts w:ascii="Times New Roman" w:hAnsi="Times New Roman"/>
          <w:sz w:val="23"/>
        </w:rPr>
        <w:t>Catarina.</w:t>
      </w:r>
    </w:p>
    <w:p w:rsidR="00CC7D10" w:rsidRDefault="00CC7D10" w:rsidP="00CC7D10">
      <w:pPr>
        <w:spacing w:before="6" w:line="364" w:lineRule="auto"/>
        <w:ind w:left="134" w:right="416" w:firstLine="345"/>
        <w:rPr>
          <w:rFonts w:ascii="Times New Roman" w:eastAsia="Times New Roman" w:hAnsi="Times New Roman"/>
          <w:sz w:val="23"/>
          <w:szCs w:val="23"/>
        </w:rPr>
      </w:pPr>
      <w:r>
        <w:rPr>
          <w:rFonts w:ascii="Times New Roman" w:hAnsi="Times New Roman"/>
          <w:sz w:val="23"/>
        </w:rPr>
        <w:t xml:space="preserve">NEHRING, Maria Lygia Quartim de Moraes. (1981) </w:t>
      </w:r>
      <w:r>
        <w:rPr>
          <w:rFonts w:ascii="Times New Roman" w:hAnsi="Times New Roman"/>
          <w:i/>
          <w:sz w:val="23"/>
        </w:rPr>
        <w:t>Família e feminismo: reflexões sobre papéis femininos na imprensa para mulheres</w:t>
      </w:r>
      <w:r>
        <w:rPr>
          <w:rFonts w:ascii="Times New Roman" w:hAnsi="Times New Roman"/>
          <w:sz w:val="23"/>
        </w:rPr>
        <w:t xml:space="preserve">. São Paulo, tese de doutoramento </w:t>
      </w:r>
      <w:r>
        <w:rPr>
          <w:rFonts w:ascii="Times New Roman" w:hAnsi="Times New Roman"/>
          <w:spacing w:val="3"/>
          <w:sz w:val="23"/>
        </w:rPr>
        <w:t xml:space="preserve">em </w:t>
      </w:r>
      <w:r>
        <w:rPr>
          <w:rFonts w:ascii="Times New Roman" w:hAnsi="Times New Roman"/>
          <w:sz w:val="23"/>
        </w:rPr>
        <w:t xml:space="preserve">Ciências Políticas, apresentado ao Departamento de Ciências </w:t>
      </w:r>
      <w:r>
        <w:rPr>
          <w:rFonts w:ascii="Times New Roman" w:hAnsi="Times New Roman"/>
          <w:sz w:val="23"/>
        </w:rPr>
        <w:lastRenderedPageBreak/>
        <w:t xml:space="preserve">Sociais da Faculdade de Filosofia, Letras e Ciências Humanas </w:t>
      </w:r>
      <w:r>
        <w:rPr>
          <w:rFonts w:ascii="Times New Roman" w:hAnsi="Times New Roman"/>
          <w:spacing w:val="4"/>
          <w:sz w:val="23"/>
        </w:rPr>
        <w:t xml:space="preserve">da  </w:t>
      </w:r>
      <w:r>
        <w:rPr>
          <w:rFonts w:ascii="Times New Roman" w:hAnsi="Times New Roman"/>
          <w:sz w:val="23"/>
        </w:rPr>
        <w:t>Universidade de São</w:t>
      </w:r>
      <w:r>
        <w:rPr>
          <w:rFonts w:ascii="Times New Roman" w:hAnsi="Times New Roman"/>
          <w:spacing w:val="38"/>
          <w:sz w:val="23"/>
        </w:rPr>
        <w:t xml:space="preserve"> </w:t>
      </w:r>
      <w:r>
        <w:rPr>
          <w:rFonts w:ascii="Times New Roman" w:hAnsi="Times New Roman"/>
          <w:sz w:val="23"/>
        </w:rPr>
        <w:t>Paulo.</w:t>
      </w:r>
    </w:p>
    <w:p w:rsidR="00CC7D10" w:rsidRDefault="00CC7D10" w:rsidP="00CC7D10">
      <w:pPr>
        <w:spacing w:before="1" w:line="364" w:lineRule="auto"/>
        <w:ind w:left="134" w:right="422" w:firstLine="345"/>
        <w:rPr>
          <w:rFonts w:ascii="Times New Roman" w:eastAsia="Times New Roman" w:hAnsi="Times New Roman"/>
          <w:sz w:val="23"/>
          <w:szCs w:val="23"/>
        </w:rPr>
      </w:pPr>
      <w:r>
        <w:rPr>
          <w:rFonts w:ascii="Times New Roman" w:hAnsi="Times New Roman"/>
          <w:sz w:val="23"/>
        </w:rPr>
        <w:t xml:space="preserve">PRÁ, Jussara Reis e BRITO, Maria Noemi Castilho. (1987) </w:t>
      </w:r>
      <w:r>
        <w:rPr>
          <w:rFonts w:ascii="Times New Roman" w:hAnsi="Times New Roman"/>
          <w:i/>
          <w:sz w:val="23"/>
        </w:rPr>
        <w:t>Movimento de mulheres no Sul do Brasil: 1975 a 1987</w:t>
      </w:r>
      <w:r>
        <w:rPr>
          <w:rFonts w:ascii="Times New Roman" w:hAnsi="Times New Roman"/>
          <w:sz w:val="23"/>
        </w:rPr>
        <w:t xml:space="preserve">. Mimio apresentado no XI Encontro da ANPOCS - Águas de São Pedro (SP) no </w:t>
      </w:r>
      <w:r>
        <w:rPr>
          <w:rFonts w:ascii="Times New Roman" w:hAnsi="Times New Roman"/>
          <w:spacing w:val="-3"/>
          <w:sz w:val="23"/>
        </w:rPr>
        <w:t xml:space="preserve">GT </w:t>
      </w:r>
      <w:r>
        <w:rPr>
          <w:rFonts w:ascii="Times New Roman" w:hAnsi="Times New Roman"/>
          <w:sz w:val="23"/>
        </w:rPr>
        <w:t>Família e Sociedade.</w:t>
      </w:r>
    </w:p>
    <w:p w:rsidR="00CC7D10" w:rsidRDefault="00CC7D10" w:rsidP="00CC7D10">
      <w:pPr>
        <w:spacing w:before="6" w:line="364" w:lineRule="auto"/>
        <w:ind w:left="479" w:right="248"/>
        <w:rPr>
          <w:rFonts w:ascii="Times New Roman" w:eastAsia="Times New Roman" w:hAnsi="Times New Roman"/>
          <w:sz w:val="23"/>
          <w:szCs w:val="23"/>
        </w:rPr>
      </w:pPr>
      <w:r>
        <w:rPr>
          <w:rFonts w:ascii="Times New Roman" w:hAnsi="Times New Roman"/>
          <w:sz w:val="23"/>
        </w:rPr>
        <w:t xml:space="preserve">SODRÉ, Nelson Werneck </w:t>
      </w:r>
      <w:r>
        <w:rPr>
          <w:rFonts w:ascii="Times New Roman" w:hAnsi="Times New Roman"/>
          <w:spacing w:val="-3"/>
          <w:sz w:val="23"/>
        </w:rPr>
        <w:t xml:space="preserve">(4 </w:t>
      </w:r>
      <w:r>
        <w:rPr>
          <w:rFonts w:ascii="Times New Roman" w:hAnsi="Times New Roman"/>
          <w:sz w:val="23"/>
        </w:rPr>
        <w:t xml:space="preserve">edição, 1999) </w:t>
      </w:r>
      <w:r>
        <w:rPr>
          <w:rFonts w:ascii="Times New Roman" w:hAnsi="Times New Roman"/>
          <w:i/>
          <w:sz w:val="23"/>
        </w:rPr>
        <w:t>História da imprensa no Brasil</w:t>
      </w:r>
      <w:r>
        <w:rPr>
          <w:rFonts w:ascii="Times New Roman" w:hAnsi="Times New Roman"/>
          <w:sz w:val="23"/>
        </w:rPr>
        <w:t xml:space="preserve">. Rio de Janeiro, Mauad. TELES,  Maria  Amélia </w:t>
      </w:r>
      <w:r>
        <w:rPr>
          <w:rFonts w:ascii="Times New Roman" w:hAnsi="Times New Roman"/>
          <w:spacing w:val="4"/>
          <w:sz w:val="23"/>
        </w:rPr>
        <w:t xml:space="preserve">de </w:t>
      </w:r>
      <w:r>
        <w:rPr>
          <w:rFonts w:ascii="Times New Roman" w:hAnsi="Times New Roman"/>
          <w:sz w:val="23"/>
        </w:rPr>
        <w:t xml:space="preserve">Almeida.  (1993) </w:t>
      </w:r>
      <w:r>
        <w:rPr>
          <w:rFonts w:ascii="Times New Roman" w:hAnsi="Times New Roman"/>
          <w:i/>
          <w:sz w:val="23"/>
        </w:rPr>
        <w:t>Breve  história do  feminismo no  Brasil</w:t>
      </w:r>
      <w:r>
        <w:rPr>
          <w:rFonts w:ascii="Times New Roman" w:hAnsi="Times New Roman"/>
          <w:sz w:val="23"/>
        </w:rPr>
        <w:t xml:space="preserve">.  Brasiliense.  </w:t>
      </w:r>
      <w:r>
        <w:rPr>
          <w:rFonts w:ascii="Times New Roman" w:hAnsi="Times New Roman"/>
          <w:spacing w:val="19"/>
          <w:sz w:val="23"/>
        </w:rPr>
        <w:t xml:space="preserve"> </w:t>
      </w:r>
      <w:r>
        <w:rPr>
          <w:rFonts w:ascii="Times New Roman" w:hAnsi="Times New Roman"/>
          <w:sz w:val="23"/>
        </w:rPr>
        <w:t>São</w:t>
      </w:r>
    </w:p>
    <w:p w:rsidR="00CC7D10" w:rsidRDefault="00CC7D10" w:rsidP="00CC7D10">
      <w:pPr>
        <w:pStyle w:val="Corpodetexto"/>
        <w:spacing w:before="6"/>
        <w:ind w:left="134" w:right="248" w:firstLine="0"/>
      </w:pPr>
      <w:r>
        <w:t>Paulo</w:t>
      </w:r>
      <w:r>
        <w:rPr>
          <w:spacing w:val="9"/>
        </w:rPr>
        <w:t xml:space="preserve"> </w:t>
      </w:r>
      <w:r>
        <w:t>(SP).</w:t>
      </w:r>
    </w:p>
    <w:p w:rsidR="00CC7D10" w:rsidRPr="009741F1" w:rsidRDefault="00CC7D10" w:rsidP="009741F1"/>
    <w:sectPr w:rsidR="00CC7D10" w:rsidRPr="009741F1" w:rsidSect="00172882">
      <w:headerReference w:type="default" r:id="rId40"/>
      <w:footerReference w:type="default" r:id="rId4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F77" w:rsidRDefault="00BE7F77" w:rsidP="00EC1E8F">
      <w:pPr>
        <w:spacing w:line="240" w:lineRule="auto"/>
      </w:pPr>
      <w:r>
        <w:separator/>
      </w:r>
    </w:p>
  </w:endnote>
  <w:endnote w:type="continuationSeparator" w:id="0">
    <w:p w:rsidR="00BE7F77" w:rsidRDefault="00BE7F77" w:rsidP="00EC1E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stem">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5B" w:rsidRDefault="0088415B">
    <w:pPr>
      <w:pStyle w:val="Rodap"/>
      <w:jc w:val="right"/>
    </w:pPr>
    <w:fldSimple w:instr=" PAGE   \* MERGEFORMAT ">
      <w:r w:rsidR="00572729">
        <w:rPr>
          <w:noProof/>
        </w:rPr>
        <w:t>204</w:t>
      </w:r>
    </w:fldSimple>
  </w:p>
  <w:p w:rsidR="0088415B" w:rsidRDefault="0088415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F77" w:rsidRDefault="00BE7F77" w:rsidP="00EC1E8F">
      <w:pPr>
        <w:spacing w:line="240" w:lineRule="auto"/>
      </w:pPr>
      <w:r>
        <w:separator/>
      </w:r>
    </w:p>
  </w:footnote>
  <w:footnote w:type="continuationSeparator" w:id="0">
    <w:p w:rsidR="00BE7F77" w:rsidRDefault="00BE7F77" w:rsidP="00EC1E8F">
      <w:pPr>
        <w:spacing w:line="240" w:lineRule="auto"/>
      </w:pPr>
      <w:r>
        <w:continuationSeparator/>
      </w:r>
    </w:p>
  </w:footnote>
  <w:footnote w:id="1">
    <w:p w:rsidR="00771796" w:rsidRDefault="00771796" w:rsidP="00771796">
      <w:pPr>
        <w:pStyle w:val="Textodenotaderodap"/>
      </w:pPr>
    </w:p>
  </w:footnote>
  <w:footnote w:id="2">
    <w:p w:rsidR="00771796" w:rsidRDefault="00771796" w:rsidP="00771796">
      <w:pPr>
        <w:pStyle w:val="Corpodetexto"/>
        <w:autoSpaceDE w:val="0"/>
        <w:autoSpaceDN w:val="0"/>
        <w:adjustRightInd w:val="0"/>
      </w:pPr>
      <w:r>
        <w:rPr>
          <w:rStyle w:val="Refdenotaderodap"/>
          <w:sz w:val="20"/>
          <w:szCs w:val="20"/>
        </w:rPr>
        <w:footnoteRef/>
      </w:r>
      <w:r>
        <w:rPr>
          <w:sz w:val="20"/>
          <w:szCs w:val="20"/>
        </w:rPr>
        <w:t xml:space="preserve"> AVRITZER, Leonardo (s/d).  </w:t>
      </w:r>
    </w:p>
  </w:footnote>
  <w:footnote w:id="3">
    <w:p w:rsidR="00771796" w:rsidRDefault="00771796" w:rsidP="00771796">
      <w:pPr>
        <w:pStyle w:val="Textodenotaderodap"/>
        <w:jc w:val="both"/>
      </w:pPr>
      <w:r>
        <w:rPr>
          <w:rStyle w:val="Refdenotaderodap"/>
        </w:rPr>
        <w:footnoteRef/>
      </w:r>
      <w:r>
        <w:t xml:space="preserve"> Comissão fiscalizadora do Orçamento Participativo de Belo Horizonte composta por membros da sociedade civil que acompanham a execução das obras votadas no OP. </w:t>
      </w:r>
    </w:p>
  </w:footnote>
  <w:footnote w:id="4">
    <w:p w:rsidR="00771796" w:rsidRDefault="00771796" w:rsidP="00771796">
      <w:pPr>
        <w:pStyle w:val="Textodenotaderodap"/>
      </w:pPr>
      <w:r>
        <w:rPr>
          <w:rStyle w:val="Refdenotaderodap"/>
        </w:rPr>
        <w:footnoteRef/>
      </w:r>
      <w:r>
        <w:t xml:space="preserve"> Como exemplo, podemos citar o caso do OP de Porto Alegre, Recife e Suzano-SP. </w:t>
      </w:r>
    </w:p>
  </w:footnote>
  <w:footnote w:id="5">
    <w:p w:rsidR="00771796" w:rsidRDefault="00771796" w:rsidP="00771796">
      <w:pPr>
        <w:pStyle w:val="Textodenotaderodap"/>
        <w:jc w:val="both"/>
      </w:pPr>
      <w:r>
        <w:rPr>
          <w:rStyle w:val="Refdenotaderodap"/>
        </w:rPr>
        <w:footnoteRef/>
      </w:r>
      <w:r>
        <w:t xml:space="preserve"> Delegada ou delegado é a nome dado à pessoa eleita para participar das duas últimas fases do OP-BH (Caravana de Prioridades e Fórum Final) em que se definem as obras que serão contempladas naquele ano. Membro da Comforça é uma pessoa eleita no Fórum Final que acompanha a execução de todas as obras contempladas no OP-BH. Geralmente, a proporção é de 1 delegado eleito para cada 10 participantes e um membro da Comforça eleito para cada 10 delegad@s.  </w:t>
      </w:r>
    </w:p>
  </w:footnote>
  <w:footnote w:id="6">
    <w:p w:rsidR="00771796" w:rsidRDefault="00771796" w:rsidP="00771796">
      <w:pPr>
        <w:pStyle w:val="Textodenotaderodap"/>
      </w:pPr>
    </w:p>
  </w:footnote>
  <w:footnote w:id="7">
    <w:p w:rsidR="00771796" w:rsidRDefault="00771796" w:rsidP="00771796">
      <w:pPr>
        <w:pStyle w:val="Textodenotaderodap"/>
        <w:jc w:val="both"/>
      </w:pPr>
      <w:r>
        <w:rPr>
          <w:rStyle w:val="Refdenotaderodap"/>
        </w:rPr>
        <w:footnoteRef/>
      </w:r>
      <w:r>
        <w:t xml:space="preserve"> URBAL, 2007a.</w:t>
      </w:r>
    </w:p>
  </w:footnote>
  <w:footnote w:id="8">
    <w:p w:rsidR="00771796" w:rsidRDefault="00771796" w:rsidP="00771796">
      <w:pPr>
        <w:pStyle w:val="Textodenotaderodap"/>
      </w:pPr>
    </w:p>
  </w:footnote>
  <w:footnote w:id="9">
    <w:p w:rsidR="00771796" w:rsidRDefault="00771796" w:rsidP="00771796">
      <w:pPr>
        <w:pStyle w:val="Textodenotaderodap"/>
      </w:pPr>
      <w:r>
        <w:rPr>
          <w:rStyle w:val="Refdenotaderodap"/>
        </w:rPr>
        <w:footnoteRef/>
      </w:r>
      <w:r>
        <w:t xml:space="preserve"> URBAL, 2007ª. Salário mínimo de referência 350 reais. </w:t>
      </w:r>
    </w:p>
  </w:footnote>
  <w:footnote w:id="10">
    <w:p w:rsidR="00771796" w:rsidRDefault="00771796" w:rsidP="00771796">
      <w:pPr>
        <w:pStyle w:val="Textodenotaderodap"/>
        <w:jc w:val="both"/>
      </w:pPr>
      <w:r>
        <w:rPr>
          <w:rStyle w:val="Refdenotaderodap"/>
        </w:rPr>
        <w:footnoteRef/>
      </w:r>
      <w:r>
        <w:t xml:space="preserve"> Esta preocupação focada na desigualdade econômica fica evidente na medida em que os resultados divulgados pela PBH medem o impacto do OP a partir da renda dos indivíduos ou famílias e não por outras informações sobre o perfil social como, por exemplo, o sexo. </w:t>
      </w:r>
    </w:p>
  </w:footnote>
  <w:footnote w:id="11">
    <w:p w:rsidR="00771796" w:rsidRDefault="00771796" w:rsidP="00771796">
      <w:pPr>
        <w:pStyle w:val="Textodenotaderodap"/>
        <w:jc w:val="both"/>
      </w:pPr>
      <w:r>
        <w:rPr>
          <w:rStyle w:val="Refdenotaderodap"/>
        </w:rPr>
        <w:footnoteRef/>
      </w:r>
      <w:r>
        <w:t xml:space="preserve"> Segundo informações coletadas no âmbito da pesquisa “A Política na Ausência das Mulheres, que está sendo realizada no DCP e NEPEM da UFMG, nos anos de 2007 e 2008, no Brasil, ao longo de 70 anos (1932 –2002), a representação feminina girou em torno de 1% a 8%. Mesmo as mulheres representando 51,3% da população brasileira, 42,7% da população economicamente ativa e 51,2% do eleitorado nacional”.</w:t>
      </w:r>
    </w:p>
  </w:footnote>
  <w:footnote w:id="12">
    <w:p w:rsidR="00771796" w:rsidRDefault="00771796" w:rsidP="00771796">
      <w:pPr>
        <w:pStyle w:val="Textodenotaderodap"/>
      </w:pPr>
      <w:r>
        <w:rPr>
          <w:rStyle w:val="Refdenotaderodap"/>
        </w:rPr>
        <w:footnoteRef/>
      </w:r>
      <w:r>
        <w:t xml:space="preserve"> Salário mínimo de referência é 350 reais.</w:t>
      </w:r>
    </w:p>
  </w:footnote>
  <w:footnote w:id="13">
    <w:p w:rsidR="00771796" w:rsidRDefault="00771796" w:rsidP="00771796">
      <w:pPr>
        <w:pStyle w:val="Textodenotaderodap"/>
        <w:jc w:val="both"/>
      </w:pPr>
      <w:r>
        <w:rPr>
          <w:rStyle w:val="Refdenotaderodap"/>
        </w:rPr>
        <w:footnoteRef/>
      </w:r>
      <w:r>
        <w:t xml:space="preserve"> Identificamos este conjunto de valores compartilhados dentro do OP a partir das falas das próprias mulheres entrevistadas e em conversas informais com homens participantes do OP quando o assunto era a participação política de mulheres e homens ou sobre os comportamentos tipicamente considerados femininos ou masculinos na nossa sociedade.  </w:t>
      </w:r>
    </w:p>
  </w:footnote>
  <w:footnote w:id="14">
    <w:p w:rsidR="00771796" w:rsidRDefault="00771796" w:rsidP="00771796">
      <w:pPr>
        <w:pStyle w:val="Textodenotaderodap"/>
        <w:jc w:val="both"/>
      </w:pPr>
      <w:r>
        <w:rPr>
          <w:rStyle w:val="Refdenotaderodap"/>
        </w:rPr>
        <w:footnoteRef/>
      </w:r>
      <w:r>
        <w:t xml:space="preserve"> URB-AL 2007b. </w:t>
      </w:r>
    </w:p>
  </w:footnote>
  <w:footnote w:id="15">
    <w:p w:rsidR="00771796" w:rsidRDefault="00771796" w:rsidP="00771796">
      <w:pPr>
        <w:rPr>
          <w:sz w:val="20"/>
          <w:szCs w:val="20"/>
        </w:rPr>
      </w:pPr>
      <w:r>
        <w:rPr>
          <w:rStyle w:val="Refdenotaderodap"/>
          <w:sz w:val="20"/>
          <w:szCs w:val="20"/>
        </w:rPr>
        <w:footnoteRef/>
      </w:r>
      <w:r>
        <w:rPr>
          <w:sz w:val="20"/>
          <w:szCs w:val="20"/>
        </w:rPr>
        <w:t xml:space="preserve"> Fraser (2001) utiliza o termo “engenharia da consciência” para fazer referência ao modelo da identidade de Axel Honneth. Para ela, o fato do autor entender o não reconhecimento como um dano à identidade, faz com que se evidencie a estrutura psíquica em detrimento das instituições sociais e da interação social. Para Fraser, o autor arrisca substituir a dinâmica das mudanças sociais por mecanismos da consciência.</w:t>
      </w:r>
    </w:p>
    <w:p w:rsidR="00771796" w:rsidRDefault="00771796" w:rsidP="00771796">
      <w:pPr>
        <w:pStyle w:val="Textodenotaderodap"/>
      </w:pPr>
    </w:p>
  </w:footnote>
  <w:footnote w:id="16">
    <w:p w:rsidR="00771796" w:rsidRDefault="00771796" w:rsidP="00771796">
      <w:pPr>
        <w:pStyle w:val="Textodenotaderodap"/>
        <w:jc w:val="both"/>
      </w:pPr>
      <w:r>
        <w:rPr>
          <w:rStyle w:val="Refdenotaderodap"/>
          <w:rFonts w:eastAsia="Arial"/>
        </w:rPr>
        <w:footnoteRef/>
      </w:r>
      <w:r>
        <w:t xml:space="preserve"> Assim como Small (1989), referimo-nos a “performance” não como aquela ligada às habilidades técnicas, físico-motoras, mas sim ao evento social onde uns tocam e outros ouvem, onde a experiência do fazer e da interação entre as pessoas é mais relevante do que o produto final.</w:t>
      </w:r>
    </w:p>
  </w:footnote>
  <w:footnote w:id="17">
    <w:p w:rsidR="00771796" w:rsidRDefault="00771796" w:rsidP="00771796">
      <w:r>
        <w:rPr>
          <w:rStyle w:val="Refdenotaderodap"/>
          <w:sz w:val="20"/>
          <w:szCs w:val="20"/>
        </w:rPr>
        <w:footnoteRef/>
      </w:r>
      <w:r>
        <w:rPr>
          <w:sz w:val="20"/>
          <w:szCs w:val="20"/>
        </w:rPr>
        <w:t xml:space="preserve"> Joana Holanda (2006) conduz uma investigação sobre a música de </w:t>
      </w:r>
      <w:r>
        <w:rPr>
          <w:i/>
          <w:sz w:val="20"/>
          <w:szCs w:val="20"/>
        </w:rPr>
        <w:t>Eunice Katunda</w:t>
      </w:r>
      <w:r>
        <w:rPr>
          <w:sz w:val="20"/>
          <w:szCs w:val="20"/>
        </w:rPr>
        <w:t xml:space="preserve"> e </w:t>
      </w:r>
      <w:r>
        <w:rPr>
          <w:i/>
          <w:sz w:val="20"/>
          <w:szCs w:val="20"/>
        </w:rPr>
        <w:t>Esther Scliar</w:t>
      </w:r>
      <w:r>
        <w:rPr>
          <w:sz w:val="20"/>
          <w:szCs w:val="20"/>
        </w:rPr>
        <w:t xml:space="preserve">, a partir de suas trajetórias individuais e pela análise musical das obras </w:t>
      </w:r>
      <w:r>
        <w:rPr>
          <w:i/>
          <w:sz w:val="20"/>
          <w:szCs w:val="20"/>
        </w:rPr>
        <w:t>Sonata Louvação</w:t>
      </w:r>
      <w:r>
        <w:rPr>
          <w:sz w:val="20"/>
          <w:szCs w:val="20"/>
        </w:rPr>
        <w:t xml:space="preserve"> e </w:t>
      </w:r>
      <w:r>
        <w:rPr>
          <w:i/>
          <w:sz w:val="20"/>
          <w:szCs w:val="20"/>
        </w:rPr>
        <w:t>Sonata para Piano</w:t>
      </w:r>
      <w:r>
        <w:rPr>
          <w:sz w:val="20"/>
          <w:szCs w:val="20"/>
        </w:rPr>
        <w:t xml:space="preserve"> das respectivas compositoras. Esta pesquisa é um importante referencial sobre os estudos de gênero em música, visto que “esta questão é problematizada tanto no estudo do texto musical [análise], a partir do referencial teórico de estudos de gênero em música, [mais especificamente focalizando código e conceitos musicais], quando na abordagem de suas trajetórias” individuais (p. 19); onde a questão é problematizada a partir do contexto sócio-cultural; do engajamento das compositoras em diversos movimentos como o grupo ‘música viva’, o nacionalismo, o partido comunista (PCB); e também pela sua intransferível identidade social, como sujeito ‘mulheres’.</w:t>
      </w:r>
    </w:p>
  </w:footnote>
  <w:footnote w:id="18">
    <w:p w:rsidR="00771796" w:rsidRDefault="00771796" w:rsidP="00771796">
      <w:pPr>
        <w:pStyle w:val="Textodenotaderodap"/>
        <w:jc w:val="both"/>
      </w:pPr>
      <w:r>
        <w:rPr>
          <w:rStyle w:val="Refdenotaderodap"/>
          <w:rFonts w:eastAsia="Arial"/>
        </w:rPr>
        <w:footnoteRef/>
      </w:r>
      <w:r>
        <w:t xml:space="preserve"> Mensagens enviadas e recebidas através de sites como </w:t>
      </w:r>
      <w:r>
        <w:rPr>
          <w:i/>
        </w:rPr>
        <w:t>Orkut e Blogs.</w:t>
      </w:r>
      <w:r>
        <w:t xml:space="preserve"> Sua característica principal é o caráter público, podendo ser lidas por qualquer outro usuário. </w:t>
      </w:r>
    </w:p>
  </w:footnote>
  <w:footnote w:id="19">
    <w:p w:rsidR="00771796" w:rsidRDefault="00771796" w:rsidP="00771796">
      <w:r>
        <w:rPr>
          <w:rStyle w:val="Refdenotaderodap"/>
          <w:sz w:val="20"/>
          <w:szCs w:val="20"/>
        </w:rPr>
        <w:footnoteRef/>
      </w:r>
      <w:r>
        <w:rPr>
          <w:sz w:val="20"/>
          <w:szCs w:val="20"/>
        </w:rPr>
        <w:t xml:space="preserve"> Para evitar a possibilidade de confusão com os diversos significados da palavra “gênero”, visto que neste trabalho ela aparece em dois contextos diferentes, utilizaremos a expressão </w:t>
      </w:r>
      <w:r>
        <w:rPr>
          <w:i/>
          <w:sz w:val="20"/>
          <w:szCs w:val="20"/>
        </w:rPr>
        <w:t>relações de gênero</w:t>
      </w:r>
      <w:r>
        <w:rPr>
          <w:sz w:val="20"/>
          <w:szCs w:val="20"/>
        </w:rPr>
        <w:t xml:space="preserve"> como aquela ligada às relações entre homens e mulheres e </w:t>
      </w:r>
      <w:r>
        <w:rPr>
          <w:i/>
          <w:sz w:val="20"/>
          <w:szCs w:val="20"/>
        </w:rPr>
        <w:t>gênero musical</w:t>
      </w:r>
      <w:r>
        <w:rPr>
          <w:sz w:val="20"/>
          <w:szCs w:val="20"/>
        </w:rPr>
        <w:t xml:space="preserve"> quando estivermos tratando especificamente da categorização dos estilos musicais.</w:t>
      </w:r>
    </w:p>
  </w:footnote>
  <w:footnote w:id="20">
    <w:p w:rsidR="00771796" w:rsidRDefault="00771796" w:rsidP="00771796">
      <w:pPr>
        <w:pStyle w:val="Textodenotaderodap"/>
        <w:jc w:val="both"/>
        <w:rPr>
          <w:lang w:val="es-ES_tradnl"/>
        </w:rPr>
      </w:pPr>
      <w:r>
        <w:rPr>
          <w:rStyle w:val="Refdenotaderodap"/>
          <w:rFonts w:eastAsia="Arial"/>
        </w:rPr>
        <w:footnoteRef/>
      </w:r>
      <w:r>
        <w:t xml:space="preserve"> Segundo Cano (2002), “a capacidade mental de generalização é conhecida nas ciências cognitivas como </w:t>
      </w:r>
      <w:r>
        <w:rPr>
          <w:i/>
          <w:iCs/>
        </w:rPr>
        <w:t>categorização</w:t>
      </w:r>
      <w:r>
        <w:t>, [...] processo cognitivo através do qual abstraímos a experiência individual para submetê-las a conceitos gerais”.</w:t>
      </w:r>
    </w:p>
  </w:footnote>
  <w:footnote w:id="21">
    <w:p w:rsidR="00771796" w:rsidRDefault="00771796" w:rsidP="00771796">
      <w:pPr>
        <w:pStyle w:val="Textodenotaderodap"/>
        <w:jc w:val="both"/>
      </w:pPr>
      <w:r>
        <w:rPr>
          <w:rStyle w:val="Refdenotaderodap"/>
          <w:rFonts w:eastAsia="Arial"/>
        </w:rPr>
        <w:footnoteRef/>
      </w:r>
      <w:r>
        <w:t xml:space="preserve"> Com os grupos de outras localidades os contatos foram realizados na sua maioria via Internet. Com alguns desses foi possível uma aproximação maior através do envio de um questionário via e-mail, como por exemplo, as bandas </w:t>
      </w:r>
      <w:r>
        <w:rPr>
          <w:i/>
        </w:rPr>
        <w:t>S.A.44,</w:t>
      </w:r>
      <w:r>
        <w:t xml:space="preserve"> </w:t>
      </w:r>
      <w:r>
        <w:rPr>
          <w:i/>
        </w:rPr>
        <w:t>RNA, Give Me a Break,</w:t>
      </w:r>
      <w:r>
        <w:t xml:space="preserve"> </w:t>
      </w:r>
      <w:r>
        <w:rPr>
          <w:i/>
        </w:rPr>
        <w:t>Lazy Moon, Blush Azul</w:t>
      </w:r>
      <w:r>
        <w:t xml:space="preserve"> e o grupo </w:t>
      </w:r>
      <w:r>
        <w:rPr>
          <w:i/>
        </w:rPr>
        <w:t>Elas e Eu.</w:t>
      </w:r>
    </w:p>
  </w:footnote>
  <w:footnote w:id="22">
    <w:p w:rsidR="00771796" w:rsidRDefault="00771796" w:rsidP="00771796">
      <w:pPr>
        <w:pStyle w:val="Textodenotaderodap"/>
        <w:jc w:val="both"/>
        <w:rPr>
          <w:color w:val="000000"/>
        </w:rPr>
      </w:pPr>
      <w:r>
        <w:rPr>
          <w:rStyle w:val="Refdenotaderodap"/>
          <w:rFonts w:eastAsia="Arial"/>
          <w:color w:val="000000"/>
        </w:rPr>
        <w:footnoteRef/>
      </w:r>
      <w:r>
        <w:rPr>
          <w:color w:val="000000"/>
        </w:rPr>
        <w:t xml:space="preserve"> Lewis Carroll, Edward Lear, Samuel Becket e James Joyce são os principais autores apontados pelas integrantes.</w:t>
      </w:r>
    </w:p>
  </w:footnote>
  <w:footnote w:id="23">
    <w:p w:rsidR="00771796" w:rsidRDefault="00771796" w:rsidP="00771796">
      <w:pPr>
        <w:pStyle w:val="Textodenotaderodap"/>
        <w:jc w:val="both"/>
        <w:rPr>
          <w:i/>
        </w:rPr>
      </w:pPr>
      <w:r>
        <w:rPr>
          <w:rStyle w:val="Refdenotaderodap"/>
          <w:rFonts w:eastAsia="Arial"/>
        </w:rPr>
        <w:footnoteRef/>
      </w:r>
      <w:r>
        <w:t xml:space="preserve"> Embora este artigo trate especificamente de grupos femininos, durante a pesquisa também foi atribuída uma atenção aos grupos mistos de Florianópolis, focalizando principalmente a presença de mulheres em funções culturalmente pouco atribuídas a elas, como: bateristas, baixistas, compositoras, produtoras, etc. Apesar da ampliação do foco, as circunstâncias pouco se alteraram, pois, ainda assim, a presença de mulheres foi muito mais significativa no rock do que em outros gêneros musicais. Entre os grupos mistos pesquisados podemos citar </w:t>
      </w:r>
      <w:r>
        <w:rPr>
          <w:i/>
        </w:rPr>
        <w:t>Kratera (rock), Oh Sugar! (rock), Maltines (rock), Squadrão da Rima (hip-hop), Mary Black (hip-hop), Missiva (reggae), Black Diversity (funk), Alessandra Sipriano e banda (pop/rock).</w:t>
      </w:r>
    </w:p>
  </w:footnote>
  <w:footnote w:id="24">
    <w:p w:rsidR="00771796" w:rsidRDefault="00771796" w:rsidP="00771796">
      <w:pPr>
        <w:pStyle w:val="Textodenotaderodap"/>
        <w:jc w:val="both"/>
      </w:pPr>
      <w:r>
        <w:rPr>
          <w:rStyle w:val="Refdenotaderodap"/>
          <w:rFonts w:eastAsia="Arial"/>
        </w:rPr>
        <w:footnoteRef/>
      </w:r>
      <w:r>
        <w:t xml:space="preserve"> Esta categoria surgiu primeiramente em entrevistas realizadas ao longo da pesquisa, mas verificou-se sua utilização por diferentes bandas em sites da Internet.</w:t>
      </w:r>
    </w:p>
  </w:footnote>
  <w:footnote w:id="25">
    <w:p w:rsidR="00771796" w:rsidRDefault="00771796" w:rsidP="00771796">
      <w:pPr>
        <w:pStyle w:val="Textodenotaderodap"/>
        <w:jc w:val="both"/>
      </w:pPr>
      <w:r>
        <w:rPr>
          <w:rStyle w:val="Refdenotaderodap"/>
          <w:rFonts w:eastAsia="Arial"/>
        </w:rPr>
        <w:footnoteRef/>
      </w:r>
      <w:r>
        <w:t xml:space="preserve"> A </w:t>
      </w:r>
      <w:r>
        <w:rPr>
          <w:i/>
        </w:rPr>
        <w:t xml:space="preserve">Rádio Feminina </w:t>
      </w:r>
      <w:r>
        <w:t>é uma iniciativa da Organização Punk Feminino que nasceu após o I Festival Nacional de punk feminino de 2006. Embora especializada no gênero rock’n’roll, ao contrário do festival, a rádio não restringe estilos, mas só toca banda com vocal feminino. Pode ser ouvida pela Internet através do endereço: &lt;http://www.radiofeminina.cjb.net/&gt;</w:t>
      </w:r>
    </w:p>
  </w:footnote>
  <w:footnote w:id="26">
    <w:p w:rsidR="00771796" w:rsidRDefault="00771796" w:rsidP="00771796">
      <w:pPr>
        <w:pStyle w:val="Textodenotaderodap"/>
        <w:jc w:val="both"/>
      </w:pPr>
      <w:r>
        <w:rPr>
          <w:rStyle w:val="Refdenotaderodap"/>
          <w:rFonts w:eastAsia="Arial"/>
        </w:rPr>
        <w:footnoteRef/>
      </w:r>
      <w:r>
        <w:t xml:space="preserve"> O </w:t>
      </w:r>
      <w:r>
        <w:rPr>
          <w:i/>
        </w:rPr>
        <w:t>Mundo Rock de Calcinha</w:t>
      </w:r>
      <w:r>
        <w:t xml:space="preserve"> é um programa que toca músicas de bandas de rock e metal formadas somente por meninas ou com mulheres no vocal. Foi criado em março de 2007 por Gisele Santos, criadora também do </w:t>
      </w:r>
      <w:r>
        <w:rPr>
          <w:i/>
        </w:rPr>
        <w:t>MundoRock.net</w:t>
      </w:r>
      <w:r>
        <w:t>, no ar há mais de 07 anos. Pode ser ouvido através do endereço: &lt;http://www.mundorockdecalcinha.com/&gt;</w:t>
      </w:r>
    </w:p>
  </w:footnote>
  <w:footnote w:id="27">
    <w:p w:rsidR="00771796" w:rsidRDefault="00771796" w:rsidP="00771796">
      <w:pPr>
        <w:pStyle w:val="Textodenotaderodap"/>
        <w:jc w:val="both"/>
      </w:pPr>
      <w:r>
        <w:rPr>
          <w:rStyle w:val="Refdenotaderodap"/>
          <w:rFonts w:eastAsia="Arial"/>
        </w:rPr>
        <w:footnoteRef/>
      </w:r>
      <w:r>
        <w:t xml:space="preserve"> Vários autores utilizam a idéia de impureza a partir da observação dos discursos de vários roqueiros que enfatizam a “oposição entre a pureza da autenticidade e a impureza [da] alienação da comercialização” (JACQUES, 2007, p.84).</w:t>
      </w:r>
    </w:p>
  </w:footnote>
  <w:footnote w:id="28">
    <w:p w:rsidR="00771796" w:rsidRDefault="00771796" w:rsidP="00771796">
      <w:pPr>
        <w:pStyle w:val="Textodenotaderodap"/>
        <w:jc w:val="both"/>
        <w:rPr>
          <w:i/>
        </w:rPr>
      </w:pPr>
      <w:r>
        <w:rPr>
          <w:rStyle w:val="Refdenotaderodap"/>
          <w:rFonts w:eastAsia="Arial"/>
        </w:rPr>
        <w:footnoteRef/>
      </w:r>
      <w:r>
        <w:t xml:space="preserve"> Giselle Xavier Lucena, baixista da banda de rock </w:t>
      </w:r>
      <w:r>
        <w:rPr>
          <w:i/>
        </w:rPr>
        <w:t>Blush Azul.</w:t>
      </w:r>
    </w:p>
  </w:footnote>
  <w:footnote w:id="29">
    <w:p w:rsidR="00771796" w:rsidRDefault="00771796" w:rsidP="00771796">
      <w:pPr>
        <w:pStyle w:val="Textodenotaderodap"/>
        <w:jc w:val="both"/>
      </w:pPr>
      <w:r>
        <w:rPr>
          <w:rStyle w:val="Refdenotaderodap"/>
          <w:rFonts w:eastAsia="Arial"/>
        </w:rPr>
        <w:footnoteRef/>
      </w:r>
      <w:r>
        <w:t xml:space="preserve"> Fernanda dos Santos Martins, vocalista da banda de rock </w:t>
      </w:r>
      <w:r>
        <w:rPr>
          <w:i/>
        </w:rPr>
        <w:t>S.A.44</w:t>
      </w:r>
      <w:r>
        <w:t>.</w:t>
      </w:r>
    </w:p>
  </w:footnote>
  <w:footnote w:id="30">
    <w:p w:rsidR="00771796" w:rsidRDefault="00771796" w:rsidP="00771796">
      <w:pPr>
        <w:pStyle w:val="Textodenotaderodap"/>
        <w:jc w:val="both"/>
      </w:pPr>
      <w:r>
        <w:rPr>
          <w:rStyle w:val="Refdenotaderodap"/>
          <w:rFonts w:eastAsia="Arial"/>
        </w:rPr>
        <w:footnoteRef/>
      </w:r>
      <w:r>
        <w:t xml:space="preserve"> Jussara Pereira Lima, vocalista do grupo de hip-hop </w:t>
      </w:r>
      <w:r>
        <w:rPr>
          <w:i/>
        </w:rPr>
        <w:t xml:space="preserve">Declínio do Sistema </w:t>
      </w:r>
      <w:r>
        <w:t>e</w:t>
      </w:r>
      <w:r>
        <w:rPr>
          <w:i/>
        </w:rPr>
        <w:t xml:space="preserve"> c</w:t>
      </w:r>
      <w:r>
        <w:t>oordenadora estadual da UNEGRO, entidade de âmbito nacional, fundada em Florianópolis em março de 1994, com a finalidade de contribuir para a erradicação do racismo e pelas condições de exercício dos direitos de cidadania.</w:t>
      </w:r>
    </w:p>
  </w:footnote>
  <w:footnote w:id="31">
    <w:p w:rsidR="00771796" w:rsidRDefault="00771796" w:rsidP="00771796">
      <w:pPr>
        <w:pStyle w:val="Textodenotaderodap"/>
        <w:jc w:val="both"/>
        <w:rPr>
          <w:color w:val="FF0000"/>
        </w:rPr>
      </w:pPr>
      <w:r>
        <w:rPr>
          <w:rStyle w:val="Refdenotaderodap"/>
          <w:rFonts w:eastAsia="Arial"/>
        </w:rPr>
        <w:footnoteRef/>
      </w:r>
      <w:r>
        <w:t xml:space="preserve"> Juliano Silveira, baixista da banda de rock </w:t>
      </w:r>
      <w:r>
        <w:rPr>
          <w:i/>
        </w:rPr>
        <w:t xml:space="preserve">Oh, Sugar! </w:t>
      </w:r>
      <w:r>
        <w:t>de Florianópolis. Hoje a banda já não é mais formada exclusivamente por mulheres</w:t>
      </w:r>
      <w:r>
        <w:rPr>
          <w:i/>
        </w:rPr>
        <w:t>.</w:t>
      </w:r>
    </w:p>
  </w:footnote>
  <w:footnote w:id="32">
    <w:p w:rsidR="00771796" w:rsidRDefault="00771796" w:rsidP="00771796">
      <w:pPr>
        <w:pStyle w:val="Textodenotaderodap"/>
      </w:pPr>
      <w:r>
        <w:rPr>
          <w:rStyle w:val="Refdenotaderodap"/>
          <w:rFonts w:eastAsia="Arial"/>
        </w:rPr>
        <w:footnoteRef/>
      </w:r>
      <w:r>
        <w:t xml:space="preserve"> Renata de Oliveira Figueiredo, baterista da banda de rock </w:t>
      </w:r>
      <w:r>
        <w:rPr>
          <w:i/>
        </w:rPr>
        <w:t>RNA.</w:t>
      </w:r>
      <w:r>
        <w:t xml:space="preserve"> </w:t>
      </w:r>
    </w:p>
  </w:footnote>
  <w:footnote w:id="33">
    <w:p w:rsidR="00771796" w:rsidRDefault="00771796" w:rsidP="00771796">
      <w:pPr>
        <w:pStyle w:val="Textodenotaderodap"/>
        <w:rPr>
          <w:i/>
        </w:rPr>
      </w:pPr>
      <w:r>
        <w:rPr>
          <w:rStyle w:val="Refdenotaderodap"/>
          <w:rFonts w:eastAsia="Arial"/>
        </w:rPr>
        <w:footnoteRef/>
      </w:r>
      <w:r>
        <w:t xml:space="preserve"> Issaaf Santos Karhawi, baixista da banda de rock </w:t>
      </w:r>
      <w:r>
        <w:rPr>
          <w:i/>
        </w:rPr>
        <w:t>Lazy Moon.</w:t>
      </w:r>
    </w:p>
  </w:footnote>
  <w:footnote w:id="34">
    <w:p w:rsidR="00771796" w:rsidRDefault="00771796" w:rsidP="00771796">
      <w:pPr>
        <w:pStyle w:val="Textodenotaderodap"/>
        <w:rPr>
          <w:i/>
        </w:rPr>
      </w:pPr>
      <w:r>
        <w:rPr>
          <w:rStyle w:val="Refdenotaderodap"/>
          <w:rFonts w:eastAsia="Arial"/>
        </w:rPr>
        <w:footnoteRef/>
      </w:r>
      <w:r>
        <w:t xml:space="preserve"> Paulete Costa dos Santos, baixista da banda </w:t>
      </w:r>
      <w:r>
        <w:rPr>
          <w:i/>
        </w:rPr>
        <w:t>RNA.</w:t>
      </w:r>
    </w:p>
  </w:footnote>
  <w:footnote w:id="35">
    <w:p w:rsidR="00771796" w:rsidRDefault="00771796" w:rsidP="00771796">
      <w:pPr>
        <w:pStyle w:val="Textodenotaderodap"/>
      </w:pPr>
      <w:r>
        <w:rPr>
          <w:rStyle w:val="Refdenotaderodap"/>
          <w:rFonts w:eastAsia="Arial"/>
        </w:rPr>
        <w:footnoteRef/>
      </w:r>
      <w:r>
        <w:t xml:space="preserve"> Idem Nota 17.</w:t>
      </w:r>
    </w:p>
  </w:footnote>
  <w:footnote w:id="36">
    <w:p w:rsidR="00771796" w:rsidRDefault="00771796" w:rsidP="00771796">
      <w:pPr>
        <w:pStyle w:val="Textodenotaderodap"/>
        <w:jc w:val="both"/>
      </w:pPr>
      <w:r>
        <w:rPr>
          <w:rStyle w:val="Refdenotaderodap"/>
          <w:rFonts w:eastAsia="Arial"/>
        </w:rPr>
        <w:footnoteRef/>
      </w:r>
      <w:r>
        <w:t xml:space="preserve"> Elisa Rebelo, empresária do grupo de pagode </w:t>
      </w:r>
      <w:r>
        <w:rPr>
          <w:i/>
        </w:rPr>
        <w:t>Entre Elas.</w:t>
      </w:r>
    </w:p>
  </w:footnote>
  <w:footnote w:id="37">
    <w:p w:rsidR="00771796" w:rsidRDefault="00771796" w:rsidP="00771796">
      <w:pPr>
        <w:pStyle w:val="Textodenotaderodap"/>
      </w:pPr>
      <w:r>
        <w:rPr>
          <w:rStyle w:val="Refdenotaderodap"/>
          <w:rFonts w:eastAsia="Arial"/>
        </w:rPr>
        <w:footnoteRef/>
      </w:r>
      <w:r>
        <w:t xml:space="preserve"> Idem Nota 21.</w:t>
      </w:r>
    </w:p>
  </w:footnote>
  <w:footnote w:id="38">
    <w:p w:rsidR="00771796" w:rsidRDefault="00771796" w:rsidP="00771796">
      <w:pPr>
        <w:pStyle w:val="Textodenotaderodap"/>
      </w:pPr>
      <w:r>
        <w:rPr>
          <w:rStyle w:val="Refdenotaderodap"/>
          <w:rFonts w:eastAsia="Arial"/>
        </w:rPr>
        <w:footnoteRef/>
      </w:r>
      <w:r>
        <w:t xml:space="preserve"> Idem Nota 15.</w:t>
      </w:r>
    </w:p>
  </w:footnote>
  <w:footnote w:id="39">
    <w:p w:rsidR="00771796" w:rsidRDefault="00771796" w:rsidP="00771796">
      <w:pPr>
        <w:pStyle w:val="Textodenotaderodap"/>
      </w:pPr>
      <w:r>
        <w:rPr>
          <w:rStyle w:val="Refdenotaderodap"/>
          <w:rFonts w:eastAsia="Arial"/>
        </w:rPr>
        <w:footnoteRef/>
      </w:r>
      <w:r>
        <w:t xml:space="preserve"> Idem Nota 21.</w:t>
      </w:r>
    </w:p>
  </w:footnote>
  <w:footnote w:id="40">
    <w:p w:rsidR="00771796" w:rsidRDefault="00771796" w:rsidP="00771796">
      <w:pPr>
        <w:pStyle w:val="Textodenotaderodap"/>
      </w:pPr>
      <w:r>
        <w:rPr>
          <w:rStyle w:val="Refdenotaderodap"/>
          <w:rFonts w:eastAsia="Arial"/>
        </w:rPr>
        <w:footnoteRef/>
      </w:r>
      <w:r>
        <w:t xml:space="preserve"> Thanira Rates, vocalista, ex-integrante da banda de rock </w:t>
      </w:r>
      <w:r>
        <w:rPr>
          <w:i/>
        </w:rPr>
        <w:t>Dorotéia vai à Praia.</w:t>
      </w:r>
    </w:p>
  </w:footnote>
  <w:footnote w:id="41">
    <w:p w:rsidR="003C742A" w:rsidRDefault="003C742A" w:rsidP="003C742A">
      <w:pPr>
        <w:pStyle w:val="Textodenotaderodap"/>
      </w:pPr>
      <w:r>
        <w:rPr>
          <w:rStyle w:val="Refdenotaderodap"/>
        </w:rPr>
        <w:footnoteRef/>
      </w:r>
      <w:r>
        <w:t xml:space="preserve"> O Programa Bolsa Família foi considerado pela opinião pública e pelos analistas da última eleição presidencial no país, elemento-chave para a reeleição do presidente Lula. Fábio Soares et al (2006, p.09) elucida muito bem essa idéia ao concluir que: “Por ter sido estabelecido por uma medida de origem presidencial, o Bolsa Família é quase que automaticamente associado ao governo que o instituiu e mantém. Em decorrência dessas diferenças, governos específicos, por um lado, não recebem créditos políticos diretos pela administração do BPC e, por outro, são imediatamente identificados ao Bolsa Família. Evidência disso são as disputas pela paternidade política do Bolsa Escola e demais programas de transferência de renda e de seu sucessor, o Bolsa Família, muitas vezes levadas ao extremo de se negar qualquer relação entre eles”. </w:t>
      </w:r>
    </w:p>
  </w:footnote>
  <w:footnote w:id="42">
    <w:p w:rsidR="003C742A" w:rsidRDefault="003C742A" w:rsidP="003C742A">
      <w:pPr>
        <w:spacing w:line="240" w:lineRule="auto"/>
        <w:rPr>
          <w:sz w:val="20"/>
          <w:szCs w:val="20"/>
        </w:rPr>
      </w:pPr>
      <w:r>
        <w:rPr>
          <w:rStyle w:val="Refdenotaderodap"/>
          <w:sz w:val="20"/>
          <w:szCs w:val="20"/>
        </w:rPr>
        <w:footnoteRef/>
      </w:r>
      <w:r>
        <w:rPr>
          <w:sz w:val="20"/>
          <w:szCs w:val="20"/>
        </w:rPr>
        <w:t xml:space="preserve"> O conceito de capital econômico, cultural e capital social é abordado pelo estudioso Carlos Hasenbalg (2003) ao discutir a distribuição dos recursos familiares que, segundo o autor, são recebidos e percebidos de formas distintas por cada integrante na hierarquia familiar. Por capital econômico devemos considerar o resultado da renda familiar per capita para o domicilio com filhos; o social que é mensurado a partir da presença física dos adultos e da atenção destinada as crianças; e, finalmente, o cultural, mensurado pelo grau de escolaridade dos pais e demais residentes de 15 anos ou mais. Hasenbalg chega à conclusão de que realmente existe uma distribuição diferenciada dos recursos familiares na hierarquia social dos grupos, o que evidencia, em suas palavras, que </w:t>
      </w:r>
      <w:r>
        <w:rPr>
          <w:i/>
          <w:sz w:val="20"/>
          <w:szCs w:val="20"/>
        </w:rPr>
        <w:t>“famílias cujos chefes são trabalhadores manuais urbanos e rurais de cor preta e parda contam com sérias desvantagens na apropriação e acumulação de recursos, configurando assim contextos mais desfavoráveis para a socialização das novas gerações”</w:t>
      </w:r>
      <w:r>
        <w:rPr>
          <w:sz w:val="20"/>
          <w:szCs w:val="20"/>
        </w:rPr>
        <w:t xml:space="preserve">. (HASENBALG, 2003, p.81).  </w:t>
      </w:r>
    </w:p>
    <w:p w:rsidR="003C742A" w:rsidRDefault="003C742A" w:rsidP="003C742A">
      <w:pPr>
        <w:pStyle w:val="Textodenotaderodap"/>
      </w:pPr>
    </w:p>
  </w:footnote>
  <w:footnote w:id="43">
    <w:p w:rsidR="003C742A" w:rsidRDefault="003C742A" w:rsidP="003C742A">
      <w:pPr>
        <w:spacing w:line="240" w:lineRule="auto"/>
        <w:rPr>
          <w:sz w:val="20"/>
          <w:szCs w:val="20"/>
        </w:rPr>
      </w:pPr>
      <w:r>
        <w:rPr>
          <w:rStyle w:val="Refdenotaderodap"/>
          <w:sz w:val="20"/>
          <w:szCs w:val="20"/>
        </w:rPr>
        <w:footnoteRef/>
      </w:r>
      <w:r>
        <w:rPr>
          <w:sz w:val="20"/>
          <w:szCs w:val="20"/>
        </w:rPr>
        <w:t xml:space="preserve"> Lista dos municípios: Salvador, Água Fria, Terra Nova, Camaçari, Candeias, Catu, Conceição do Jacuípe, Dias D’ávila, Mata de São João, Santo Amaro, São Francisco do Conde, São Sebastião do Passé, Valença, Anguera, Barrocas, Cachoeira, Candeal, Castro Alves, Conceição da Feira, Itiruçu, Jaguaquara, Jequiriçá, Laje, Lajedo do Tabocal, Lamarão, Maragojipe, Muritiba, Nova Itarana, Riachão do Jacuípe, Santa Inês, Santa Terezinha, São Felipe, Serrinha, Almadina, Itajuípe, Itacaré, Ibirapitanga, Maraú, Igrapiúna, Ituberá, Nilo Peçanha, Cairu, Chorrochó, Paulo Afonso, Santa Brígida, Jeremoabo, Pedro Alexandre, Antas, Cícero Dantas, Heliopólis, Cipó, Tucano, Nova Soure, Jandaíra, Conde, Cardeal da Silva, Entre Rios, Aramari, Itanagara, Piritiba, Rui Barbosa, Nova Viçosa, Santa Cruz de Cabrália, Santa Cruz da Vitória, Porto Seguro, Itaju do Colônia, Belmonte, Pau Brasil, Ibirapuã, Vereda, Guaratinga, Eunapólis, Mascote, Camacã, Ilhéus, Santa Luzia, Una, Arataca, Contendas do Sincorá, Barra do Rocha, Boa Nova, Iguaí, Ipiaú, Itagibá, Vitória da Conquista, Dário Meira, Ibirataia, Itambé, Mirante, Nova Caanã, Maiquinique, Planalto, Caetanos, Caatiba, Ubatã e Ribeirão do Largo.   </w:t>
      </w:r>
    </w:p>
  </w:footnote>
  <w:footnote w:id="44">
    <w:p w:rsidR="003C742A" w:rsidRDefault="003C742A" w:rsidP="003C742A">
      <w:pPr>
        <w:pStyle w:val="Textodenotaderodap"/>
      </w:pPr>
      <w:r>
        <w:rPr>
          <w:rStyle w:val="Refdenotaderodap"/>
        </w:rPr>
        <w:footnoteRef/>
      </w:r>
      <w:r>
        <w:t xml:space="preserve"> A terceira etapa da pesquisa corresponde à área de atuação individual de cada integrante do projeto. A temática gênero-juventude está inserida na linha de pesquisa que atuo no NPEJI, Juventude e Políticas Sociais. A outra integrante do projeto, Izabel Cristina Firmo Foglia aborda, para o mesmo projeto, o tema do Controle Social e seus instrumentos de monitoramento e fiscalização nesses municípios. </w:t>
      </w:r>
    </w:p>
  </w:footnote>
  <w:footnote w:id="45">
    <w:p w:rsidR="00397550" w:rsidRDefault="00397550" w:rsidP="00397550">
      <w:pPr>
        <w:pStyle w:val="Textodenotaderodap"/>
        <w:jc w:val="both"/>
      </w:pPr>
      <w:r>
        <w:rPr>
          <w:rStyle w:val="Refdenotaderodap"/>
        </w:rPr>
        <w:footnoteRef/>
      </w:r>
      <w:r>
        <w:t xml:space="preserve"> Economistas feministas provêm de múltiplas escolas da Economia – desde a neoclássica, passando pela institucionalista e chegando até a marxista. Simultaneamente, elas ainda vinculam-se a diferentes vertentes políticas do movimento feminista (liberal, radical, marxista ou separatista). Por esse motivo, não é casual que tanto seus objetos teóricos quanto suas estratégias de investigação sejam, da mesma forma, extremamente variados e suas conclusões, por vezes, conflitantes. A esse respeito, ver Strober (1994: p. 144). Essa diversidade de interesses, de inclinações políticas e de perspectivas teóricas reflete-se, obviamente, na escolha das abordagens metodológicas e epistemológicas que cada autor(a) privilegiará. É necessário que fique claro, portanto, que o presente trabalho está voltado para a exploração das possibilidades de </w:t>
      </w:r>
      <w:r>
        <w:rPr>
          <w:i/>
          <w:iCs/>
        </w:rPr>
        <w:t>uma</w:t>
      </w:r>
      <w:r>
        <w:t xml:space="preserve"> dessas perspectivas epistemológicas – como o título já antecipa –, que possui propostas muito próprias, como se terá ocasião de verificar, especialmente a partir do item 4.</w:t>
      </w:r>
    </w:p>
  </w:footnote>
  <w:footnote w:id="46">
    <w:p w:rsidR="00397550" w:rsidRDefault="00397550" w:rsidP="00397550">
      <w:pPr>
        <w:pStyle w:val="Textodenotaderodap"/>
        <w:jc w:val="both"/>
        <w:rPr>
          <w:lang w:val="en-US"/>
        </w:rPr>
      </w:pPr>
      <w:r>
        <w:rPr>
          <w:rStyle w:val="Refdenotaderodap"/>
        </w:rPr>
        <w:footnoteRef/>
      </w:r>
      <w:r>
        <w:t xml:space="preserve"> Para uma análise dos paralelos entre as abordagens da Economia Feminista e a do Antigo Institucionalismo, da Economia Evolucionista, da Economia Ecológica e da Pós-Keynesiana, ver, respectivamente: </w:t>
      </w:r>
      <w:r>
        <w:rPr>
          <w:lang w:val="pt-PT"/>
        </w:rPr>
        <w:t xml:space="preserve">Jennings, Ann (1993): “Public or private? </w:t>
      </w:r>
      <w:r>
        <w:rPr>
          <w:lang w:val="en-US"/>
        </w:rPr>
        <w:t xml:space="preserve">Institutional economics and feminism”, Nelson, Julie (2003): “Confronting the science/value split: notes on feminist economics, institutionalism, pragmatism and process thought”, Himmelweit, Susan (2003): “An evolutionary approach to feminist economics. Two different models of caring”, Nelson, Julie (1997): “Feminism, ecology and the philosophy of economics”, Lavoi, Marc (2002): “The tight links between post-keynesian and feminist economics”. </w:t>
      </w:r>
    </w:p>
  </w:footnote>
  <w:footnote w:id="47">
    <w:p w:rsidR="00397550" w:rsidRDefault="00397550" w:rsidP="00397550">
      <w:pPr>
        <w:pStyle w:val="Textodenotaderodap"/>
        <w:jc w:val="both"/>
      </w:pPr>
      <w:r>
        <w:rPr>
          <w:rStyle w:val="Refdenotaderodap"/>
        </w:rPr>
        <w:footnoteRef/>
      </w:r>
      <w:r>
        <w:t xml:space="preserve"> Os artigos que compõem as duas coletâneas organizadas por Marianne Ferber e Julie Nelson (1993, 2003) oferecem uma boa amostra dessa diversidade.</w:t>
      </w:r>
    </w:p>
  </w:footnote>
  <w:footnote w:id="48">
    <w:p w:rsidR="00397550" w:rsidRDefault="00397550" w:rsidP="00397550">
      <w:pPr>
        <w:pStyle w:val="TextosemFormatao"/>
        <w:jc w:val="both"/>
        <w:rPr>
          <w:rFonts w:ascii="Times New Roman" w:hAnsi="Times New Roman"/>
          <w:lang w:val="pt-PT"/>
        </w:rPr>
      </w:pPr>
      <w:r>
        <w:rPr>
          <w:rStyle w:val="Refdenotaderodap"/>
          <w:rFonts w:ascii="Times New Roman" w:hAnsi="Times New Roman"/>
        </w:rPr>
        <w:footnoteRef/>
      </w:r>
      <w:r>
        <w:rPr>
          <w:rFonts w:ascii="Times New Roman" w:hAnsi="Times New Roman"/>
        </w:rPr>
        <w:t xml:space="preserve"> Esse distanciamento da realidade chegou a tal ponto, que deu margem, em 2001, a um movimento que identifica a Economia contemporânea ao autismo –</w:t>
      </w:r>
      <w:r>
        <w:t xml:space="preserve"> </w:t>
      </w:r>
      <w:r>
        <w:rPr>
          <w:rFonts w:ascii="Times New Roman" w:hAnsi="Times New Roman"/>
        </w:rPr>
        <w:t>patologia caracterizada pelo desligamento do indivíduo por ela acometido do mundo exterior, e pela criação mental de um mundo próprio. A reivindicação desse movimento, que congrega as mais diversas linhas heterodoxas, é, obviamente, uma situação em que a Economia novamente se re-vincule à realidade – uma Economia pós-autista (</w:t>
      </w:r>
      <w:r>
        <w:rPr>
          <w:rFonts w:ascii="Times New Roman" w:hAnsi="Times New Roman"/>
          <w:i/>
          <w:iCs/>
        </w:rPr>
        <w:t>post-autistic economics</w:t>
      </w:r>
      <w:r>
        <w:rPr>
          <w:rFonts w:ascii="Times New Roman" w:hAnsi="Times New Roman"/>
        </w:rPr>
        <w:t>) –, com todas as implicações metodológicas e epistemológicas que a tarefa exige. Todo seu histórico, bem como os artigos da revista então criada (</w:t>
      </w:r>
      <w:r>
        <w:rPr>
          <w:rFonts w:ascii="Times New Roman" w:hAnsi="Times New Roman"/>
          <w:i/>
          <w:iCs/>
        </w:rPr>
        <w:t>post-autistic economics review</w:t>
      </w:r>
      <w:r>
        <w:rPr>
          <w:rFonts w:ascii="Times New Roman" w:hAnsi="Times New Roman"/>
        </w:rPr>
        <w:t xml:space="preserve">) podem ser acessados através do link </w:t>
      </w:r>
      <w:hyperlink r:id="rId1" w:history="1">
        <w:r>
          <w:rPr>
            <w:rStyle w:val="Hyperlink"/>
            <w:rFonts w:ascii="Times New Roman" w:eastAsia="Arial" w:hAnsi="Times New Roman"/>
          </w:rPr>
          <w:t>www.paecon.net</w:t>
        </w:r>
      </w:hyperlink>
      <w:r>
        <w:rPr>
          <w:rFonts w:ascii="Times New Roman" w:hAnsi="Times New Roman"/>
        </w:rPr>
        <w:t>. Para uma contribuição feminista à crítica pós-autista, ver Nelson</w:t>
      </w:r>
      <w:r>
        <w:rPr>
          <w:rFonts w:ascii="Times New Roman" w:hAnsi="Times New Roman"/>
          <w:lang w:val="pt-PT"/>
        </w:rPr>
        <w:t>, Julie (2001a): “Why the PAE movement needs feminism?”  In:</w:t>
      </w:r>
      <w:hyperlink r:id="rId2" w:history="1">
        <w:r>
          <w:rPr>
            <w:rStyle w:val="Hyperlink"/>
            <w:rFonts w:ascii="Times New Roman" w:eastAsia="Arial" w:hAnsi="Times New Roman"/>
            <w:lang w:val="pt-PT"/>
          </w:rPr>
          <w:t>http://www.btinternet.com/~pae_news/review/issue9.htm</w:t>
        </w:r>
      </w:hyperlink>
      <w:r>
        <w:rPr>
          <w:rFonts w:ascii="Times New Roman" w:hAnsi="Times New Roman"/>
          <w:lang w:val="pt-PT"/>
        </w:rPr>
        <w:t>.</w:t>
      </w:r>
    </w:p>
  </w:footnote>
  <w:footnote w:id="49">
    <w:p w:rsidR="00397550" w:rsidRDefault="00397550" w:rsidP="00397550">
      <w:pPr>
        <w:rPr>
          <w:sz w:val="20"/>
        </w:rPr>
      </w:pPr>
      <w:r>
        <w:rPr>
          <w:rStyle w:val="Refdenotaderodap"/>
          <w:sz w:val="20"/>
        </w:rPr>
        <w:footnoteRef/>
      </w:r>
      <w:r>
        <w:rPr>
          <w:sz w:val="20"/>
        </w:rPr>
        <w:t xml:space="preserve"> O leitor não familiarizado com o </w:t>
      </w:r>
      <w:r>
        <w:rPr>
          <w:i/>
          <w:iCs/>
          <w:sz w:val="20"/>
        </w:rPr>
        <w:t>mainstream</w:t>
      </w:r>
      <w:r>
        <w:rPr>
          <w:sz w:val="20"/>
        </w:rPr>
        <w:t xml:space="preserve"> em Economia pode verificar esse fato folheando alguns de seus mais prestigiosos periódicos (como, por exemplo, o </w:t>
      </w:r>
      <w:r>
        <w:rPr>
          <w:i/>
          <w:iCs/>
          <w:sz w:val="20"/>
        </w:rPr>
        <w:t>American Economic Review</w:t>
      </w:r>
      <w:r>
        <w:rPr>
          <w:sz w:val="20"/>
        </w:rPr>
        <w:t xml:space="preserve">, o </w:t>
      </w:r>
      <w:r>
        <w:rPr>
          <w:i/>
          <w:iCs/>
          <w:sz w:val="20"/>
        </w:rPr>
        <w:t>Econometrica</w:t>
      </w:r>
      <w:r>
        <w:rPr>
          <w:sz w:val="20"/>
        </w:rPr>
        <w:t xml:space="preserve"> e o </w:t>
      </w:r>
      <w:r>
        <w:rPr>
          <w:i/>
          <w:iCs/>
          <w:sz w:val="20"/>
        </w:rPr>
        <w:t>Journal of Political Economy</w:t>
      </w:r>
      <w:r>
        <w:rPr>
          <w:sz w:val="20"/>
        </w:rPr>
        <w:t>). Nestas revistas, o grau de concordância sobre o núcleo teórico duro da disciplina pode surpreender outros cientistas sociais. Ademais, escolas rivais jamais são sequer mencionadas.</w:t>
      </w:r>
    </w:p>
  </w:footnote>
  <w:footnote w:id="50">
    <w:p w:rsidR="00397550" w:rsidRDefault="00397550" w:rsidP="00397550">
      <w:pPr>
        <w:pStyle w:val="Textodenotaderodap"/>
        <w:jc w:val="both"/>
      </w:pPr>
      <w:r>
        <w:rPr>
          <w:rStyle w:val="Refdenotaderodap"/>
        </w:rPr>
        <w:footnoteRef/>
      </w:r>
      <w:r>
        <w:t xml:space="preserve"> Frank et al (1993) reportam os resultados de experiências que confirmariam justamente essa hipótese: em uma delas, estudantes dos mais diversos cursos – inclusive economia – foram colocados diante da clássica situação da teoria dos jogos (o dilema do prisioneiro). O resultado foi que, dentre todos os cursos, os estudantes de economia eram os mais predispostos a apresentar comportamento egoísta. Isso, antes de provar a validade dos pressupostos do </w:t>
      </w:r>
      <w:r>
        <w:rPr>
          <w:i/>
          <w:iCs/>
        </w:rPr>
        <w:t>Homo economicus</w:t>
      </w:r>
      <w:r>
        <w:t>, sugere fortemente justamente o contrário: que o egoísmo do agente econômico constitui um produto da própria aprendizagem do dogma neoclássico.</w:t>
      </w:r>
    </w:p>
  </w:footnote>
  <w:footnote w:id="51">
    <w:p w:rsidR="00397550" w:rsidRDefault="00397550" w:rsidP="00397550">
      <w:pPr>
        <w:pStyle w:val="Textodenotaderodap"/>
      </w:pPr>
      <w:r>
        <w:rPr>
          <w:rStyle w:val="Refdenotaderodap"/>
        </w:rPr>
        <w:footnoteRef/>
      </w:r>
      <w:r>
        <w:t xml:space="preserve"> O capítulo 9 – “The feminist approach” – de sua obra </w:t>
      </w:r>
      <w:r>
        <w:rPr>
          <w:i/>
          <w:iCs/>
        </w:rPr>
        <w:t>Is science value-free?</w:t>
      </w:r>
      <w:r>
        <w:t>dedica</w:t>
      </w:r>
      <w:r>
        <w:rPr>
          <w:lang w:val="en-US"/>
        </w:rPr>
        <w:t>-se</w:t>
      </w:r>
      <w:r>
        <w:t xml:space="preserve"> justamente a explorar essas possibilidades já abertas pela epistemologia feminista.</w:t>
      </w:r>
    </w:p>
  </w:footnote>
  <w:footnote w:id="52">
    <w:p w:rsidR="00397550" w:rsidRDefault="00397550" w:rsidP="00397550">
      <w:pPr>
        <w:pStyle w:val="Textodenotaderodap"/>
      </w:pPr>
      <w:r>
        <w:rPr>
          <w:rStyle w:val="Refdenotaderodap"/>
        </w:rPr>
        <w:footnoteRef/>
      </w:r>
      <w:r>
        <w:t xml:space="preserve"> Cf. item 1.1, acima.</w:t>
      </w:r>
    </w:p>
  </w:footnote>
  <w:footnote w:id="53">
    <w:p w:rsidR="00F153D4" w:rsidRDefault="00F153D4" w:rsidP="00F153D4">
      <w:pPr>
        <w:pStyle w:val="Textodenotaderodap"/>
        <w:jc w:val="both"/>
      </w:pPr>
      <w:r>
        <w:rPr>
          <w:rStyle w:val="Refdenotaderodap"/>
        </w:rPr>
        <w:footnoteRef/>
      </w:r>
      <w:r>
        <w:t xml:space="preserve"> Doutoranda do PPG Educação da FaE/UFMG e Membro do GECC (Grupo de Estudos e Pesquisas em Currículos e Culturas da FaE/UFMG).</w:t>
      </w:r>
    </w:p>
  </w:footnote>
  <w:footnote w:id="54">
    <w:p w:rsidR="00F153D4" w:rsidRDefault="00F153D4" w:rsidP="00F153D4">
      <w:pPr>
        <w:pStyle w:val="Textodenotaderodap"/>
        <w:jc w:val="both"/>
      </w:pPr>
      <w:r>
        <w:rPr>
          <w:rStyle w:val="Refdenotaderodap"/>
        </w:rPr>
        <w:footnoteRef/>
      </w:r>
      <w:r>
        <w:t xml:space="preserve"> Professora da FaE/UFMG, Coordenadora do GECC (Grupo de Estudos e Pesquisas em Currículos e Culturas) e orientadora da pesquisa que subsidia este trabalho.</w:t>
      </w:r>
    </w:p>
  </w:footnote>
  <w:footnote w:id="55">
    <w:p w:rsidR="00397550" w:rsidRDefault="00397550" w:rsidP="00397550">
      <w:pPr>
        <w:pStyle w:val="Textodenotaderodap"/>
        <w:jc w:val="both"/>
      </w:pPr>
      <w:r>
        <w:rPr>
          <w:rStyle w:val="Refdenotaderodap"/>
        </w:rPr>
        <w:footnoteRef/>
      </w:r>
      <w:r>
        <w:t xml:space="preserve"> O fórum é a instância de debate de determinadas temáticas e consiste em uma das formas de se participar efetivamente das comunidades do Orkut.</w:t>
      </w:r>
    </w:p>
  </w:footnote>
  <w:footnote w:id="56">
    <w:p w:rsidR="00397550" w:rsidRDefault="00397550" w:rsidP="00397550">
      <w:pPr>
        <w:pStyle w:val="Textodenotaderodap"/>
        <w:jc w:val="both"/>
      </w:pPr>
      <w:r>
        <w:rPr>
          <w:rStyle w:val="Refdenotaderodap"/>
        </w:rPr>
        <w:footnoteRef/>
      </w:r>
      <w:r>
        <w:t xml:space="preserve"> Tópicos são temas a serem debatidos nos fóruns das comunidades.</w:t>
      </w:r>
    </w:p>
  </w:footnote>
  <w:footnote w:id="57">
    <w:p w:rsidR="00397550" w:rsidRDefault="00397550" w:rsidP="00397550">
      <w:pPr>
        <w:pStyle w:val="Textodenotaderodap"/>
      </w:pPr>
      <w:r>
        <w:rPr>
          <w:rStyle w:val="Refdenotaderodap"/>
        </w:rPr>
        <w:footnoteRef/>
      </w:r>
      <w:r>
        <w:t xml:space="preserve"> Recados deixados para as/os usuárias/os do Orkut.</w:t>
      </w:r>
    </w:p>
  </w:footnote>
  <w:footnote w:id="58">
    <w:p w:rsidR="00397550" w:rsidRDefault="00397550" w:rsidP="00397550">
      <w:pPr>
        <w:pStyle w:val="Textodenotaderodap"/>
      </w:pPr>
      <w:r>
        <w:rPr>
          <w:rStyle w:val="Refdenotaderodap"/>
        </w:rPr>
        <w:footnoteRef/>
      </w:r>
      <w:r>
        <w:t xml:space="preserve"> Disponível em: &lt;</w:t>
      </w:r>
      <w:hyperlink r:id="rId3" w:history="1">
        <w:r>
          <w:rPr>
            <w:rStyle w:val="Hyperlink"/>
          </w:rPr>
          <w:t>http://www.orkut.com</w:t>
        </w:r>
      </w:hyperlink>
      <w:r>
        <w:t>&gt;</w:t>
      </w:r>
    </w:p>
  </w:footnote>
  <w:footnote w:id="59">
    <w:p w:rsidR="00397550" w:rsidRDefault="00397550" w:rsidP="00397550">
      <w:pPr>
        <w:pStyle w:val="Textodenotaderodap"/>
      </w:pPr>
      <w:r>
        <w:rPr>
          <w:rStyle w:val="Refdenotaderodap"/>
        </w:rPr>
        <w:footnoteRef/>
      </w:r>
      <w:r>
        <w:t xml:space="preserve"> Por questões éticas, todos os nomes são fictícios.</w:t>
      </w:r>
    </w:p>
  </w:footnote>
  <w:footnote w:id="60">
    <w:p w:rsidR="00397550" w:rsidRDefault="00397550" w:rsidP="00397550">
      <w:pPr>
        <w:pStyle w:val="Textodenotaderodap"/>
        <w:jc w:val="both"/>
      </w:pPr>
      <w:r>
        <w:rPr>
          <w:rStyle w:val="Refdenotaderodap"/>
        </w:rPr>
        <w:footnoteRef/>
      </w:r>
      <w:r>
        <w:t xml:space="preserve">  Os vídeos selecionados pelas/os jovens geralmente estão disponíveis no site de compartilhamento YouTube, que assim como o Orkut, faz parte do Grupo Google. Disponível em: </w:t>
      </w:r>
      <w:hyperlink r:id="rId4" w:history="1">
        <w:r>
          <w:rPr>
            <w:rStyle w:val="Hyperlink"/>
          </w:rPr>
          <w:t>http://br.youtube.com/</w:t>
        </w:r>
      </w:hyperlink>
      <w:r>
        <w:t xml:space="preserve"> .</w:t>
      </w:r>
    </w:p>
  </w:footnote>
  <w:footnote w:id="61">
    <w:p w:rsidR="00397550" w:rsidRDefault="00397550" w:rsidP="00397550">
      <w:pPr>
        <w:pStyle w:val="Textodenotaderodap"/>
      </w:pPr>
      <w:r>
        <w:rPr>
          <w:rStyle w:val="Refdenotaderodap"/>
        </w:rPr>
        <w:footnoteRef/>
      </w:r>
      <w:r>
        <w:t xml:space="preserve"> Na linguagem cibernética, representa a expressão de por a língua para fora.</w:t>
      </w:r>
    </w:p>
  </w:footnote>
  <w:footnote w:id="62">
    <w:p w:rsidR="00397550" w:rsidRDefault="00397550" w:rsidP="00397550">
      <w:pPr>
        <w:pStyle w:val="Textodenotaderodap"/>
      </w:pPr>
      <w:r>
        <w:rPr>
          <w:rStyle w:val="Refdenotaderodap"/>
        </w:rPr>
        <w:footnoteRef/>
      </w:r>
      <w:r>
        <w:t xml:space="preserve"> Na linguagem cibernética, representa uma gargalhada.</w:t>
      </w:r>
    </w:p>
  </w:footnote>
  <w:footnote w:id="63">
    <w:p w:rsidR="00397550" w:rsidRDefault="00397550" w:rsidP="00397550">
      <w:pPr>
        <w:pStyle w:val="Textodenotaderodap"/>
        <w:jc w:val="both"/>
      </w:pPr>
      <w:r>
        <w:rPr>
          <w:rStyle w:val="Refdenotaderodap"/>
        </w:rPr>
        <w:footnoteRef/>
      </w:r>
      <w:r>
        <w:t xml:space="preserve"> Cantor dinamarquês conhecido como Tomboy (palavra que, em inglês, é uma gíria que se refere a um comportamento masculinizado em uma garota ou mulher) pode ser considerado o cantor mais gay da atualidade. Disponível em: </w:t>
      </w:r>
      <w:hyperlink r:id="rId5" w:history="1">
        <w:r>
          <w:rPr>
            <w:rStyle w:val="Hyperlink"/>
          </w:rPr>
          <w:t>http://mixbrasil.uol.com.br/mp/upload/noticia/3_46_60821.shtml  [28</w:t>
        </w:r>
      </w:hyperlink>
      <w:r>
        <w:t xml:space="preserve"> nov. 2007].</w:t>
      </w:r>
    </w:p>
  </w:footnote>
  <w:footnote w:id="64">
    <w:p w:rsidR="00397550" w:rsidRDefault="00397550" w:rsidP="00397550">
      <w:pPr>
        <w:pStyle w:val="Textodenotaderodap"/>
        <w:jc w:val="both"/>
      </w:pPr>
      <w:r>
        <w:rPr>
          <w:rStyle w:val="Refdenotaderodap"/>
        </w:rPr>
        <w:footnoteRef/>
      </w:r>
      <w:r>
        <w:t xml:space="preserve"> Esse aluno posta toda a letra da música. O título significa “tudo bem ser gay”. Nela o autor incentiva aqueles que têm dúvida para assumir o “caminho gay”, a vida como gay .</w:t>
      </w:r>
    </w:p>
  </w:footnote>
  <w:footnote w:id="65">
    <w:p w:rsidR="00397550" w:rsidRDefault="00397550" w:rsidP="00397550">
      <w:pPr>
        <w:pStyle w:val="Textodenotaderodap"/>
      </w:pPr>
      <w:r>
        <w:rPr>
          <w:rStyle w:val="Refdenotaderodap"/>
        </w:rPr>
        <w:footnoteRef/>
      </w:r>
      <w:r>
        <w:t xml:space="preserve"> Na linguagem cibernética, representa uma feição de discordância.</w:t>
      </w:r>
    </w:p>
  </w:footnote>
  <w:footnote w:id="66">
    <w:p w:rsidR="00397550" w:rsidRDefault="00397550" w:rsidP="00397550">
      <w:pPr>
        <w:pStyle w:val="Textodenotaderodap"/>
      </w:pPr>
      <w:r>
        <w:rPr>
          <w:rStyle w:val="Refdenotaderodap"/>
        </w:rPr>
        <w:footnoteRef/>
      </w:r>
      <w:r>
        <w:t xml:space="preserve"> Na linguagem cibernética, representa um sorriso.</w:t>
      </w:r>
    </w:p>
  </w:footnote>
  <w:footnote w:id="67">
    <w:p w:rsidR="00397550" w:rsidRDefault="00397550" w:rsidP="00397550">
      <w:pPr>
        <w:pStyle w:val="Textodenotaderodap"/>
      </w:pPr>
      <w:r>
        <w:rPr>
          <w:rStyle w:val="Refdenotaderodap"/>
        </w:rPr>
        <w:footnoteRef/>
      </w:r>
      <w:r>
        <w:t xml:space="preserve"> Apelido de Carla, devido ao seu corte de cabelo.</w:t>
      </w:r>
    </w:p>
  </w:footnote>
  <w:footnote w:id="68">
    <w:p w:rsidR="00397550" w:rsidRDefault="00397550" w:rsidP="00397550">
      <w:pPr>
        <w:pStyle w:val="Textodenotaderodap"/>
      </w:pPr>
      <w:r>
        <w:rPr>
          <w:rStyle w:val="Refdenotaderodap"/>
        </w:rPr>
        <w:footnoteRef/>
      </w:r>
      <w:r>
        <w:t xml:space="preserve"> Na linguagem cibernética, representa um sorriso.</w:t>
      </w:r>
    </w:p>
  </w:footnote>
  <w:footnote w:id="69">
    <w:p w:rsidR="00397550" w:rsidRDefault="00397550" w:rsidP="00397550">
      <w:pPr>
        <w:pStyle w:val="Textodenotaderodap"/>
      </w:pPr>
      <w:r>
        <w:rPr>
          <w:rStyle w:val="Refdenotaderodap"/>
        </w:rPr>
        <w:footnoteRef/>
      </w:r>
      <w:r>
        <w:t xml:space="preserve"> Cf. Louro (2003).</w:t>
      </w:r>
    </w:p>
  </w:footnote>
  <w:footnote w:id="70">
    <w:p w:rsidR="00397550" w:rsidRDefault="00397550" w:rsidP="00397550">
      <w:pPr>
        <w:pStyle w:val="Textodenotaderodap"/>
      </w:pPr>
      <w:r>
        <w:rPr>
          <w:rStyle w:val="Refdenotaderodap"/>
        </w:rPr>
        <w:footnoteRef/>
      </w:r>
      <w:r>
        <w:t xml:space="preserve"> Na linguagem cibernética, representa um sorriso.</w:t>
      </w:r>
    </w:p>
  </w:footnote>
  <w:footnote w:id="71">
    <w:p w:rsidR="00397550" w:rsidRDefault="00397550" w:rsidP="00397550">
      <w:pPr>
        <w:pStyle w:val="Textodenotaderodap"/>
        <w:jc w:val="both"/>
      </w:pPr>
      <w:r>
        <w:rPr>
          <w:rStyle w:val="Refdenotaderodap"/>
        </w:rPr>
        <w:footnoteRef/>
      </w:r>
      <w:r>
        <w:t xml:space="preserve"> </w:t>
      </w:r>
      <w:r>
        <w:rPr>
          <w:bCs/>
        </w:rPr>
        <w:t xml:space="preserve">Um outro exemplo desse tipo de racionalidade – que valoriza a grande quantidade de mulheres conquistadas por um homem – pode ser visto em recente campanha publicitária do desodorante masculino Click da Axe. A peça midiática, que atualmente circula na televisão e na Internet, mostra </w:t>
      </w:r>
      <w:r>
        <w:t>que o homem que usa o novo produto pode seduzir mais mulheres que o astro de cinema Ben Afleck. Na propaganda, o ator conta quantas mulheres conseguiu atrair durante um dia e, quando entra em um elevador, constata que o ascensorista, o qual usa Axe Click, obteve mais conquistas que o galã. A cada nova mulher atraída, um click no contador manual de conquistas. Tanto nessa campanha publicitária, como nos discursos analisados, os homens são vangloriados pelo excessivo número de mulheres que seduz. Conquistar muitas mulheres é uma forma de atestar a masculinidade, comprovar a heterossexualidade. Esse discurso também atua na manutenção da heteronormatividade.</w:t>
      </w:r>
    </w:p>
  </w:footnote>
  <w:footnote w:id="72">
    <w:p w:rsidR="00397550" w:rsidRDefault="00397550" w:rsidP="00397550">
      <w:pPr>
        <w:pStyle w:val="Textodenotaderodap"/>
      </w:pPr>
      <w:r>
        <w:rPr>
          <w:rStyle w:val="Refdenotaderodap"/>
        </w:rPr>
        <w:footnoteRef/>
      </w:r>
      <w:r>
        <w:t xml:space="preserve"> Gays, lésbicas, bissexuais, transexuais, transgêneros e travestis.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jc w:val="center"/>
      <w:tblInd w:w="-743" w:type="dxa"/>
      <w:tblLook w:val="04A0"/>
    </w:tblPr>
    <w:tblGrid>
      <w:gridCol w:w="1702"/>
      <w:gridCol w:w="6355"/>
      <w:gridCol w:w="1866"/>
    </w:tblGrid>
    <w:tr w:rsidR="00771796" w:rsidRPr="002669FD" w:rsidTr="00505E82">
      <w:trPr>
        <w:jc w:val="center"/>
      </w:trPr>
      <w:tc>
        <w:tcPr>
          <w:tcW w:w="1702" w:type="dxa"/>
        </w:tcPr>
        <w:p w:rsidR="00771796" w:rsidRPr="002669FD" w:rsidRDefault="00572729" w:rsidP="00505E82">
          <w:pPr>
            <w:pStyle w:val="Cabealho"/>
          </w:pPr>
          <w:r>
            <w:rPr>
              <w:noProof/>
              <w:lang w:eastAsia="pt-BR"/>
            </w:rPr>
            <w:drawing>
              <wp:inline distT="0" distB="0" distL="0" distR="0">
                <wp:extent cx="828675" cy="1143000"/>
                <wp:effectExtent l="19050" t="0" r="9525" b="0"/>
                <wp:docPr id="3" name="Picture 28"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quivos diversos 09 12 14\Logo\UFSC.tif"/>
                        <pic:cNvPicPr>
                          <a:picLocks noChangeAspect="1" noChangeArrowheads="1"/>
                        </pic:cNvPicPr>
                      </pic:nvPicPr>
                      <pic:blipFill>
                        <a:blip r:embed="rId1"/>
                        <a:srcRect/>
                        <a:stretch>
                          <a:fillRect/>
                        </a:stretch>
                      </pic:blipFill>
                      <pic:spPr bwMode="auto">
                        <a:xfrm>
                          <a:off x="0" y="0"/>
                          <a:ext cx="828675" cy="1143000"/>
                        </a:xfrm>
                        <a:prstGeom prst="rect">
                          <a:avLst/>
                        </a:prstGeom>
                        <a:noFill/>
                        <a:ln w="9525">
                          <a:noFill/>
                          <a:miter lim="800000"/>
                          <a:headEnd/>
                          <a:tailEnd/>
                        </a:ln>
                      </pic:spPr>
                    </pic:pic>
                  </a:graphicData>
                </a:graphic>
              </wp:inline>
            </w:drawing>
          </w:r>
        </w:p>
      </w:tc>
      <w:tc>
        <w:tcPr>
          <w:tcW w:w="6358" w:type="dxa"/>
        </w:tcPr>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UNIVERSIDADE FEDERAL DE SANTA CATARINA</w:t>
          </w:r>
        </w:p>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Centro de Filosofia e Ciências Humanas</w:t>
          </w:r>
        </w:p>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Programa de Pós-Graduação em Antropologia Social</w:t>
          </w:r>
        </w:p>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Núcleo de Identidades de Gênero e Subjetividades</w:t>
          </w:r>
        </w:p>
        <w:p w:rsidR="00771796" w:rsidRPr="00C357DA" w:rsidRDefault="00771796" w:rsidP="00505E82">
          <w:pPr>
            <w:pStyle w:val="Cabealho"/>
            <w:jc w:val="center"/>
            <w:rPr>
              <w:rFonts w:ascii="Times New Roman" w:hAnsi="Times New Roman"/>
              <w:sz w:val="24"/>
              <w:szCs w:val="24"/>
            </w:rPr>
          </w:pPr>
        </w:p>
        <w:p w:rsidR="00771796" w:rsidRPr="00C357DA" w:rsidRDefault="00771796" w:rsidP="00505E82">
          <w:pPr>
            <w:pStyle w:val="Cabealho"/>
            <w:jc w:val="center"/>
            <w:rPr>
              <w:sz w:val="24"/>
              <w:szCs w:val="24"/>
            </w:rPr>
          </w:pPr>
          <w:r w:rsidRPr="00C357DA">
            <w:rPr>
              <w:rFonts w:ascii="Times New Roman" w:hAnsi="Times New Roman"/>
              <w:sz w:val="24"/>
              <w:szCs w:val="24"/>
            </w:rPr>
            <w:t>Projeto: Avaliação do Prêmio Construindo a Igualdade de Gênero no Brasil</w:t>
          </w:r>
        </w:p>
      </w:tc>
      <w:tc>
        <w:tcPr>
          <w:tcW w:w="1863" w:type="dxa"/>
        </w:tcPr>
        <w:p w:rsidR="00771796" w:rsidRPr="002669FD" w:rsidRDefault="00572729" w:rsidP="00505E82">
          <w:pPr>
            <w:pStyle w:val="Cabealho"/>
          </w:pPr>
          <w:r>
            <w:rPr>
              <w:noProof/>
              <w:lang w:eastAsia="pt-BR"/>
            </w:rPr>
            <w:drawing>
              <wp:anchor distT="0" distB="0" distL="114300" distR="114300" simplePos="0" relativeHeight="251657728" behindDoc="1" locked="0" layoutInCell="1" allowOverlap="1">
                <wp:simplePos x="0" y="0"/>
                <wp:positionH relativeFrom="column">
                  <wp:posOffset>-48260</wp:posOffset>
                </wp:positionH>
                <wp:positionV relativeFrom="paragraph">
                  <wp:posOffset>134620</wp:posOffset>
                </wp:positionV>
                <wp:extent cx="1022350" cy="905510"/>
                <wp:effectExtent l="19050" t="0" r="6350" b="0"/>
                <wp:wrapTight wrapText="bothSides">
                  <wp:wrapPolygon edited="0">
                    <wp:start x="-402" y="0"/>
                    <wp:lineTo x="-402" y="21358"/>
                    <wp:lineTo x="21734" y="21358"/>
                    <wp:lineTo x="21734" y="0"/>
                    <wp:lineTo x="-402" y="0"/>
                  </wp:wrapPolygon>
                </wp:wrapTight>
                <wp:docPr id="5" name="Picture 29"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IGS.JPG"/>
                        <pic:cNvPicPr>
                          <a:picLocks noChangeAspect="1" noChangeArrowheads="1"/>
                        </pic:cNvPicPr>
                      </pic:nvPicPr>
                      <pic:blipFill>
                        <a:blip r:embed="rId2"/>
                        <a:srcRect/>
                        <a:stretch>
                          <a:fillRect/>
                        </a:stretch>
                      </pic:blipFill>
                      <pic:spPr bwMode="auto">
                        <a:xfrm>
                          <a:off x="0" y="0"/>
                          <a:ext cx="1022350" cy="905510"/>
                        </a:xfrm>
                        <a:prstGeom prst="rect">
                          <a:avLst/>
                        </a:prstGeom>
                        <a:noFill/>
                        <a:ln w="9525">
                          <a:noFill/>
                          <a:miter lim="800000"/>
                          <a:headEnd/>
                          <a:tailEnd/>
                        </a:ln>
                      </pic:spPr>
                    </pic:pic>
                  </a:graphicData>
                </a:graphic>
              </wp:anchor>
            </w:drawing>
          </w:r>
        </w:p>
      </w:tc>
    </w:tr>
    <w:tr w:rsidR="00771796" w:rsidRPr="002669FD" w:rsidTr="00505E82">
      <w:trPr>
        <w:jc w:val="center"/>
      </w:trPr>
      <w:tc>
        <w:tcPr>
          <w:tcW w:w="9923" w:type="dxa"/>
          <w:gridSpan w:val="3"/>
        </w:tcPr>
        <w:p w:rsidR="00771796" w:rsidRPr="00C357DA" w:rsidRDefault="00572729" w:rsidP="00505E82">
          <w:pPr>
            <w:pStyle w:val="Cabealho"/>
            <w:jc w:val="right"/>
            <w:rPr>
              <w:sz w:val="24"/>
              <w:szCs w:val="24"/>
            </w:rPr>
          </w:pPr>
          <w:r>
            <w:rPr>
              <w:noProof/>
              <w:sz w:val="24"/>
              <w:szCs w:val="24"/>
              <w:lang w:eastAsia="pt-BR"/>
            </w:rPr>
            <w:drawing>
              <wp:inline distT="0" distB="0" distL="0" distR="0">
                <wp:extent cx="2209800" cy="447675"/>
                <wp:effectExtent l="19050" t="0" r="0" b="0"/>
                <wp:docPr id="4" name="Picture 30"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quivos diversos 09 12 14\Logo\SPM1.jpg"/>
                        <pic:cNvPicPr>
                          <a:picLocks noChangeAspect="1" noChangeArrowheads="1"/>
                        </pic:cNvPicPr>
                      </pic:nvPicPr>
                      <pic:blipFill>
                        <a:blip r:embed="rId3"/>
                        <a:srcRect/>
                        <a:stretch>
                          <a:fillRect/>
                        </a:stretch>
                      </pic:blipFill>
                      <pic:spPr bwMode="auto">
                        <a:xfrm>
                          <a:off x="0" y="0"/>
                          <a:ext cx="2209800" cy="447675"/>
                        </a:xfrm>
                        <a:prstGeom prst="rect">
                          <a:avLst/>
                        </a:prstGeom>
                        <a:noFill/>
                        <a:ln w="9525">
                          <a:noFill/>
                          <a:miter lim="800000"/>
                          <a:headEnd/>
                          <a:tailEnd/>
                        </a:ln>
                      </pic:spPr>
                    </pic:pic>
                  </a:graphicData>
                </a:graphic>
              </wp:inline>
            </w:drawing>
          </w:r>
        </w:p>
      </w:tc>
    </w:tr>
  </w:tbl>
  <w:p w:rsidR="00771796" w:rsidRDefault="00771796" w:rsidP="00771796">
    <w:pPr>
      <w:spacing w:line="14" w:lineRule="auto"/>
      <w:rPr>
        <w:sz w:val="20"/>
        <w:szCs w:val="20"/>
      </w:rPr>
    </w:pPr>
  </w:p>
  <w:p w:rsidR="00771796" w:rsidRDefault="00771796">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jc w:val="center"/>
      <w:tblInd w:w="-743" w:type="dxa"/>
      <w:tblLook w:val="04A0"/>
    </w:tblPr>
    <w:tblGrid>
      <w:gridCol w:w="1702"/>
      <w:gridCol w:w="6355"/>
      <w:gridCol w:w="1866"/>
    </w:tblGrid>
    <w:tr w:rsidR="00771796" w:rsidRPr="002669FD" w:rsidTr="00505E82">
      <w:trPr>
        <w:jc w:val="center"/>
      </w:trPr>
      <w:tc>
        <w:tcPr>
          <w:tcW w:w="1702" w:type="dxa"/>
        </w:tcPr>
        <w:p w:rsidR="00771796" w:rsidRPr="002669FD" w:rsidRDefault="00572729" w:rsidP="00505E82">
          <w:pPr>
            <w:pStyle w:val="Cabealho"/>
          </w:pPr>
          <w:r>
            <w:rPr>
              <w:noProof/>
              <w:lang w:eastAsia="pt-BR"/>
            </w:rPr>
            <w:drawing>
              <wp:inline distT="0" distB="0" distL="0" distR="0">
                <wp:extent cx="828675" cy="1143000"/>
                <wp:effectExtent l="19050" t="0" r="9525" b="0"/>
                <wp:docPr id="12" name="Picture 28"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quivos diversos 09 12 14\Logo\UFSC.tif"/>
                        <pic:cNvPicPr>
                          <a:picLocks noChangeAspect="1" noChangeArrowheads="1"/>
                        </pic:cNvPicPr>
                      </pic:nvPicPr>
                      <pic:blipFill>
                        <a:blip r:embed="rId1"/>
                        <a:srcRect/>
                        <a:stretch>
                          <a:fillRect/>
                        </a:stretch>
                      </pic:blipFill>
                      <pic:spPr bwMode="auto">
                        <a:xfrm>
                          <a:off x="0" y="0"/>
                          <a:ext cx="828675" cy="1143000"/>
                        </a:xfrm>
                        <a:prstGeom prst="rect">
                          <a:avLst/>
                        </a:prstGeom>
                        <a:noFill/>
                        <a:ln w="9525">
                          <a:noFill/>
                          <a:miter lim="800000"/>
                          <a:headEnd/>
                          <a:tailEnd/>
                        </a:ln>
                      </pic:spPr>
                    </pic:pic>
                  </a:graphicData>
                </a:graphic>
              </wp:inline>
            </w:drawing>
          </w:r>
        </w:p>
      </w:tc>
      <w:tc>
        <w:tcPr>
          <w:tcW w:w="6358" w:type="dxa"/>
        </w:tcPr>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UNIVERSIDADE FEDERAL DE SANTA CATARINA</w:t>
          </w:r>
        </w:p>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Centro de Filosofia e Ciências Humanas</w:t>
          </w:r>
        </w:p>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Programa de Pós-Graduação em Antropologia Social</w:t>
          </w:r>
        </w:p>
        <w:p w:rsidR="00771796" w:rsidRPr="00C357DA" w:rsidRDefault="00771796" w:rsidP="00505E82">
          <w:pPr>
            <w:pStyle w:val="Cabealho"/>
            <w:jc w:val="center"/>
            <w:rPr>
              <w:rFonts w:ascii="Times New Roman" w:hAnsi="Times New Roman"/>
              <w:sz w:val="24"/>
              <w:szCs w:val="24"/>
            </w:rPr>
          </w:pPr>
          <w:r w:rsidRPr="00C357DA">
            <w:rPr>
              <w:rFonts w:ascii="Times New Roman" w:hAnsi="Times New Roman"/>
              <w:sz w:val="24"/>
              <w:szCs w:val="24"/>
            </w:rPr>
            <w:t>Núcleo de Identidades de Gênero e Subjetividades</w:t>
          </w:r>
        </w:p>
        <w:p w:rsidR="00771796" w:rsidRPr="00C357DA" w:rsidRDefault="00771796" w:rsidP="00505E82">
          <w:pPr>
            <w:pStyle w:val="Cabealho"/>
            <w:jc w:val="center"/>
            <w:rPr>
              <w:rFonts w:ascii="Times New Roman" w:hAnsi="Times New Roman"/>
              <w:sz w:val="24"/>
              <w:szCs w:val="24"/>
            </w:rPr>
          </w:pPr>
        </w:p>
        <w:p w:rsidR="00771796" w:rsidRPr="00C357DA" w:rsidRDefault="00771796" w:rsidP="00505E82">
          <w:pPr>
            <w:pStyle w:val="Cabealho"/>
            <w:jc w:val="center"/>
            <w:rPr>
              <w:sz w:val="24"/>
              <w:szCs w:val="24"/>
            </w:rPr>
          </w:pPr>
          <w:r w:rsidRPr="00C357DA">
            <w:rPr>
              <w:rFonts w:ascii="Times New Roman" w:hAnsi="Times New Roman"/>
              <w:sz w:val="24"/>
              <w:szCs w:val="24"/>
            </w:rPr>
            <w:t>Projeto: Avaliação do Prêmio Construindo a Igualdade de Gênero no Brasil</w:t>
          </w:r>
        </w:p>
      </w:tc>
      <w:tc>
        <w:tcPr>
          <w:tcW w:w="1863" w:type="dxa"/>
        </w:tcPr>
        <w:p w:rsidR="00771796" w:rsidRPr="002669FD" w:rsidRDefault="00572729" w:rsidP="00505E82">
          <w:pPr>
            <w:pStyle w:val="Cabealho"/>
          </w:pPr>
          <w:r>
            <w:rPr>
              <w:noProof/>
              <w:lang w:eastAsia="pt-BR"/>
            </w:rPr>
            <w:drawing>
              <wp:anchor distT="0" distB="0" distL="114300" distR="114300" simplePos="0" relativeHeight="251658752" behindDoc="1" locked="0" layoutInCell="1" allowOverlap="1">
                <wp:simplePos x="0" y="0"/>
                <wp:positionH relativeFrom="column">
                  <wp:posOffset>-48260</wp:posOffset>
                </wp:positionH>
                <wp:positionV relativeFrom="paragraph">
                  <wp:posOffset>134620</wp:posOffset>
                </wp:positionV>
                <wp:extent cx="1022350" cy="905510"/>
                <wp:effectExtent l="19050" t="0" r="6350" b="0"/>
                <wp:wrapTight wrapText="bothSides">
                  <wp:wrapPolygon edited="0">
                    <wp:start x="-402" y="0"/>
                    <wp:lineTo x="-402" y="21358"/>
                    <wp:lineTo x="21734" y="21358"/>
                    <wp:lineTo x="21734" y="0"/>
                    <wp:lineTo x="-402" y="0"/>
                  </wp:wrapPolygon>
                </wp:wrapTight>
                <wp:docPr id="2" name="Picture 29"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IGS.JPG"/>
                        <pic:cNvPicPr>
                          <a:picLocks noChangeAspect="1" noChangeArrowheads="1"/>
                        </pic:cNvPicPr>
                      </pic:nvPicPr>
                      <pic:blipFill>
                        <a:blip r:embed="rId2"/>
                        <a:srcRect/>
                        <a:stretch>
                          <a:fillRect/>
                        </a:stretch>
                      </pic:blipFill>
                      <pic:spPr bwMode="auto">
                        <a:xfrm>
                          <a:off x="0" y="0"/>
                          <a:ext cx="1022350" cy="905510"/>
                        </a:xfrm>
                        <a:prstGeom prst="rect">
                          <a:avLst/>
                        </a:prstGeom>
                        <a:noFill/>
                        <a:ln w="9525">
                          <a:noFill/>
                          <a:miter lim="800000"/>
                          <a:headEnd/>
                          <a:tailEnd/>
                        </a:ln>
                      </pic:spPr>
                    </pic:pic>
                  </a:graphicData>
                </a:graphic>
              </wp:anchor>
            </w:drawing>
          </w:r>
        </w:p>
      </w:tc>
    </w:tr>
    <w:tr w:rsidR="00771796" w:rsidRPr="002669FD" w:rsidTr="00505E82">
      <w:trPr>
        <w:jc w:val="center"/>
      </w:trPr>
      <w:tc>
        <w:tcPr>
          <w:tcW w:w="9923" w:type="dxa"/>
          <w:gridSpan w:val="3"/>
        </w:tcPr>
        <w:p w:rsidR="00771796" w:rsidRPr="00C357DA" w:rsidRDefault="00572729" w:rsidP="00505E82">
          <w:pPr>
            <w:pStyle w:val="Cabealho"/>
            <w:jc w:val="right"/>
            <w:rPr>
              <w:sz w:val="24"/>
              <w:szCs w:val="24"/>
            </w:rPr>
          </w:pPr>
          <w:r>
            <w:rPr>
              <w:noProof/>
              <w:sz w:val="24"/>
              <w:szCs w:val="24"/>
              <w:lang w:eastAsia="pt-BR"/>
            </w:rPr>
            <w:drawing>
              <wp:inline distT="0" distB="0" distL="0" distR="0">
                <wp:extent cx="2209800" cy="447675"/>
                <wp:effectExtent l="19050" t="0" r="0" b="0"/>
                <wp:docPr id="13" name="Picture 30"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quivos diversos 09 12 14\Logo\SPM1.jpg"/>
                        <pic:cNvPicPr>
                          <a:picLocks noChangeAspect="1" noChangeArrowheads="1"/>
                        </pic:cNvPicPr>
                      </pic:nvPicPr>
                      <pic:blipFill>
                        <a:blip r:embed="rId3"/>
                        <a:srcRect/>
                        <a:stretch>
                          <a:fillRect/>
                        </a:stretch>
                      </pic:blipFill>
                      <pic:spPr bwMode="auto">
                        <a:xfrm>
                          <a:off x="0" y="0"/>
                          <a:ext cx="2209800" cy="447675"/>
                        </a:xfrm>
                        <a:prstGeom prst="rect">
                          <a:avLst/>
                        </a:prstGeom>
                        <a:noFill/>
                        <a:ln w="9525">
                          <a:noFill/>
                          <a:miter lim="800000"/>
                          <a:headEnd/>
                          <a:tailEnd/>
                        </a:ln>
                      </pic:spPr>
                    </pic:pic>
                  </a:graphicData>
                </a:graphic>
              </wp:inline>
            </w:drawing>
          </w:r>
        </w:p>
      </w:tc>
    </w:tr>
  </w:tbl>
  <w:p w:rsidR="00771796" w:rsidRDefault="00771796" w:rsidP="00771796">
    <w:pPr>
      <w:spacing w:line="14" w:lineRule="auto"/>
      <w:rPr>
        <w:sz w:val="20"/>
        <w:szCs w:val="20"/>
      </w:rPr>
    </w:pPr>
  </w:p>
  <w:p w:rsidR="00771796" w:rsidRDefault="00771796" w:rsidP="00771796">
    <w:pPr>
      <w:pStyle w:val="Cabealho"/>
    </w:pPr>
  </w:p>
  <w:p w:rsidR="0088415B" w:rsidRDefault="0088415B">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743" w:type="dxa"/>
      <w:tblLook w:val="04A0"/>
    </w:tblPr>
    <w:tblGrid>
      <w:gridCol w:w="1702"/>
      <w:gridCol w:w="6355"/>
      <w:gridCol w:w="1866"/>
    </w:tblGrid>
    <w:tr w:rsidR="0088415B" w:rsidRPr="002669FD" w:rsidTr="002669FD">
      <w:tc>
        <w:tcPr>
          <w:tcW w:w="1702" w:type="dxa"/>
        </w:tcPr>
        <w:p w:rsidR="0088415B" w:rsidRPr="002669FD" w:rsidRDefault="00572729">
          <w:pPr>
            <w:pStyle w:val="Cabealho"/>
          </w:pPr>
          <w:r>
            <w:rPr>
              <w:noProof/>
              <w:lang w:eastAsia="pt-BR"/>
            </w:rPr>
            <w:drawing>
              <wp:inline distT="0" distB="0" distL="0" distR="0">
                <wp:extent cx="828675" cy="1143000"/>
                <wp:effectExtent l="19050" t="0" r="9525" b="0"/>
                <wp:docPr id="14" name="Imagem 1"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Arquivos diversos 09 12 14\Logo\UFSC.tif"/>
                        <pic:cNvPicPr>
                          <a:picLocks noChangeAspect="1" noChangeArrowheads="1"/>
                        </pic:cNvPicPr>
                      </pic:nvPicPr>
                      <pic:blipFill>
                        <a:blip r:embed="rId1"/>
                        <a:srcRect/>
                        <a:stretch>
                          <a:fillRect/>
                        </a:stretch>
                      </pic:blipFill>
                      <pic:spPr bwMode="auto">
                        <a:xfrm>
                          <a:off x="0" y="0"/>
                          <a:ext cx="828675" cy="1143000"/>
                        </a:xfrm>
                        <a:prstGeom prst="rect">
                          <a:avLst/>
                        </a:prstGeom>
                        <a:noFill/>
                        <a:ln w="9525">
                          <a:noFill/>
                          <a:miter lim="800000"/>
                          <a:headEnd/>
                          <a:tailEnd/>
                        </a:ln>
                      </pic:spPr>
                    </pic:pic>
                  </a:graphicData>
                </a:graphic>
              </wp:inline>
            </w:drawing>
          </w:r>
        </w:p>
      </w:tc>
      <w:tc>
        <w:tcPr>
          <w:tcW w:w="6358" w:type="dxa"/>
        </w:tcPr>
        <w:p w:rsidR="0088415B" w:rsidRPr="002669FD" w:rsidRDefault="0088415B" w:rsidP="002669FD">
          <w:pPr>
            <w:pStyle w:val="Cabealho"/>
            <w:jc w:val="center"/>
            <w:rPr>
              <w:rFonts w:ascii="Times New Roman" w:hAnsi="Times New Roman"/>
              <w:sz w:val="24"/>
              <w:szCs w:val="24"/>
            </w:rPr>
          </w:pPr>
          <w:r w:rsidRPr="002669FD">
            <w:rPr>
              <w:rFonts w:ascii="Times New Roman" w:hAnsi="Times New Roman"/>
              <w:sz w:val="24"/>
              <w:szCs w:val="24"/>
            </w:rPr>
            <w:t>UNIVERSIDADE FEDERAL DE SANTA CATARINA</w:t>
          </w:r>
        </w:p>
        <w:p w:rsidR="0088415B" w:rsidRPr="002669FD" w:rsidRDefault="0088415B" w:rsidP="002669FD">
          <w:pPr>
            <w:pStyle w:val="Cabealho"/>
            <w:jc w:val="center"/>
            <w:rPr>
              <w:rFonts w:ascii="Times New Roman" w:hAnsi="Times New Roman"/>
              <w:sz w:val="24"/>
              <w:szCs w:val="24"/>
            </w:rPr>
          </w:pPr>
          <w:r w:rsidRPr="002669FD">
            <w:rPr>
              <w:rFonts w:ascii="Times New Roman" w:hAnsi="Times New Roman"/>
              <w:sz w:val="24"/>
              <w:szCs w:val="24"/>
            </w:rPr>
            <w:t>Centro de Filosofia e Ciências Humanas</w:t>
          </w:r>
        </w:p>
        <w:p w:rsidR="0088415B" w:rsidRPr="002669FD" w:rsidRDefault="0088415B" w:rsidP="002669FD">
          <w:pPr>
            <w:pStyle w:val="Cabealho"/>
            <w:jc w:val="center"/>
            <w:rPr>
              <w:rFonts w:ascii="Times New Roman" w:hAnsi="Times New Roman"/>
              <w:sz w:val="24"/>
              <w:szCs w:val="24"/>
            </w:rPr>
          </w:pPr>
          <w:r w:rsidRPr="002669FD">
            <w:rPr>
              <w:rFonts w:ascii="Times New Roman" w:hAnsi="Times New Roman"/>
              <w:sz w:val="24"/>
              <w:szCs w:val="24"/>
            </w:rPr>
            <w:t>Programa de Pós-Graduação em Antropologia Social</w:t>
          </w:r>
        </w:p>
        <w:p w:rsidR="0088415B" w:rsidRDefault="0088415B" w:rsidP="002669FD">
          <w:pPr>
            <w:pStyle w:val="Cabealho"/>
            <w:jc w:val="center"/>
            <w:rPr>
              <w:rFonts w:ascii="Times New Roman" w:hAnsi="Times New Roman"/>
              <w:sz w:val="24"/>
              <w:szCs w:val="24"/>
            </w:rPr>
          </w:pPr>
          <w:r w:rsidRPr="002669FD">
            <w:rPr>
              <w:rFonts w:ascii="Times New Roman" w:hAnsi="Times New Roman"/>
              <w:sz w:val="24"/>
              <w:szCs w:val="24"/>
            </w:rPr>
            <w:t>Núcleo de Identidade</w:t>
          </w:r>
          <w:r>
            <w:rPr>
              <w:rFonts w:ascii="Times New Roman" w:hAnsi="Times New Roman"/>
              <w:sz w:val="24"/>
              <w:szCs w:val="24"/>
            </w:rPr>
            <w:t>s</w:t>
          </w:r>
          <w:r w:rsidRPr="002669FD">
            <w:rPr>
              <w:rFonts w:ascii="Times New Roman" w:hAnsi="Times New Roman"/>
              <w:sz w:val="24"/>
              <w:szCs w:val="24"/>
            </w:rPr>
            <w:t xml:space="preserve"> de Gênero e Subjetividades</w:t>
          </w:r>
        </w:p>
        <w:p w:rsidR="0088415B" w:rsidRPr="002669FD" w:rsidRDefault="0088415B" w:rsidP="002669FD">
          <w:pPr>
            <w:pStyle w:val="Cabealho"/>
            <w:jc w:val="center"/>
            <w:rPr>
              <w:rFonts w:ascii="Times New Roman" w:hAnsi="Times New Roman"/>
              <w:sz w:val="24"/>
              <w:szCs w:val="24"/>
            </w:rPr>
          </w:pPr>
        </w:p>
        <w:p w:rsidR="0088415B" w:rsidRPr="002669FD" w:rsidRDefault="0088415B" w:rsidP="002669FD">
          <w:pPr>
            <w:pStyle w:val="Cabealho"/>
            <w:jc w:val="center"/>
          </w:pPr>
          <w:r w:rsidRPr="002669FD">
            <w:rPr>
              <w:rFonts w:ascii="Times New Roman" w:hAnsi="Times New Roman"/>
              <w:sz w:val="24"/>
              <w:szCs w:val="24"/>
            </w:rPr>
            <w:t>Projeto</w:t>
          </w:r>
          <w:r>
            <w:rPr>
              <w:rFonts w:ascii="Times New Roman" w:hAnsi="Times New Roman"/>
              <w:sz w:val="24"/>
              <w:szCs w:val="24"/>
            </w:rPr>
            <w:t>:</w:t>
          </w:r>
          <w:r w:rsidRPr="002669FD">
            <w:rPr>
              <w:rFonts w:ascii="Times New Roman" w:hAnsi="Times New Roman"/>
              <w:sz w:val="24"/>
              <w:szCs w:val="24"/>
            </w:rPr>
            <w:t xml:space="preserve"> Avaliação do Prêmio Construindo a Igualdade d</w:t>
          </w:r>
          <w:r>
            <w:rPr>
              <w:rFonts w:ascii="Times New Roman" w:hAnsi="Times New Roman"/>
              <w:sz w:val="24"/>
              <w:szCs w:val="24"/>
            </w:rPr>
            <w:t>e Gênero n</w:t>
          </w:r>
          <w:r w:rsidRPr="002669FD">
            <w:rPr>
              <w:rFonts w:ascii="Times New Roman" w:hAnsi="Times New Roman"/>
              <w:sz w:val="24"/>
              <w:szCs w:val="24"/>
            </w:rPr>
            <w:t>o Brasil</w:t>
          </w:r>
        </w:p>
      </w:tc>
      <w:tc>
        <w:tcPr>
          <w:tcW w:w="1863" w:type="dxa"/>
        </w:tcPr>
        <w:p w:rsidR="0088415B" w:rsidRPr="002669FD" w:rsidRDefault="00572729" w:rsidP="00EC1E8F">
          <w:pPr>
            <w:pStyle w:val="Cabealho"/>
          </w:pPr>
          <w:r>
            <w:rPr>
              <w:noProof/>
              <w:lang w:eastAsia="pt-BR"/>
            </w:rPr>
            <w:drawing>
              <wp:anchor distT="0" distB="0" distL="114300" distR="114300" simplePos="0" relativeHeight="251656704" behindDoc="1" locked="0" layoutInCell="1" allowOverlap="1">
                <wp:simplePos x="0" y="0"/>
                <wp:positionH relativeFrom="column">
                  <wp:posOffset>-48260</wp:posOffset>
                </wp:positionH>
                <wp:positionV relativeFrom="paragraph">
                  <wp:posOffset>134620</wp:posOffset>
                </wp:positionV>
                <wp:extent cx="1022350" cy="905510"/>
                <wp:effectExtent l="19050" t="0" r="6350" b="0"/>
                <wp:wrapTight wrapText="bothSides">
                  <wp:wrapPolygon edited="0">
                    <wp:start x="-402" y="0"/>
                    <wp:lineTo x="-402" y="21358"/>
                    <wp:lineTo x="21734" y="21358"/>
                    <wp:lineTo x="21734" y="0"/>
                    <wp:lineTo x="-402" y="0"/>
                  </wp:wrapPolygon>
                </wp:wrapTight>
                <wp:docPr id="1" name="Imagem 1"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IGS.JPG"/>
                        <pic:cNvPicPr>
                          <a:picLocks noChangeAspect="1" noChangeArrowheads="1"/>
                        </pic:cNvPicPr>
                      </pic:nvPicPr>
                      <pic:blipFill>
                        <a:blip r:embed="rId2"/>
                        <a:srcRect/>
                        <a:stretch>
                          <a:fillRect/>
                        </a:stretch>
                      </pic:blipFill>
                      <pic:spPr bwMode="auto">
                        <a:xfrm>
                          <a:off x="0" y="0"/>
                          <a:ext cx="1022350" cy="905510"/>
                        </a:xfrm>
                        <a:prstGeom prst="rect">
                          <a:avLst/>
                        </a:prstGeom>
                        <a:noFill/>
                        <a:ln w="9525">
                          <a:noFill/>
                          <a:miter lim="800000"/>
                          <a:headEnd/>
                          <a:tailEnd/>
                        </a:ln>
                      </pic:spPr>
                    </pic:pic>
                  </a:graphicData>
                </a:graphic>
              </wp:anchor>
            </w:drawing>
          </w:r>
        </w:p>
      </w:tc>
    </w:tr>
    <w:tr w:rsidR="0088415B" w:rsidRPr="002669FD" w:rsidTr="002669FD">
      <w:tc>
        <w:tcPr>
          <w:tcW w:w="9923" w:type="dxa"/>
          <w:gridSpan w:val="3"/>
        </w:tcPr>
        <w:p w:rsidR="0088415B" w:rsidRPr="002669FD" w:rsidRDefault="00572729" w:rsidP="002669FD">
          <w:pPr>
            <w:pStyle w:val="Cabealho"/>
            <w:jc w:val="right"/>
          </w:pPr>
          <w:r>
            <w:rPr>
              <w:noProof/>
              <w:lang w:eastAsia="pt-BR"/>
            </w:rPr>
            <w:drawing>
              <wp:inline distT="0" distB="0" distL="0" distR="0">
                <wp:extent cx="2209800" cy="447675"/>
                <wp:effectExtent l="19050" t="0" r="0" b="0"/>
                <wp:docPr id="15" name="Imagem 2"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Arquivos diversos 09 12 14\Logo\SPM1.jpg"/>
                        <pic:cNvPicPr>
                          <a:picLocks noChangeAspect="1" noChangeArrowheads="1"/>
                        </pic:cNvPicPr>
                      </pic:nvPicPr>
                      <pic:blipFill>
                        <a:blip r:embed="rId3"/>
                        <a:srcRect/>
                        <a:stretch>
                          <a:fillRect/>
                        </a:stretch>
                      </pic:blipFill>
                      <pic:spPr bwMode="auto">
                        <a:xfrm>
                          <a:off x="0" y="0"/>
                          <a:ext cx="2209800" cy="447675"/>
                        </a:xfrm>
                        <a:prstGeom prst="rect">
                          <a:avLst/>
                        </a:prstGeom>
                        <a:noFill/>
                        <a:ln w="9525">
                          <a:noFill/>
                          <a:miter lim="800000"/>
                          <a:headEnd/>
                          <a:tailEnd/>
                        </a:ln>
                      </pic:spPr>
                    </pic:pic>
                  </a:graphicData>
                </a:graphic>
              </wp:inline>
            </w:drawing>
          </w:r>
        </w:p>
      </w:tc>
    </w:tr>
  </w:tbl>
  <w:p w:rsidR="0088415B" w:rsidRDefault="0088415B">
    <w:pPr>
      <w:pStyle w:val="Cabealho"/>
    </w:pPr>
  </w:p>
  <w:p w:rsidR="0088415B" w:rsidRDefault="0088415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627C5"/>
    <w:multiLevelType w:val="hybridMultilevel"/>
    <w:tmpl w:val="B3C03E1A"/>
    <w:lvl w:ilvl="0" w:tplc="5A9470D4">
      <w:start w:val="1"/>
      <w:numFmt w:val="decimal"/>
      <w:lvlText w:val="%1)"/>
      <w:lvlJc w:val="left"/>
      <w:pPr>
        <w:tabs>
          <w:tab w:val="num" w:pos="0"/>
        </w:tabs>
        <w:ind w:left="0" w:firstLine="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5DA972D1"/>
    <w:multiLevelType w:val="hybridMultilevel"/>
    <w:tmpl w:val="16D8CA38"/>
    <w:lvl w:ilvl="0" w:tplc="04160009">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hideSpellingErrors/>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EC1E8F"/>
    <w:rsid w:val="0006601E"/>
    <w:rsid w:val="001431E7"/>
    <w:rsid w:val="00172882"/>
    <w:rsid w:val="001E2C63"/>
    <w:rsid w:val="002669FD"/>
    <w:rsid w:val="00281321"/>
    <w:rsid w:val="00397550"/>
    <w:rsid w:val="003C742A"/>
    <w:rsid w:val="00505E82"/>
    <w:rsid w:val="00560BB1"/>
    <w:rsid w:val="00561B69"/>
    <w:rsid w:val="00572729"/>
    <w:rsid w:val="005B6676"/>
    <w:rsid w:val="006A29A0"/>
    <w:rsid w:val="00771796"/>
    <w:rsid w:val="00836219"/>
    <w:rsid w:val="0088415B"/>
    <w:rsid w:val="00944E44"/>
    <w:rsid w:val="00946D28"/>
    <w:rsid w:val="009562C6"/>
    <w:rsid w:val="009741F1"/>
    <w:rsid w:val="00B56BB7"/>
    <w:rsid w:val="00BC7986"/>
    <w:rsid w:val="00BE215F"/>
    <w:rsid w:val="00BE744E"/>
    <w:rsid w:val="00BE7F77"/>
    <w:rsid w:val="00C03C89"/>
    <w:rsid w:val="00C52C94"/>
    <w:rsid w:val="00CC7D10"/>
    <w:rsid w:val="00DE0736"/>
    <w:rsid w:val="00E746D9"/>
    <w:rsid w:val="00E8782A"/>
    <w:rsid w:val="00EC1E8F"/>
    <w:rsid w:val="00F153D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882"/>
    <w:pPr>
      <w:spacing w:line="360" w:lineRule="auto"/>
      <w:jc w:val="both"/>
    </w:pPr>
    <w:rPr>
      <w:sz w:val="22"/>
      <w:szCs w:val="22"/>
      <w:lang w:eastAsia="en-US"/>
    </w:rPr>
  </w:style>
  <w:style w:type="paragraph" w:styleId="Ttulo1">
    <w:name w:val="heading 1"/>
    <w:basedOn w:val="Normal"/>
    <w:link w:val="Ttulo1Char"/>
    <w:uiPriority w:val="1"/>
    <w:qFormat/>
    <w:rsid w:val="0088415B"/>
    <w:pPr>
      <w:widowControl w:val="0"/>
      <w:spacing w:line="240" w:lineRule="auto"/>
      <w:ind w:left="118"/>
      <w:jc w:val="left"/>
      <w:outlineLvl w:val="0"/>
    </w:pPr>
    <w:rPr>
      <w:rFonts w:ascii="Arial" w:eastAsia="Arial" w:hAnsi="Arial"/>
      <w:b/>
      <w:bCs/>
      <w:sz w:val="28"/>
      <w:szCs w:val="28"/>
      <w:lang w:val="en-US"/>
    </w:rPr>
  </w:style>
  <w:style w:type="paragraph" w:styleId="Ttulo2">
    <w:name w:val="heading 2"/>
    <w:basedOn w:val="Normal"/>
    <w:next w:val="Normal"/>
    <w:link w:val="Ttulo2Char"/>
    <w:uiPriority w:val="9"/>
    <w:unhideWhenUsed/>
    <w:qFormat/>
    <w:rsid w:val="00281321"/>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281321"/>
    <w:pPr>
      <w:keepNext/>
      <w:spacing w:before="240" w:after="60"/>
      <w:outlineLvl w:val="2"/>
    </w:pPr>
    <w:rPr>
      <w:rFonts w:ascii="Cambria" w:eastAsia="Times New Roman"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C1E8F"/>
    <w:pPr>
      <w:tabs>
        <w:tab w:val="center" w:pos="4252"/>
        <w:tab w:val="right" w:pos="8504"/>
      </w:tabs>
      <w:spacing w:line="240" w:lineRule="auto"/>
    </w:pPr>
  </w:style>
  <w:style w:type="character" w:customStyle="1" w:styleId="CabealhoChar">
    <w:name w:val="Cabeçalho Char"/>
    <w:basedOn w:val="Fontepargpadro"/>
    <w:link w:val="Cabealho"/>
    <w:uiPriority w:val="99"/>
    <w:rsid w:val="00EC1E8F"/>
  </w:style>
  <w:style w:type="paragraph" w:styleId="Rodap">
    <w:name w:val="footer"/>
    <w:basedOn w:val="Normal"/>
    <w:link w:val="RodapChar"/>
    <w:uiPriority w:val="99"/>
    <w:unhideWhenUsed/>
    <w:rsid w:val="00EC1E8F"/>
    <w:pPr>
      <w:tabs>
        <w:tab w:val="center" w:pos="4252"/>
        <w:tab w:val="right" w:pos="8504"/>
      </w:tabs>
      <w:spacing w:line="240" w:lineRule="auto"/>
    </w:pPr>
  </w:style>
  <w:style w:type="character" w:customStyle="1" w:styleId="RodapChar">
    <w:name w:val="Rodapé Char"/>
    <w:basedOn w:val="Fontepargpadro"/>
    <w:link w:val="Rodap"/>
    <w:uiPriority w:val="99"/>
    <w:rsid w:val="00EC1E8F"/>
  </w:style>
  <w:style w:type="paragraph" w:styleId="Textodebalo">
    <w:name w:val="Balloon Text"/>
    <w:basedOn w:val="Normal"/>
    <w:link w:val="TextodebaloChar"/>
    <w:uiPriority w:val="99"/>
    <w:semiHidden/>
    <w:unhideWhenUsed/>
    <w:rsid w:val="00EC1E8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EC1E8F"/>
    <w:rPr>
      <w:rFonts w:ascii="Tahoma" w:hAnsi="Tahoma" w:cs="Tahoma"/>
      <w:sz w:val="16"/>
      <w:szCs w:val="16"/>
    </w:rPr>
  </w:style>
  <w:style w:type="table" w:styleId="Tabelacomgrade">
    <w:name w:val="Table Grid"/>
    <w:basedOn w:val="Tabelanormal"/>
    <w:uiPriority w:val="59"/>
    <w:rsid w:val="00EC1E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har">
    <w:name w:val="Título 1 Char"/>
    <w:link w:val="Ttulo1"/>
    <w:uiPriority w:val="1"/>
    <w:rsid w:val="0088415B"/>
    <w:rPr>
      <w:rFonts w:ascii="Arial" w:eastAsia="Arial" w:hAnsi="Arial"/>
      <w:b/>
      <w:bCs/>
      <w:sz w:val="28"/>
      <w:szCs w:val="28"/>
      <w:lang w:val="en-US" w:eastAsia="en-US"/>
    </w:rPr>
  </w:style>
  <w:style w:type="table" w:customStyle="1" w:styleId="TableNormal">
    <w:name w:val="Table Normal"/>
    <w:uiPriority w:val="2"/>
    <w:semiHidden/>
    <w:unhideWhenUsed/>
    <w:qFormat/>
    <w:rsid w:val="0088415B"/>
    <w:pPr>
      <w:widowControl w:val="0"/>
    </w:pPr>
    <w:rPr>
      <w:sz w:val="22"/>
      <w:szCs w:val="22"/>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88415B"/>
    <w:pPr>
      <w:widowControl w:val="0"/>
      <w:spacing w:before="5" w:line="240" w:lineRule="auto"/>
      <w:ind w:left="118" w:firstLine="709"/>
      <w:jc w:val="left"/>
    </w:pPr>
    <w:rPr>
      <w:rFonts w:ascii="Times New Roman" w:eastAsia="Times New Roman" w:hAnsi="Times New Roman"/>
      <w:sz w:val="24"/>
      <w:szCs w:val="24"/>
      <w:lang w:val="en-US"/>
    </w:rPr>
  </w:style>
  <w:style w:type="character" w:customStyle="1" w:styleId="CorpodetextoChar">
    <w:name w:val="Corpo de texto Char"/>
    <w:link w:val="Corpodetexto"/>
    <w:uiPriority w:val="1"/>
    <w:rsid w:val="0088415B"/>
    <w:rPr>
      <w:rFonts w:ascii="Times New Roman" w:eastAsia="Times New Roman" w:hAnsi="Times New Roman"/>
      <w:sz w:val="24"/>
      <w:szCs w:val="24"/>
      <w:lang w:val="en-US" w:eastAsia="en-US"/>
    </w:rPr>
  </w:style>
  <w:style w:type="paragraph" w:styleId="PargrafodaLista">
    <w:name w:val="List Paragraph"/>
    <w:basedOn w:val="Normal"/>
    <w:uiPriority w:val="1"/>
    <w:qFormat/>
    <w:rsid w:val="0088415B"/>
    <w:pPr>
      <w:widowControl w:val="0"/>
      <w:spacing w:line="240" w:lineRule="auto"/>
      <w:jc w:val="left"/>
    </w:pPr>
    <w:rPr>
      <w:lang w:val="en-US"/>
    </w:rPr>
  </w:style>
  <w:style w:type="paragraph" w:customStyle="1" w:styleId="TableParagraph">
    <w:name w:val="Table Paragraph"/>
    <w:basedOn w:val="Normal"/>
    <w:uiPriority w:val="1"/>
    <w:qFormat/>
    <w:rsid w:val="0088415B"/>
    <w:pPr>
      <w:widowControl w:val="0"/>
      <w:spacing w:line="240" w:lineRule="auto"/>
      <w:jc w:val="left"/>
    </w:pPr>
    <w:rPr>
      <w:lang w:val="en-US"/>
    </w:rPr>
  </w:style>
  <w:style w:type="character" w:styleId="Hyperlink">
    <w:name w:val="Hyperlink"/>
    <w:semiHidden/>
    <w:rsid w:val="00771796"/>
    <w:rPr>
      <w:color w:val="0000FF"/>
      <w:u w:val="single"/>
    </w:rPr>
  </w:style>
  <w:style w:type="paragraph" w:styleId="Textodenotaderodap">
    <w:name w:val="footnote text"/>
    <w:basedOn w:val="Normal"/>
    <w:link w:val="TextodenotaderodapChar"/>
    <w:semiHidden/>
    <w:rsid w:val="00771796"/>
    <w:pPr>
      <w:spacing w:line="240" w:lineRule="auto"/>
      <w:jc w:val="left"/>
    </w:pPr>
    <w:rPr>
      <w:rFonts w:ascii="Times New Roman" w:eastAsia="Times New Roman" w:hAnsi="Times New Roman"/>
      <w:sz w:val="20"/>
      <w:szCs w:val="20"/>
      <w:lang w:eastAsia="pt-BR"/>
    </w:rPr>
  </w:style>
  <w:style w:type="character" w:customStyle="1" w:styleId="TextodenotaderodapChar">
    <w:name w:val="Texto de nota de rodapé Char"/>
    <w:link w:val="Textodenotaderodap"/>
    <w:semiHidden/>
    <w:rsid w:val="00771796"/>
    <w:rPr>
      <w:rFonts w:ascii="Times New Roman" w:eastAsia="Times New Roman" w:hAnsi="Times New Roman"/>
    </w:rPr>
  </w:style>
  <w:style w:type="character" w:styleId="Refdenotaderodap">
    <w:name w:val="footnote reference"/>
    <w:semiHidden/>
    <w:rsid w:val="00771796"/>
    <w:rPr>
      <w:vertAlign w:val="superscript"/>
    </w:rPr>
  </w:style>
  <w:style w:type="character" w:styleId="Forte">
    <w:name w:val="Strong"/>
    <w:qFormat/>
    <w:rsid w:val="00771796"/>
    <w:rPr>
      <w:b/>
      <w:bCs/>
    </w:rPr>
  </w:style>
  <w:style w:type="character" w:customStyle="1" w:styleId="CorpodetextoCharCharChar">
    <w:name w:val="Corpo de texto Char Char Char"/>
    <w:aliases w:val="Corpo de texto Char Char,Corpo de texto Char Char Char"/>
    <w:rsid w:val="00771796"/>
    <w:rPr>
      <w:rFonts w:ascii="Arial" w:hAnsi="Arial" w:cs="Arial"/>
      <w:sz w:val="24"/>
      <w:szCs w:val="24"/>
      <w:lang w:val="pt-BR" w:eastAsia="pt-BR" w:bidi="ar-SA"/>
    </w:rPr>
  </w:style>
  <w:style w:type="paragraph" w:styleId="Corpodetexto3">
    <w:name w:val="Body Text 3"/>
    <w:basedOn w:val="Normal"/>
    <w:link w:val="Corpodetexto3Char"/>
    <w:uiPriority w:val="99"/>
    <w:semiHidden/>
    <w:unhideWhenUsed/>
    <w:rsid w:val="00771796"/>
    <w:pPr>
      <w:spacing w:after="120"/>
    </w:pPr>
    <w:rPr>
      <w:sz w:val="16"/>
      <w:szCs w:val="16"/>
    </w:rPr>
  </w:style>
  <w:style w:type="character" w:customStyle="1" w:styleId="Corpodetexto3Char">
    <w:name w:val="Corpo de texto 3 Char"/>
    <w:link w:val="Corpodetexto3"/>
    <w:uiPriority w:val="99"/>
    <w:semiHidden/>
    <w:rsid w:val="00771796"/>
    <w:rPr>
      <w:sz w:val="16"/>
      <w:szCs w:val="16"/>
      <w:lang w:eastAsia="en-US"/>
    </w:rPr>
  </w:style>
  <w:style w:type="paragraph" w:styleId="NormalWeb">
    <w:name w:val="Normal (Web)"/>
    <w:basedOn w:val="Normal"/>
    <w:semiHidden/>
    <w:rsid w:val="00771796"/>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Default">
    <w:name w:val="Default"/>
    <w:rsid w:val="00771796"/>
    <w:pPr>
      <w:autoSpaceDE w:val="0"/>
      <w:autoSpaceDN w:val="0"/>
      <w:adjustRightInd w:val="0"/>
    </w:pPr>
    <w:rPr>
      <w:rFonts w:ascii="Times New Roman" w:eastAsia="Times New Roman" w:hAnsi="Times New Roman"/>
      <w:color w:val="000000"/>
      <w:sz w:val="24"/>
      <w:szCs w:val="24"/>
    </w:rPr>
  </w:style>
  <w:style w:type="paragraph" w:styleId="Textoembloco">
    <w:name w:val="Block Text"/>
    <w:basedOn w:val="Default"/>
    <w:next w:val="Default"/>
    <w:semiHidden/>
    <w:rsid w:val="00771796"/>
    <w:rPr>
      <w:color w:val="auto"/>
    </w:rPr>
  </w:style>
  <w:style w:type="paragraph" w:customStyle="1" w:styleId="CM52">
    <w:name w:val="CM52"/>
    <w:basedOn w:val="Normal"/>
    <w:next w:val="Normal"/>
    <w:rsid w:val="00771796"/>
    <w:pPr>
      <w:widowControl w:val="0"/>
      <w:autoSpaceDE w:val="0"/>
      <w:autoSpaceDN w:val="0"/>
      <w:adjustRightInd w:val="0"/>
      <w:spacing w:after="413" w:line="240" w:lineRule="auto"/>
      <w:jc w:val="left"/>
    </w:pPr>
    <w:rPr>
      <w:rFonts w:ascii="Bookman Old Style" w:eastAsia="Times New Roman" w:hAnsi="Bookman Old Style"/>
      <w:sz w:val="24"/>
      <w:szCs w:val="24"/>
      <w:lang w:val="en-US"/>
    </w:rPr>
  </w:style>
  <w:style w:type="paragraph" w:customStyle="1" w:styleId="autora">
    <w:name w:val="autora"/>
    <w:basedOn w:val="Normal"/>
    <w:rsid w:val="00771796"/>
    <w:pPr>
      <w:spacing w:before="100" w:beforeAutospacing="1" w:after="100" w:afterAutospacing="1" w:line="240" w:lineRule="auto"/>
      <w:jc w:val="right"/>
    </w:pPr>
    <w:rPr>
      <w:rFonts w:ascii="Verdana" w:eastAsia="Times New Roman" w:hAnsi="Verdana"/>
      <w:b/>
      <w:bCs/>
      <w:color w:val="800000"/>
      <w:sz w:val="24"/>
      <w:szCs w:val="24"/>
      <w:lang w:val="en-US"/>
    </w:rPr>
  </w:style>
  <w:style w:type="paragraph" w:customStyle="1" w:styleId="CM14">
    <w:name w:val="CM14"/>
    <w:basedOn w:val="Default"/>
    <w:next w:val="Default"/>
    <w:rsid w:val="00771796"/>
    <w:pPr>
      <w:widowControl w:val="0"/>
      <w:spacing w:after="120"/>
    </w:pPr>
    <w:rPr>
      <w:color w:val="auto"/>
    </w:rPr>
  </w:style>
  <w:style w:type="paragraph" w:styleId="Recuodecorpodetexto">
    <w:name w:val="Body Text Indent"/>
    <w:basedOn w:val="Normal"/>
    <w:link w:val="RecuodecorpodetextoChar"/>
    <w:uiPriority w:val="99"/>
    <w:semiHidden/>
    <w:unhideWhenUsed/>
    <w:rsid w:val="003C742A"/>
    <w:pPr>
      <w:spacing w:after="120"/>
      <w:ind w:left="283"/>
    </w:pPr>
  </w:style>
  <w:style w:type="character" w:customStyle="1" w:styleId="RecuodecorpodetextoChar">
    <w:name w:val="Recuo de corpo de texto Char"/>
    <w:link w:val="Recuodecorpodetexto"/>
    <w:uiPriority w:val="99"/>
    <w:semiHidden/>
    <w:rsid w:val="003C742A"/>
    <w:rPr>
      <w:sz w:val="22"/>
      <w:szCs w:val="22"/>
      <w:lang w:eastAsia="en-US"/>
    </w:rPr>
  </w:style>
  <w:style w:type="paragraph" w:customStyle="1" w:styleId="WW-Default">
    <w:name w:val="WW-Default"/>
    <w:rsid w:val="003C742A"/>
    <w:pPr>
      <w:widowControl w:val="0"/>
      <w:suppressAutoHyphens/>
      <w:autoSpaceDE w:val="0"/>
    </w:pPr>
    <w:rPr>
      <w:rFonts w:ascii="Times New Roman" w:eastAsia="Times New Roman" w:hAnsi="Times New Roman"/>
      <w:sz w:val="24"/>
      <w:szCs w:val="24"/>
      <w:lang w:eastAsia="ar-SA"/>
    </w:rPr>
  </w:style>
  <w:style w:type="paragraph" w:styleId="Textodenotadefim">
    <w:name w:val="endnote text"/>
    <w:basedOn w:val="Normal"/>
    <w:link w:val="TextodenotadefimChar"/>
    <w:semiHidden/>
    <w:unhideWhenUsed/>
    <w:rsid w:val="003C742A"/>
    <w:pPr>
      <w:spacing w:line="240" w:lineRule="auto"/>
      <w:jc w:val="left"/>
    </w:pPr>
    <w:rPr>
      <w:rFonts w:ascii="Times New Roman" w:eastAsia="Times New Roman" w:hAnsi="Times New Roman"/>
      <w:sz w:val="20"/>
      <w:szCs w:val="20"/>
      <w:lang w:val="es-ES" w:eastAsia="es-ES"/>
    </w:rPr>
  </w:style>
  <w:style w:type="character" w:customStyle="1" w:styleId="TextodenotadefimChar">
    <w:name w:val="Texto de nota de fim Char"/>
    <w:link w:val="Textodenotadefim"/>
    <w:semiHidden/>
    <w:rsid w:val="003C742A"/>
    <w:rPr>
      <w:rFonts w:ascii="Times New Roman" w:eastAsia="Times New Roman" w:hAnsi="Times New Roman"/>
      <w:lang w:val="es-ES" w:eastAsia="es-ES"/>
    </w:rPr>
  </w:style>
  <w:style w:type="paragraph" w:styleId="Recuodecorpodetexto3">
    <w:name w:val="Body Text Indent 3"/>
    <w:basedOn w:val="Normal"/>
    <w:link w:val="Recuodecorpodetexto3Char"/>
    <w:uiPriority w:val="99"/>
    <w:semiHidden/>
    <w:unhideWhenUsed/>
    <w:rsid w:val="00397550"/>
    <w:pPr>
      <w:spacing w:after="120"/>
      <w:ind w:left="283"/>
    </w:pPr>
    <w:rPr>
      <w:sz w:val="16"/>
      <w:szCs w:val="16"/>
    </w:rPr>
  </w:style>
  <w:style w:type="character" w:customStyle="1" w:styleId="Recuodecorpodetexto3Char">
    <w:name w:val="Recuo de corpo de texto 3 Char"/>
    <w:link w:val="Recuodecorpodetexto3"/>
    <w:uiPriority w:val="99"/>
    <w:semiHidden/>
    <w:rsid w:val="00397550"/>
    <w:rPr>
      <w:sz w:val="16"/>
      <w:szCs w:val="16"/>
      <w:lang w:eastAsia="en-US"/>
    </w:rPr>
  </w:style>
  <w:style w:type="paragraph" w:styleId="Recuodecorpodetexto2">
    <w:name w:val="Body Text Indent 2"/>
    <w:basedOn w:val="Normal"/>
    <w:link w:val="Recuodecorpodetexto2Char"/>
    <w:uiPriority w:val="99"/>
    <w:semiHidden/>
    <w:unhideWhenUsed/>
    <w:rsid w:val="00397550"/>
    <w:pPr>
      <w:spacing w:after="120" w:line="480" w:lineRule="auto"/>
      <w:ind w:left="283"/>
    </w:pPr>
  </w:style>
  <w:style w:type="character" w:customStyle="1" w:styleId="Recuodecorpodetexto2Char">
    <w:name w:val="Recuo de corpo de texto 2 Char"/>
    <w:link w:val="Recuodecorpodetexto2"/>
    <w:uiPriority w:val="99"/>
    <w:semiHidden/>
    <w:rsid w:val="00397550"/>
    <w:rPr>
      <w:sz w:val="22"/>
      <w:szCs w:val="22"/>
      <w:lang w:eastAsia="en-US"/>
    </w:rPr>
  </w:style>
  <w:style w:type="paragraph" w:styleId="Ttulo">
    <w:name w:val="Title"/>
    <w:basedOn w:val="Normal"/>
    <w:link w:val="TtuloChar"/>
    <w:qFormat/>
    <w:rsid w:val="00397550"/>
    <w:pPr>
      <w:spacing w:line="240" w:lineRule="auto"/>
      <w:jc w:val="center"/>
    </w:pPr>
    <w:rPr>
      <w:rFonts w:ascii="Times New Roman" w:eastAsia="Times New Roman" w:hAnsi="Times New Roman"/>
      <w:b/>
      <w:bCs/>
      <w:sz w:val="24"/>
      <w:szCs w:val="24"/>
      <w:lang w:eastAsia="pt-BR"/>
    </w:rPr>
  </w:style>
  <w:style w:type="character" w:customStyle="1" w:styleId="TtuloChar">
    <w:name w:val="Título Char"/>
    <w:link w:val="Ttulo"/>
    <w:rsid w:val="00397550"/>
    <w:rPr>
      <w:rFonts w:ascii="Times New Roman" w:eastAsia="Times New Roman" w:hAnsi="Times New Roman"/>
      <w:b/>
      <w:bCs/>
      <w:sz w:val="24"/>
      <w:szCs w:val="24"/>
    </w:rPr>
  </w:style>
  <w:style w:type="paragraph" w:styleId="TextosemFormatao">
    <w:name w:val="Plain Text"/>
    <w:basedOn w:val="Normal"/>
    <w:link w:val="TextosemFormataoChar"/>
    <w:semiHidden/>
    <w:rsid w:val="00397550"/>
    <w:pPr>
      <w:spacing w:line="240" w:lineRule="auto"/>
      <w:jc w:val="left"/>
    </w:pPr>
    <w:rPr>
      <w:rFonts w:ascii="Courier New" w:eastAsia="Times New Roman" w:hAnsi="Courier New"/>
      <w:sz w:val="20"/>
      <w:szCs w:val="20"/>
      <w:lang w:eastAsia="pt-BR"/>
    </w:rPr>
  </w:style>
  <w:style w:type="character" w:customStyle="1" w:styleId="TextosemFormataoChar">
    <w:name w:val="Texto sem Formatação Char"/>
    <w:link w:val="TextosemFormatao"/>
    <w:semiHidden/>
    <w:rsid w:val="00397550"/>
    <w:rPr>
      <w:rFonts w:ascii="Courier New" w:eastAsia="Times New Roman" w:hAnsi="Courier New"/>
    </w:rPr>
  </w:style>
  <w:style w:type="paragraph" w:customStyle="1" w:styleId="listfl1">
    <w:name w:val="listfl1"/>
    <w:basedOn w:val="Normal"/>
    <w:rsid w:val="00397550"/>
    <w:pPr>
      <w:shd w:val="clear" w:color="auto" w:fill="FFFFFF"/>
      <w:spacing w:after="120" w:line="255" w:lineRule="atLeast"/>
      <w:ind w:right="244"/>
      <w:jc w:val="right"/>
    </w:pPr>
    <w:rPr>
      <w:rFonts w:ascii="Verdana" w:eastAsia="Times New Roman" w:hAnsi="Verdana"/>
      <w:color w:val="676767"/>
      <w:sz w:val="18"/>
      <w:szCs w:val="18"/>
      <w:lang w:eastAsia="pt-BR"/>
    </w:rPr>
  </w:style>
  <w:style w:type="character" w:customStyle="1" w:styleId="Ttulo3Char">
    <w:name w:val="Título 3 Char"/>
    <w:link w:val="Ttulo3"/>
    <w:uiPriority w:val="9"/>
    <w:semiHidden/>
    <w:rsid w:val="00281321"/>
    <w:rPr>
      <w:rFonts w:ascii="Cambria" w:eastAsia="Times New Roman" w:hAnsi="Cambria" w:cs="Times New Roman"/>
      <w:b/>
      <w:bCs/>
      <w:sz w:val="26"/>
      <w:szCs w:val="26"/>
      <w:lang w:eastAsia="en-US"/>
    </w:rPr>
  </w:style>
  <w:style w:type="character" w:customStyle="1" w:styleId="Ttulo2Char">
    <w:name w:val="Título 2 Char"/>
    <w:link w:val="Ttulo2"/>
    <w:uiPriority w:val="9"/>
    <w:rsid w:val="00281321"/>
    <w:rPr>
      <w:rFonts w:ascii="Cambria" w:eastAsia="Times New Roman" w:hAnsi="Cambria" w:cs="Times New Roman"/>
      <w:b/>
      <w:bCs/>
      <w:i/>
      <w:iCs/>
      <w:sz w:val="28"/>
      <w:szCs w:val="28"/>
      <w:lang w:eastAsia="en-US"/>
    </w:rPr>
  </w:style>
  <w:style w:type="paragraph" w:customStyle="1" w:styleId="Corpodetexto21">
    <w:name w:val="Corpo de texto 21"/>
    <w:basedOn w:val="Normal"/>
    <w:rsid w:val="00281321"/>
    <w:pPr>
      <w:widowControl w:val="0"/>
      <w:suppressAutoHyphens/>
      <w:spacing w:before="120"/>
    </w:pPr>
    <w:rPr>
      <w:rFonts w:ascii="Times New Roman" w:eastAsia="Arial Unicode MS" w:hAnsi="Times New Roman"/>
      <w:sz w:val="24"/>
      <w:szCs w:val="24"/>
      <w:lang w:eastAsia="ar-SA"/>
    </w:rPr>
  </w:style>
  <w:style w:type="character" w:customStyle="1" w:styleId="titulo18px1">
    <w:name w:val="titulo_18px1"/>
    <w:rsid w:val="00281321"/>
    <w:rPr>
      <w:b/>
      <w:bCs/>
      <w:color w:val="6B8420"/>
      <w:sz w:val="27"/>
      <w:szCs w:val="27"/>
    </w:rPr>
  </w:style>
  <w:style w:type="paragraph" w:customStyle="1" w:styleId="texto">
    <w:name w:val="texto"/>
    <w:basedOn w:val="Normal"/>
    <w:rsid w:val="00281321"/>
    <w:pPr>
      <w:spacing w:before="100" w:beforeAutospacing="1" w:after="100" w:afterAutospacing="1" w:line="312" w:lineRule="auto"/>
      <w:jc w:val="left"/>
    </w:pPr>
    <w:rPr>
      <w:rFonts w:ascii="Verdana" w:eastAsia="Times New Roman" w:hAnsi="Verdana"/>
      <w:color w:val="000066"/>
      <w:spacing w:val="2"/>
      <w:sz w:val="17"/>
      <w:szCs w:val="17"/>
      <w:lang w:eastAsia="pt-BR"/>
    </w:rPr>
  </w:style>
</w:styles>
</file>

<file path=word/webSettings.xml><?xml version="1.0" encoding="utf-8"?>
<w:webSettings xmlns:r="http://schemas.openxmlformats.org/officeDocument/2006/relationships" xmlns:w="http://schemas.openxmlformats.org/wordprocessingml/2006/main">
  <w:divs>
    <w:div w:id="701783515">
      <w:bodyDiv w:val="1"/>
      <w:marLeft w:val="0"/>
      <w:marRight w:val="0"/>
      <w:marTop w:val="0"/>
      <w:marBottom w:val="0"/>
      <w:divBdr>
        <w:top w:val="none" w:sz="0" w:space="0" w:color="auto"/>
        <w:left w:val="none" w:sz="0" w:space="0" w:color="auto"/>
        <w:bottom w:val="none" w:sz="0" w:space="0" w:color="auto"/>
        <w:right w:val="none" w:sz="0" w:space="0" w:color="auto"/>
      </w:divBdr>
      <w:divsChild>
        <w:div w:id="121120136">
          <w:marLeft w:val="0"/>
          <w:marRight w:val="0"/>
          <w:marTop w:val="0"/>
          <w:marBottom w:val="0"/>
          <w:divBdr>
            <w:top w:val="none" w:sz="0" w:space="0" w:color="auto"/>
            <w:left w:val="none" w:sz="0" w:space="0" w:color="auto"/>
            <w:bottom w:val="none" w:sz="0" w:space="0" w:color="auto"/>
            <w:right w:val="none" w:sz="0" w:space="0" w:color="auto"/>
          </w:divBdr>
        </w:div>
        <w:div w:id="137308033">
          <w:marLeft w:val="0"/>
          <w:marRight w:val="0"/>
          <w:marTop w:val="0"/>
          <w:marBottom w:val="0"/>
          <w:divBdr>
            <w:top w:val="none" w:sz="0" w:space="0" w:color="auto"/>
            <w:left w:val="none" w:sz="0" w:space="0" w:color="auto"/>
            <w:bottom w:val="none" w:sz="0" w:space="0" w:color="auto"/>
            <w:right w:val="none" w:sz="0" w:space="0" w:color="auto"/>
          </w:divBdr>
        </w:div>
        <w:div w:id="495609329">
          <w:marLeft w:val="0"/>
          <w:marRight w:val="0"/>
          <w:marTop w:val="0"/>
          <w:marBottom w:val="0"/>
          <w:divBdr>
            <w:top w:val="none" w:sz="0" w:space="0" w:color="auto"/>
            <w:left w:val="none" w:sz="0" w:space="0" w:color="auto"/>
            <w:bottom w:val="none" w:sz="0" w:space="0" w:color="auto"/>
            <w:right w:val="none" w:sz="0" w:space="0" w:color="auto"/>
          </w:divBdr>
        </w:div>
        <w:div w:id="1129476564">
          <w:marLeft w:val="0"/>
          <w:marRight w:val="0"/>
          <w:marTop w:val="0"/>
          <w:marBottom w:val="0"/>
          <w:divBdr>
            <w:top w:val="none" w:sz="0" w:space="0" w:color="auto"/>
            <w:left w:val="none" w:sz="0" w:space="0" w:color="auto"/>
            <w:bottom w:val="none" w:sz="0" w:space="0" w:color="auto"/>
            <w:right w:val="none" w:sz="0" w:space="0" w:color="auto"/>
          </w:divBdr>
        </w:div>
        <w:div w:id="1505196478">
          <w:marLeft w:val="0"/>
          <w:marRight w:val="0"/>
          <w:marTop w:val="0"/>
          <w:marBottom w:val="0"/>
          <w:divBdr>
            <w:top w:val="none" w:sz="0" w:space="0" w:color="auto"/>
            <w:left w:val="none" w:sz="0" w:space="0" w:color="auto"/>
            <w:bottom w:val="none" w:sz="0" w:space="0" w:color="auto"/>
            <w:right w:val="none" w:sz="0" w:space="0" w:color="auto"/>
          </w:divBdr>
        </w:div>
        <w:div w:id="1657998142">
          <w:marLeft w:val="0"/>
          <w:marRight w:val="0"/>
          <w:marTop w:val="0"/>
          <w:marBottom w:val="0"/>
          <w:divBdr>
            <w:top w:val="none" w:sz="0" w:space="0" w:color="auto"/>
            <w:left w:val="none" w:sz="0" w:space="0" w:color="auto"/>
            <w:bottom w:val="none" w:sz="0" w:space="0" w:color="auto"/>
            <w:right w:val="none" w:sz="0" w:space="0" w:color="auto"/>
          </w:divBdr>
        </w:div>
        <w:div w:id="1829861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mulheresnorock.pop.com.br/textos/mnr5.htm" TargetMode="External"/><Relationship Id="rId18" Type="http://schemas.openxmlformats.org/officeDocument/2006/relationships/image" Target="media/image4.jpeg"/><Relationship Id="rId26" Type="http://schemas.openxmlformats.org/officeDocument/2006/relationships/hyperlink" Target="http://www.btinternet.com/~pae_news/review/issue9.htm" TargetMode="External"/><Relationship Id="rId39" Type="http://schemas.openxmlformats.org/officeDocument/2006/relationships/hyperlink" Target="http://www.agende.org.br/16dias.%20Acesso%20em:%2008%20de%20nov.%202006.%20" TargetMode="External"/><Relationship Id="rId3" Type="http://schemas.openxmlformats.org/officeDocument/2006/relationships/settings" Target="settings.xml"/><Relationship Id="rId21" Type="http://schemas.openxmlformats.org/officeDocument/2006/relationships/hyperlink" Target="http://www.agende.org.br" TargetMode="External"/><Relationship Id="rId34" Type="http://schemas.openxmlformats.org/officeDocument/2006/relationships/image" Target="media/image10.w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www.mulheresnorock.pop.com.br/textos/mnr3.htm" TargetMode="External"/><Relationship Id="rId17" Type="http://schemas.openxmlformats.org/officeDocument/2006/relationships/hyperlink" Target="http://www.mulheresnorock.pop.com.br/textos/mnr6.htm" TargetMode="External"/><Relationship Id="rId25" Type="http://schemas.openxmlformats.org/officeDocument/2006/relationships/hyperlink" Target="http://www.btinternet.com/~pae_news/review/issue11.htm" TargetMode="External"/><Relationship Id="rId33" Type="http://schemas.openxmlformats.org/officeDocument/2006/relationships/image" Target="media/image9.wmf"/><Relationship Id="rId38" Type="http://schemas.openxmlformats.org/officeDocument/2006/relationships/hyperlink" Target="http://www.nosenfantsdisparus.ca" TargetMode="External"/><Relationship Id="rId2" Type="http://schemas.openxmlformats.org/officeDocument/2006/relationships/styles" Target="styles.xml"/><Relationship Id="rId16" Type="http://schemas.openxmlformats.org/officeDocument/2006/relationships/hyperlink" Target="http://www.mulheresnorock.pop.com.br/textos/mnr5.htm" TargetMode="External"/><Relationship Id="rId20" Type="http://schemas.openxmlformats.org/officeDocument/2006/relationships/image" Target="media/image6.emf"/><Relationship Id="rId29" Type="http://schemas.openxmlformats.org/officeDocument/2006/relationships/hyperlink" Target="http://www.orkut.com/CommMsgs.aspx?cmm=20455223&amp;tid=2487309053964907012"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cs.umassd.edu/plcs12texts/barbosajun162006.doc" TargetMode="External"/><Relationship Id="rId24" Type="http://schemas.openxmlformats.org/officeDocument/2006/relationships/hyperlink" Target="http://www.scielo.org.br" TargetMode="External"/><Relationship Id="rId32" Type="http://schemas.openxmlformats.org/officeDocument/2006/relationships/image" Target="media/image8.wmf"/><Relationship Id="rId37" Type="http://schemas.openxmlformats.org/officeDocument/2006/relationships/image" Target="media/image12.emf"/><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mulheresnorock.pop.com.br/textos/mnr5.htm" TargetMode="External"/><Relationship Id="rId23" Type="http://schemas.openxmlformats.org/officeDocument/2006/relationships/hyperlink" Target="http://www.h-debate.com" TargetMode="External"/><Relationship Id="rId28" Type="http://schemas.openxmlformats.org/officeDocument/2006/relationships/hyperlink" Target="http://www.orkut.com/CommMsgs.aspx?cmm=20455223&amp;tid=2549964434228365385" TargetMode="External"/><Relationship Id="rId36" Type="http://schemas.openxmlformats.org/officeDocument/2006/relationships/chart" Target="charts/chart1.xml"/><Relationship Id="rId10" Type="http://schemas.openxmlformats.org/officeDocument/2006/relationships/hyperlink" Target="http://www.democraciaparticipativa.org/files/AvritzerSociedadeCivilParticipacaoBrasil.pdf" TargetMode="External"/><Relationship Id="rId19" Type="http://schemas.openxmlformats.org/officeDocument/2006/relationships/image" Target="media/image5.jpeg"/><Relationship Id="rId31"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yperlink" Target="http://www.diap.org.br/cabe%C3%A7as/cabecas.asp" TargetMode="External"/><Relationship Id="rId14" Type="http://schemas.openxmlformats.org/officeDocument/2006/relationships/hyperlink" Target="http://www.mulheresnorock.pop.com.br/textos/mnr6.htm" TargetMode="External"/><Relationship Id="rId22" Type="http://schemas.openxmlformats.org/officeDocument/2006/relationships/hyperlink" Target="http://www.mds.gov.br" TargetMode="External"/><Relationship Id="rId27" Type="http://schemas.openxmlformats.org/officeDocument/2006/relationships/hyperlink" Target="http://www.ingridrobeyns.nl/Downloads/method.pdf" TargetMode="External"/><Relationship Id="rId30" Type="http://schemas.openxmlformats.org/officeDocument/2006/relationships/hyperlink" Target="http://www.orkut.com/CommMsgs.aspx?cmm=20455223&amp;tid=2489168285176833577" TargetMode="External"/><Relationship Id="rId35" Type="http://schemas.openxmlformats.org/officeDocument/2006/relationships/image" Target="media/image11.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rkut.com" TargetMode="External"/><Relationship Id="rId2" Type="http://schemas.openxmlformats.org/officeDocument/2006/relationships/hyperlink" Target="http://www.btinternet.com/~pae_news/review/issue9.htm" TargetMode="External"/><Relationship Id="rId1" Type="http://schemas.openxmlformats.org/officeDocument/2006/relationships/hyperlink" Target="http://www.paecon.net" TargetMode="External"/><Relationship Id="rId5" Type="http://schemas.openxmlformats.org/officeDocument/2006/relationships/hyperlink" Target="http://mixbrasil.uol.com.br/mp/upload/noticia/3_46_60821.shtml%20%20%5b28" TargetMode="External"/><Relationship Id="rId4" Type="http://schemas.openxmlformats.org/officeDocument/2006/relationships/hyperlink" Target="http://br.youtub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200" b="1" i="0" u="none" strike="noStrike" baseline="0">
                <a:solidFill>
                  <a:srgbClr val="000000"/>
                </a:solidFill>
                <a:latin typeface="Arial"/>
                <a:ea typeface="Arial"/>
                <a:cs typeface="Arial"/>
              </a:defRPr>
            </a:pPr>
            <a:r>
              <a:t>Pretende se estabelecer profissionalmente como agricultor familiar?</a:t>
            </a:r>
          </a:p>
        </c:rich>
      </c:tx>
      <c:layout>
        <c:manualLayout>
          <c:xMode val="edge"/>
          <c:yMode val="edge"/>
          <c:x val="0.11448598130841123"/>
          <c:y val="1.9083969465648862E-2"/>
        </c:manualLayout>
      </c:layout>
      <c:spPr>
        <a:noFill/>
        <a:ln w="25400">
          <a:noFill/>
        </a:ln>
      </c:spPr>
    </c:title>
    <c:view3D>
      <c:hPercent val="52"/>
      <c:depthPercent val="100"/>
      <c:rAngAx val="1"/>
    </c:view3D>
    <c:floor>
      <c:spPr>
        <a:solidFill>
          <a:srgbClr val="333333"/>
        </a:solidFill>
        <a:ln w="3175">
          <a:solidFill>
            <a:srgbClr val="000000"/>
          </a:solidFill>
          <a:prstDash val="solid"/>
        </a:ln>
      </c:spPr>
    </c:floor>
    <c:sideWall>
      <c:spPr>
        <a:gradFill rotWithShape="0">
          <a:gsLst>
            <a:gs pos="0">
              <a:srgbClr val="C0C0C0"/>
            </a:gs>
            <a:gs pos="100000">
              <a:srgbClr val="C0C0C0">
                <a:gamma/>
                <a:shade val="46275"/>
                <a:invGamma/>
              </a:srgbClr>
            </a:gs>
          </a:gsLst>
          <a:lin ang="5400000" scaled="1"/>
        </a:gradFill>
        <a:ln w="12700">
          <a:solidFill>
            <a:srgbClr val="808080"/>
          </a:solidFill>
          <a:prstDash val="solid"/>
        </a:ln>
      </c:spPr>
    </c:sideWall>
    <c:backWall>
      <c:spPr>
        <a:gradFill rotWithShape="0">
          <a:gsLst>
            <a:gs pos="0">
              <a:srgbClr val="C0C0C0"/>
            </a:gs>
            <a:gs pos="100000">
              <a:srgbClr val="C0C0C0">
                <a:gamma/>
                <a:shade val="46275"/>
                <a:invGamma/>
              </a:srgbClr>
            </a:gs>
          </a:gsLst>
          <a:lin ang="5400000" scaled="1"/>
        </a:gradFill>
        <a:ln w="12700">
          <a:solidFill>
            <a:srgbClr val="808080"/>
          </a:solidFill>
          <a:prstDash val="solid"/>
        </a:ln>
      </c:spPr>
    </c:backWall>
    <c:plotArea>
      <c:layout>
        <c:manualLayout>
          <c:layoutTarget val="inner"/>
          <c:xMode val="edge"/>
          <c:yMode val="edge"/>
          <c:x val="7.9439252336448621E-2"/>
          <c:y val="0.20610687022900762"/>
          <c:w val="0.80607476635514042"/>
          <c:h val="0.65267175572519132"/>
        </c:manualLayout>
      </c:layout>
      <c:bar3DChart>
        <c:barDir val="col"/>
        <c:grouping val="clustered"/>
        <c:ser>
          <c:idx val="0"/>
          <c:order val="0"/>
          <c:tx>
            <c:strRef>
              <c:f>Plan1!$C$8</c:f>
              <c:strCache>
                <c:ptCount val="1"/>
                <c:pt idx="0">
                  <c:v>sim</c:v>
                </c:pt>
              </c:strCache>
            </c:strRef>
          </c:tx>
          <c:spPr>
            <a:solidFill>
              <a:srgbClr val="FFCC99"/>
            </a:solidFill>
            <a:ln w="12700">
              <a:solidFill>
                <a:srgbClr val="000000"/>
              </a:solidFill>
              <a:prstDash val="solid"/>
            </a:ln>
          </c:spPr>
          <c:cat>
            <c:strRef>
              <c:f>Plan1!$D$7:$E$7</c:f>
              <c:strCache>
                <c:ptCount val="2"/>
                <c:pt idx="0">
                  <c:v>Homens</c:v>
                </c:pt>
                <c:pt idx="1">
                  <c:v>Mulheres</c:v>
                </c:pt>
              </c:strCache>
            </c:strRef>
          </c:cat>
          <c:val>
            <c:numRef>
              <c:f>Plan1!$D$8:$E$8</c:f>
              <c:numCache>
                <c:formatCode>0%</c:formatCode>
                <c:ptCount val="2"/>
                <c:pt idx="0">
                  <c:v>0.65000000000000024</c:v>
                </c:pt>
                <c:pt idx="1">
                  <c:v>0.4</c:v>
                </c:pt>
              </c:numCache>
            </c:numRef>
          </c:val>
        </c:ser>
        <c:ser>
          <c:idx val="1"/>
          <c:order val="1"/>
          <c:tx>
            <c:strRef>
              <c:f>Plan1!$C$9</c:f>
              <c:strCache>
                <c:ptCount val="1"/>
                <c:pt idx="0">
                  <c:v>não</c:v>
                </c:pt>
              </c:strCache>
            </c:strRef>
          </c:tx>
          <c:spPr>
            <a:solidFill>
              <a:srgbClr val="800000"/>
            </a:solidFill>
            <a:ln w="12700">
              <a:solidFill>
                <a:srgbClr val="000000"/>
              </a:solidFill>
              <a:prstDash val="solid"/>
            </a:ln>
          </c:spPr>
          <c:cat>
            <c:strRef>
              <c:f>Plan1!$D$7:$E$7</c:f>
              <c:strCache>
                <c:ptCount val="2"/>
                <c:pt idx="0">
                  <c:v>Homens</c:v>
                </c:pt>
                <c:pt idx="1">
                  <c:v>Mulheres</c:v>
                </c:pt>
              </c:strCache>
            </c:strRef>
          </c:cat>
          <c:val>
            <c:numRef>
              <c:f>Plan1!$D$9:$E$9</c:f>
              <c:numCache>
                <c:formatCode>0%</c:formatCode>
                <c:ptCount val="2"/>
                <c:pt idx="0">
                  <c:v>0.35000000000000009</c:v>
                </c:pt>
                <c:pt idx="1">
                  <c:v>0.6000000000000002</c:v>
                </c:pt>
              </c:numCache>
            </c:numRef>
          </c:val>
        </c:ser>
        <c:shape val="box"/>
        <c:axId val="144974592"/>
        <c:axId val="144976128"/>
        <c:axId val="0"/>
      </c:bar3DChart>
      <c:catAx>
        <c:axId val="144974592"/>
        <c:scaling>
          <c:orientation val="minMax"/>
        </c:scaling>
        <c:axPos val="b"/>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pt-BR"/>
          </a:p>
        </c:txPr>
        <c:crossAx val="144976128"/>
        <c:crosses val="autoZero"/>
        <c:auto val="1"/>
        <c:lblAlgn val="ctr"/>
        <c:lblOffset val="100"/>
        <c:tickLblSkip val="1"/>
        <c:tickMarkSkip val="1"/>
      </c:catAx>
      <c:valAx>
        <c:axId val="14497612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pt-BR"/>
          </a:p>
        </c:txPr>
        <c:crossAx val="144974592"/>
        <c:crosses val="autoZero"/>
        <c:crossBetween val="between"/>
      </c:valAx>
      <c:spPr>
        <a:noFill/>
        <a:ln w="25400">
          <a:noFill/>
        </a:ln>
      </c:spPr>
    </c:plotArea>
    <c:legend>
      <c:legendPos val="r"/>
      <c:layout>
        <c:manualLayout>
          <c:xMode val="edge"/>
          <c:yMode val="edge"/>
          <c:x val="0.86214953271028072"/>
          <c:y val="0.48091603053435128"/>
          <c:w val="0.13084112149532717"/>
          <c:h val="0.22900763358778634"/>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205</Pages>
  <Words>65774</Words>
  <Characters>355182</Characters>
  <Application>Microsoft Office Word</Application>
  <DocSecurity>0</DocSecurity>
  <Lines>2959</Lines>
  <Paragraphs>840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420116</CharactersWithSpaces>
  <SharedDoc>false</SharedDoc>
  <HLinks>
    <vt:vector size="180" baseType="variant">
      <vt:variant>
        <vt:i4>5898270</vt:i4>
      </vt:variant>
      <vt:variant>
        <vt:i4>75</vt:i4>
      </vt:variant>
      <vt:variant>
        <vt:i4>0</vt:i4>
      </vt:variant>
      <vt:variant>
        <vt:i4>5</vt:i4>
      </vt:variant>
      <vt:variant>
        <vt:lpwstr>http://www.agende.org.br/16dias. Acesso em: 08 de nov. 2006.</vt:lpwstr>
      </vt:variant>
      <vt:variant>
        <vt:lpwstr/>
      </vt:variant>
      <vt:variant>
        <vt:i4>65626</vt:i4>
      </vt:variant>
      <vt:variant>
        <vt:i4>72</vt:i4>
      </vt:variant>
      <vt:variant>
        <vt:i4>0</vt:i4>
      </vt:variant>
      <vt:variant>
        <vt:i4>5</vt:i4>
      </vt:variant>
      <vt:variant>
        <vt:lpwstr>http://www.nosenfantsdisparus.ca/</vt:lpwstr>
      </vt:variant>
      <vt:variant>
        <vt:lpwstr/>
      </vt:variant>
      <vt:variant>
        <vt:i4>4063339</vt:i4>
      </vt:variant>
      <vt:variant>
        <vt:i4>66</vt:i4>
      </vt:variant>
      <vt:variant>
        <vt:i4>0</vt:i4>
      </vt:variant>
      <vt:variant>
        <vt:i4>5</vt:i4>
      </vt:variant>
      <vt:variant>
        <vt:lpwstr>http://www.orkut.com/CommMsgs.aspx?cmm=20455223&amp;tid=2489168285176833577</vt:lpwstr>
      </vt:variant>
      <vt:variant>
        <vt:lpwstr/>
      </vt:variant>
      <vt:variant>
        <vt:i4>3145833</vt:i4>
      </vt:variant>
      <vt:variant>
        <vt:i4>63</vt:i4>
      </vt:variant>
      <vt:variant>
        <vt:i4>0</vt:i4>
      </vt:variant>
      <vt:variant>
        <vt:i4>5</vt:i4>
      </vt:variant>
      <vt:variant>
        <vt:lpwstr>http://www.orkut.com/CommMsgs.aspx?cmm=20455223&amp;tid=2487309053964907012</vt:lpwstr>
      </vt:variant>
      <vt:variant>
        <vt:lpwstr/>
      </vt:variant>
      <vt:variant>
        <vt:i4>4128870</vt:i4>
      </vt:variant>
      <vt:variant>
        <vt:i4>60</vt:i4>
      </vt:variant>
      <vt:variant>
        <vt:i4>0</vt:i4>
      </vt:variant>
      <vt:variant>
        <vt:i4>5</vt:i4>
      </vt:variant>
      <vt:variant>
        <vt:lpwstr>http://www.orkut.com/CommMsgs.aspx?cmm=20455223&amp;tid=2549964434228365385</vt:lpwstr>
      </vt:variant>
      <vt:variant>
        <vt:lpwstr/>
      </vt:variant>
      <vt:variant>
        <vt:i4>5046367</vt:i4>
      </vt:variant>
      <vt:variant>
        <vt:i4>57</vt:i4>
      </vt:variant>
      <vt:variant>
        <vt:i4>0</vt:i4>
      </vt:variant>
      <vt:variant>
        <vt:i4>5</vt:i4>
      </vt:variant>
      <vt:variant>
        <vt:lpwstr>http://www.ingridrobeyns.nl/Downloads/method.pdf</vt:lpwstr>
      </vt:variant>
      <vt:variant>
        <vt:lpwstr/>
      </vt:variant>
      <vt:variant>
        <vt:i4>5242996</vt:i4>
      </vt:variant>
      <vt:variant>
        <vt:i4>54</vt:i4>
      </vt:variant>
      <vt:variant>
        <vt:i4>0</vt:i4>
      </vt:variant>
      <vt:variant>
        <vt:i4>5</vt:i4>
      </vt:variant>
      <vt:variant>
        <vt:lpwstr>http://www.btinternet.com/~pae_news/review/issue9.htm</vt:lpwstr>
      </vt:variant>
      <vt:variant>
        <vt:lpwstr/>
      </vt:variant>
      <vt:variant>
        <vt:i4>4063310</vt:i4>
      </vt:variant>
      <vt:variant>
        <vt:i4>51</vt:i4>
      </vt:variant>
      <vt:variant>
        <vt:i4>0</vt:i4>
      </vt:variant>
      <vt:variant>
        <vt:i4>5</vt:i4>
      </vt:variant>
      <vt:variant>
        <vt:lpwstr>http://www.btinternet.com/~pae_news/review/issue11.htm</vt:lpwstr>
      </vt:variant>
      <vt:variant>
        <vt:lpwstr/>
      </vt:variant>
      <vt:variant>
        <vt:i4>6094931</vt:i4>
      </vt:variant>
      <vt:variant>
        <vt:i4>48</vt:i4>
      </vt:variant>
      <vt:variant>
        <vt:i4>0</vt:i4>
      </vt:variant>
      <vt:variant>
        <vt:i4>5</vt:i4>
      </vt:variant>
      <vt:variant>
        <vt:lpwstr>http://www.scielo.org.br/</vt:lpwstr>
      </vt:variant>
      <vt:variant>
        <vt:lpwstr/>
      </vt:variant>
      <vt:variant>
        <vt:i4>6225938</vt:i4>
      </vt:variant>
      <vt:variant>
        <vt:i4>45</vt:i4>
      </vt:variant>
      <vt:variant>
        <vt:i4>0</vt:i4>
      </vt:variant>
      <vt:variant>
        <vt:i4>5</vt:i4>
      </vt:variant>
      <vt:variant>
        <vt:lpwstr>http://www.h-debate.com/</vt:lpwstr>
      </vt:variant>
      <vt:variant>
        <vt:lpwstr/>
      </vt:variant>
      <vt:variant>
        <vt:i4>6881321</vt:i4>
      </vt:variant>
      <vt:variant>
        <vt:i4>42</vt:i4>
      </vt:variant>
      <vt:variant>
        <vt:i4>0</vt:i4>
      </vt:variant>
      <vt:variant>
        <vt:i4>5</vt:i4>
      </vt:variant>
      <vt:variant>
        <vt:lpwstr>http://www.mds.gov.br/</vt:lpwstr>
      </vt:variant>
      <vt:variant>
        <vt:lpwstr/>
      </vt:variant>
      <vt:variant>
        <vt:i4>4915286</vt:i4>
      </vt:variant>
      <vt:variant>
        <vt:i4>39</vt:i4>
      </vt:variant>
      <vt:variant>
        <vt:i4>0</vt:i4>
      </vt:variant>
      <vt:variant>
        <vt:i4>5</vt:i4>
      </vt:variant>
      <vt:variant>
        <vt:lpwstr>http://www.agende.org.br/</vt:lpwstr>
      </vt:variant>
      <vt:variant>
        <vt:lpwstr/>
      </vt:variant>
      <vt:variant>
        <vt:i4>1572931</vt:i4>
      </vt:variant>
      <vt:variant>
        <vt:i4>35</vt:i4>
      </vt:variant>
      <vt:variant>
        <vt:i4>0</vt:i4>
      </vt:variant>
      <vt:variant>
        <vt:i4>5</vt:i4>
      </vt:variant>
      <vt:variant>
        <vt:lpwstr>http://www.mulheresnorock.pop.com.br/textos/mnr6.htm</vt:lpwstr>
      </vt:variant>
      <vt:variant>
        <vt:lpwstr/>
      </vt:variant>
      <vt:variant>
        <vt:i4>1769539</vt:i4>
      </vt:variant>
      <vt:variant>
        <vt:i4>33</vt:i4>
      </vt:variant>
      <vt:variant>
        <vt:i4>0</vt:i4>
      </vt:variant>
      <vt:variant>
        <vt:i4>5</vt:i4>
      </vt:variant>
      <vt:variant>
        <vt:lpwstr>http://www.mulheresnorock.pop.com.br/textos/mnr5.htm</vt:lpwstr>
      </vt:variant>
      <vt:variant>
        <vt:lpwstr/>
      </vt:variant>
      <vt:variant>
        <vt:i4>1769539</vt:i4>
      </vt:variant>
      <vt:variant>
        <vt:i4>30</vt:i4>
      </vt:variant>
      <vt:variant>
        <vt:i4>0</vt:i4>
      </vt:variant>
      <vt:variant>
        <vt:i4>5</vt:i4>
      </vt:variant>
      <vt:variant>
        <vt:lpwstr>http://www.mulheresnorock.pop.com.br/textos/mnr5.htm</vt:lpwstr>
      </vt:variant>
      <vt:variant>
        <vt:lpwstr/>
      </vt:variant>
      <vt:variant>
        <vt:i4>1572931</vt:i4>
      </vt:variant>
      <vt:variant>
        <vt:i4>26</vt:i4>
      </vt:variant>
      <vt:variant>
        <vt:i4>0</vt:i4>
      </vt:variant>
      <vt:variant>
        <vt:i4>5</vt:i4>
      </vt:variant>
      <vt:variant>
        <vt:lpwstr>http://www.mulheresnorock.pop.com.br/textos/mnr6.htm</vt:lpwstr>
      </vt:variant>
      <vt:variant>
        <vt:lpwstr/>
      </vt:variant>
      <vt:variant>
        <vt:i4>1769539</vt:i4>
      </vt:variant>
      <vt:variant>
        <vt:i4>24</vt:i4>
      </vt:variant>
      <vt:variant>
        <vt:i4>0</vt:i4>
      </vt:variant>
      <vt:variant>
        <vt:i4>5</vt:i4>
      </vt:variant>
      <vt:variant>
        <vt:lpwstr>http://www.mulheresnorock.pop.com.br/textos/mnr5.htm</vt:lpwstr>
      </vt:variant>
      <vt:variant>
        <vt:lpwstr/>
      </vt:variant>
      <vt:variant>
        <vt:i4>1900611</vt:i4>
      </vt:variant>
      <vt:variant>
        <vt:i4>21</vt:i4>
      </vt:variant>
      <vt:variant>
        <vt:i4>0</vt:i4>
      </vt:variant>
      <vt:variant>
        <vt:i4>5</vt:i4>
      </vt:variant>
      <vt:variant>
        <vt:lpwstr>http://www.mulheresnorock.pop.com.br/textos/mnr3.htm</vt:lpwstr>
      </vt:variant>
      <vt:variant>
        <vt:lpwstr/>
      </vt:variant>
      <vt:variant>
        <vt:i4>3670142</vt:i4>
      </vt:variant>
      <vt:variant>
        <vt:i4>18</vt:i4>
      </vt:variant>
      <vt:variant>
        <vt:i4>0</vt:i4>
      </vt:variant>
      <vt:variant>
        <vt:i4>5</vt:i4>
      </vt:variant>
      <vt:variant>
        <vt:lpwstr>http://www.plcs.umassd.edu/plcs12texts/barbosajun162006.doc</vt:lpwstr>
      </vt:variant>
      <vt:variant>
        <vt:lpwstr/>
      </vt:variant>
      <vt:variant>
        <vt:i4>131073</vt:i4>
      </vt:variant>
      <vt:variant>
        <vt:i4>15</vt:i4>
      </vt:variant>
      <vt:variant>
        <vt:i4>0</vt:i4>
      </vt:variant>
      <vt:variant>
        <vt:i4>5</vt:i4>
      </vt:variant>
      <vt:variant>
        <vt:lpwstr>http://www.democraciaparticipativa.org/files/AvritzerSociedadeCivilParticipacaoBrasil.pdf</vt:lpwstr>
      </vt:variant>
      <vt:variant>
        <vt:lpwstr/>
      </vt:variant>
      <vt:variant>
        <vt:i4>3014778</vt:i4>
      </vt:variant>
      <vt:variant>
        <vt:i4>12</vt:i4>
      </vt:variant>
      <vt:variant>
        <vt:i4>0</vt:i4>
      </vt:variant>
      <vt:variant>
        <vt:i4>5</vt:i4>
      </vt:variant>
      <vt:variant>
        <vt:lpwstr>http://www.diap.org.br/cabe%C3%A7as/cabecas.asp</vt:lpwstr>
      </vt:variant>
      <vt:variant>
        <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4259965</vt:i4>
      </vt:variant>
      <vt:variant>
        <vt:i4>12</vt:i4>
      </vt:variant>
      <vt:variant>
        <vt:i4>0</vt:i4>
      </vt:variant>
      <vt:variant>
        <vt:i4>5</vt:i4>
      </vt:variant>
      <vt:variant>
        <vt:lpwstr>http://mixbrasil.uol.com.br/mp/upload/noticia/3_46_60821.shtml  [28</vt:lpwstr>
      </vt:variant>
      <vt:variant>
        <vt:lpwstr/>
      </vt:variant>
      <vt:variant>
        <vt:i4>7340137</vt:i4>
      </vt:variant>
      <vt:variant>
        <vt:i4>9</vt:i4>
      </vt:variant>
      <vt:variant>
        <vt:i4>0</vt:i4>
      </vt:variant>
      <vt:variant>
        <vt:i4>5</vt:i4>
      </vt:variant>
      <vt:variant>
        <vt:lpwstr>http://br.youtube.com/</vt:lpwstr>
      </vt:variant>
      <vt:variant>
        <vt:lpwstr/>
      </vt:variant>
      <vt:variant>
        <vt:i4>5570582</vt:i4>
      </vt:variant>
      <vt:variant>
        <vt:i4>6</vt:i4>
      </vt:variant>
      <vt:variant>
        <vt:i4>0</vt:i4>
      </vt:variant>
      <vt:variant>
        <vt:i4>5</vt:i4>
      </vt:variant>
      <vt:variant>
        <vt:lpwstr>http://www.orkut.com/</vt:lpwstr>
      </vt:variant>
      <vt:variant>
        <vt:lpwstr/>
      </vt:variant>
      <vt:variant>
        <vt:i4>5242996</vt:i4>
      </vt:variant>
      <vt:variant>
        <vt:i4>3</vt:i4>
      </vt:variant>
      <vt:variant>
        <vt:i4>0</vt:i4>
      </vt:variant>
      <vt:variant>
        <vt:i4>5</vt:i4>
      </vt:variant>
      <vt:variant>
        <vt:lpwstr>http://www.btinternet.com/~pae_news/review/issue9.htm</vt:lpwstr>
      </vt:variant>
      <vt:variant>
        <vt:lpwstr/>
      </vt:variant>
      <vt:variant>
        <vt:i4>3473446</vt:i4>
      </vt:variant>
      <vt:variant>
        <vt:i4>0</vt:i4>
      </vt:variant>
      <vt:variant>
        <vt:i4>0</vt:i4>
      </vt:variant>
      <vt:variant>
        <vt:i4>5</vt:i4>
      </vt:variant>
      <vt:variant>
        <vt:lpwstr>http://www.paecon.net/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Nome Sobrenome</cp:lastModifiedBy>
  <cp:revision>2</cp:revision>
  <dcterms:created xsi:type="dcterms:W3CDTF">2015-12-17T17:44:00Z</dcterms:created>
  <dcterms:modified xsi:type="dcterms:W3CDTF">2015-12-17T17:44:00Z</dcterms:modified>
</cp:coreProperties>
</file>